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8622/21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הולר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54630-09-20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17.11.2021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חגי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טרסי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26.04.2022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יוחאי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מסעד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Start w:id="9" w:name="_Hlk103582288"/>
      <w:bookmarkEnd w:id="8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הנוהגת ביחס לעבירת ההצתה היא להשית עונש מאסר בפועל על מבצעיה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בייחוד במקרה בו קדמה למעשה ההצתה התארגנות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יש הסכמה בין הצדדים לטווח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לבחון את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בוחנת את התוצאה העונשית הסופית של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בשגגה באופן יישום מנגנון הבניית שיקול הדעת כנדרש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מלאכת גזירת הדין לשיקולי שיקום קיים 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לעיתים משקל נכבד – אך אלו אינם חזות הכול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בגדרו נגזר על המערער עונש של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בגין הרשעתו בעבירת הצתה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כלל ידוע הוא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ייטה שלא להתערב בעונש שהושת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שבהם ניכרת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על פני הדברים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אמות מידה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 שאין מקום לקבל 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כבר עמד על חומרת עבירת ההצתה הנובעת מפוטנציאל הנזק ההרסני הטמון בה לסביבה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לרכוש ולחיי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לדעת כיצד תתפשט האש אשר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דרכה לילך ולהזיק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ובמי תאחז ותפגע בדרך הילוכה הלא צפוי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במקרים בהם התכוון המצית לפגיעה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בידי המשלח אש לשלוט בהשתוללותה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שראשיתה ידועה – אחריתה מי ישורנה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הנוהגת ביחס לעבירת ההצתה היא להשית עונש מאסר בפועל על מבצעיה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בייחוד במקרה בו קדמה למעשה ההצתה התארגנות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והאחר פעלו יחדיו באישון לילה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התארגנות מוקדמת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והציתו אש בחניון בניין מגורים באופן העלול לסכן 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 חמורים אלה דורשים ענישה הולמת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לטענות המערער באשר לקביעת מתחם עונש הולם מקום בו הושג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אחר צוין כי אף אם יש הסכמה בין הצדדים לטווח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 תוצאה של כוח מיקוח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לבחון את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המהווה קביעה נורמטיבית בדבר האיזון הראוי שנקבע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לזאת יש להוסיף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ממילא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בוחנת את התוצאה העונשית הסופית של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בשגגה באופן יישום מנגנון הבניית שיקול הדעת כנדרש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בבחינת למעלה מן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משלא נמצא כי נפלה שגגה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אף את טענות המערער במישור שיקולי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לקבל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מלאכת גזירת הדין לשיקולי שיקום קיים 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לעיתים נכבד – אך אלו אינם חזות הכול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אמנם הביע חרטה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זו אינה מאיינת או מפחיתה במידה הנטענת את הפגיעה המשמעותית בערכים המוגנים החוסים תחת עבירת 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שירות המבחן לא בא בהמלצה טיפולית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לא מצא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לנכון לסטות לקולה ממתחם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חלקו של המערער במעשה ההצתה בפועל אכן היה קטן מחלקו של האחר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נתן דעתו היטב לנסיבה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לשאר נסיבות המקרה ולנסיבותיו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ואלו באו לידי ביטוי בגזירת עונשו ברף התחתון של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אם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שקלל כראוי את מכלול 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 העבירה ומדיניות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שהושת על המערער אינו מופרז בהינתן חומרת מעשיו – ודומה שיש בו גם כדי להקל עמו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_Hlk103582288"/>
      <w:bookmarkStart w:id="11" w:name="ABSTRACT_END"/>
      <w:bookmarkStart w:id="12" w:name="_Hlk103582288"/>
      <w:bookmarkStart w:id="13" w:name="ABSTRACT_END"/>
      <w:bookmarkEnd w:id="12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טרסי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54630-09-20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17.11.2021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 על המערער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>וזאת בגין הרשעתו בעבירת הצתה בצוותא</w:t>
      </w:r>
      <w:r>
        <w:rPr>
          <w:rtl w:val="true"/>
        </w:rPr>
        <w:t xml:space="preserve">. </w:t>
      </w:r>
      <w:r>
        <w:rPr>
          <w:rtl w:val="true"/>
        </w:rPr>
        <w:t>הערעור נסוב על חומרת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4.9.2020</w:t>
      </w:r>
      <w:r>
        <w:rPr>
          <w:rtl w:val="true"/>
        </w:rPr>
        <w:t xml:space="preserve"> </w:t>
      </w:r>
      <w:r>
        <w:rPr>
          <w:rtl w:val="true"/>
        </w:rPr>
        <w:t xml:space="preserve">חברו יחדיו המערער ואדם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tl w:val="true"/>
        </w:rPr>
        <w:t xml:space="preserve">) </w:t>
      </w:r>
      <w:r>
        <w:rPr>
          <w:rtl w:val="true"/>
        </w:rPr>
        <w:t>לשם הצתת אופנועו של נפגע העבירה</w:t>
      </w:r>
      <w:r>
        <w:rPr>
          <w:rtl w:val="true"/>
        </w:rPr>
        <w:t xml:space="preserve">, </w:t>
      </w:r>
      <w:r>
        <w:rPr>
          <w:rtl w:val="true"/>
        </w:rPr>
        <w:t>אשר חנה אותה העת בחניון תת קרקעי בבניין בראשון לציון</w:t>
      </w:r>
      <w:r>
        <w:rPr>
          <w:rtl w:val="true"/>
        </w:rPr>
        <w:t xml:space="preserve">. </w:t>
      </w:r>
      <w:r>
        <w:rPr>
          <w:rtl w:val="true"/>
        </w:rPr>
        <w:t>המערער הסיע ברכבו את האחר לעיר ראשון לציון</w:t>
      </w:r>
      <w:r>
        <w:rPr>
          <w:rtl w:val="true"/>
        </w:rPr>
        <w:t xml:space="preserve">, </w:t>
      </w:r>
      <w:r>
        <w:rPr>
          <w:rtl w:val="true"/>
        </w:rPr>
        <w:t>כשהם מצוידים בבקבוק ובו חומר דליק</w:t>
      </w:r>
      <w:r>
        <w:rPr>
          <w:rtl w:val="true"/>
        </w:rPr>
        <w:t xml:space="preserve">, </w:t>
      </w:r>
      <w:r>
        <w:rPr>
          <w:rtl w:val="true"/>
        </w:rPr>
        <w:t>והאחר חובש קסדה מלאה על ראשו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22:53</w:t>
      </w:r>
      <w:r>
        <w:rPr>
          <w:rtl w:val="true"/>
        </w:rPr>
        <w:t xml:space="preserve">, </w:t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חובש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וראשו</w:t>
      </w:r>
      <w:r>
        <w:rPr>
          <w:rtl w:val="true"/>
        </w:rPr>
        <w:t xml:space="preserve">, </w:t>
      </w:r>
      <w:r>
        <w:rPr>
          <w:rtl w:val="true"/>
        </w:rPr>
        <w:t>ואוחז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והציתו</w:t>
      </w:r>
      <w:r>
        <w:rPr>
          <w:rtl w:val="true"/>
        </w:rPr>
        <w:t xml:space="preserve">. </w:t>
      </w:r>
      <w:r>
        <w:rPr>
          <w:rtl w:val="true"/>
        </w:rPr>
        <w:t>מששב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, </w:t>
      </w:r>
      <w:r>
        <w:rPr>
          <w:rtl w:val="true"/>
        </w:rPr>
        <w:t>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לשריפתו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בגין מעשים אלו יוחסה למערער עבירה של הצתה בצוותא 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ביחד עם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highlight w:val="yellow"/>
        </w:rPr>
      </w:pPr>
      <w:r>
        <w:rPr>
          <w:rFonts w:cs="Miriam" w:ascii="Century" w:hAnsi="Century"/>
          <w:b/>
          <w:spacing w:val="0"/>
          <w:szCs w:val="24"/>
          <w:highlight w:val="yellow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בעובדות כתב האישום המתוקן במסגרת הסדר טיעון</w:t>
      </w:r>
      <w:r>
        <w:rPr>
          <w:rtl w:val="true"/>
        </w:rPr>
        <w:t xml:space="preserve">, </w:t>
      </w:r>
      <w:r>
        <w:rPr>
          <w:rtl w:val="true"/>
        </w:rPr>
        <w:t>בו הוסכם כי לעניין העונש יופנה המערער לקבלת תסקיר מטעם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ההגנה תהא חופשיה בטיעוניה ואילו המשיבה תעתור לעונש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כעונש ראוי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על החומרה הרבה שבעבירת ההצתה</w:t>
      </w:r>
      <w:r>
        <w:rPr>
          <w:rtl w:val="true"/>
        </w:rPr>
        <w:t xml:space="preserve">, </w:t>
      </w:r>
      <w:r>
        <w:rPr>
          <w:rtl w:val="true"/>
        </w:rPr>
        <w:t>על הסכנה הגדולה הטמונה בה והערכים החברתיים עליהם היא מגנה</w:t>
      </w:r>
      <w:r>
        <w:rPr>
          <w:rtl w:val="true"/>
        </w:rPr>
        <w:t xml:space="preserve">, </w:t>
      </w:r>
      <w:r>
        <w:rPr>
          <w:rtl w:val="true"/>
        </w:rPr>
        <w:t xml:space="preserve">וקבע כי עוצמת הפגיעה בערכים המוגנים היא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בינונית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טומנת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;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השית על המערער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מעצרו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עבירת הצתה או 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לנפגע העבירה בסכום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יש לקבוע כי ירצה את עונשו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חלף עונש מאסר בפועל מאחורי סורג ובריח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העונש שנגזר עליו מבטא משקל רב לשיקולי גמול והרתעה</w:t>
      </w:r>
      <w:r>
        <w:rPr>
          <w:rtl w:val="true"/>
        </w:rPr>
        <w:t xml:space="preserve">, </w:t>
      </w:r>
      <w:r>
        <w:rPr>
          <w:rtl w:val="true"/>
        </w:rPr>
        <w:t>בעוד היה להעדיף בעניינו שיקולי שיקום</w:t>
      </w:r>
      <w:r>
        <w:rPr>
          <w:rtl w:val="true"/>
        </w:rPr>
        <w:t xml:space="preserve">. </w:t>
      </w:r>
      <w:r>
        <w:rPr>
          <w:rtl w:val="true"/>
        </w:rPr>
        <w:t>מוסיף המערער וטוען כי אף לא היה מקום לקבוע מתחם עונש הולם בעניינו</w:t>
      </w:r>
      <w:r>
        <w:rPr>
          <w:rtl w:val="true"/>
        </w:rPr>
        <w:t xml:space="preserve">, </w:t>
      </w:r>
      <w:r>
        <w:rPr>
          <w:rtl w:val="true"/>
        </w:rPr>
        <w:t>משהוסכם על טווח ענישה בהסדר הטיעון</w:t>
      </w:r>
      <w:r>
        <w:rPr>
          <w:rtl w:val="true"/>
        </w:rPr>
        <w:t xml:space="preserve">,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במקרים דומים מתונה מזו שקבע בית המשפט המחוזי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ואמתית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נקי</w:t>
      </w:r>
      <w:r>
        <w:rPr>
          <w:rtl w:val="true"/>
        </w:rPr>
        <w:t xml:space="preserve">",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המשיבה העונש שהושת על המערער ראוי – ואף מקל עמו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 העונש סביר ואינו סוטה ממתחם הענישה ומצוי בטווח הענישה שהוסכם בין הצדדים</w:t>
      </w:r>
      <w:r>
        <w:rPr>
          <w:rtl w:val="true"/>
        </w:rPr>
        <w:t xml:space="preserve">, </w:t>
      </w:r>
      <w:r>
        <w:rPr>
          <w:rtl w:val="true"/>
        </w:rPr>
        <w:t>וכן כי בית המשפט המחוזי התייחס למכלול השיקולים הרלוונטיים בקביעת עונשו של המערער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נשקלו חומרת עבירת ההצתה</w:t>
      </w:r>
      <w:r>
        <w:rPr>
          <w:rtl w:val="true"/>
        </w:rPr>
        <w:t xml:space="preserve">, </w:t>
      </w:r>
      <w:r>
        <w:rPr>
          <w:rtl w:val="true"/>
        </w:rPr>
        <w:t>פוטנציאל הסיכון שבה</w:t>
      </w:r>
      <w:r>
        <w:rPr>
          <w:rtl w:val="true"/>
        </w:rPr>
        <w:t xml:space="preserve">, </w:t>
      </w:r>
      <w:r>
        <w:rPr>
          <w:rtl w:val="true"/>
        </w:rPr>
        <w:t>והעובדה כי מדובר באירוע מתוכנן הכולל התארגנות מראש</w:t>
      </w:r>
      <w:r>
        <w:rPr>
          <w:rtl w:val="true"/>
        </w:rPr>
        <w:t xml:space="preserve">;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חלקו של המערער בביצוע העבירה ביחס לאחר</w:t>
      </w:r>
      <w:r>
        <w:rPr>
          <w:rtl w:val="true"/>
        </w:rPr>
        <w:t xml:space="preserve">, </w:t>
      </w:r>
      <w:r>
        <w:rPr>
          <w:rtl w:val="true"/>
        </w:rPr>
        <w:t>ונסיבותיו האישיות והמשפחתיות כפי שעלו מתסקירי שירות המבחן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לקיחת האחריות מצד המערער מוגבלת</w:t>
      </w:r>
      <w:r>
        <w:rPr>
          <w:rtl w:val="true"/>
        </w:rPr>
        <w:t xml:space="preserve">, </w:t>
      </w:r>
      <w:r>
        <w:rPr>
          <w:rtl w:val="true"/>
        </w:rPr>
        <w:t>שעה שלדעתה זהות האחר שביצע את ההצתה ידועה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 וחברתי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כלל ידוע הוא כי בית המשפט ייטה שלא להתערב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שבהם ניכרת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קיצונית</w:t>
      </w:r>
      <w:r>
        <w:rPr>
          <w:rtl w:val="true"/>
        </w:rPr>
        <w:t xml:space="preserve">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על פני הדברים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ובולטת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קואסמה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13.3.2022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6.3.2022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עמד לא אחת על חומרתה של עבירת ההצתה הנובעת מפוטנציאל הנזק ההרסני הטמון בה לסביבה</w:t>
      </w:r>
      <w:r>
        <w:rPr>
          <w:rtl w:val="true"/>
        </w:rPr>
        <w:t xml:space="preserve">, </w:t>
      </w:r>
      <w:r>
        <w:rPr>
          <w:rtl w:val="true"/>
        </w:rPr>
        <w:t>לרכוש ולחיי אדם</w:t>
      </w:r>
      <w:r>
        <w:rPr>
          <w:rtl w:val="true"/>
        </w:rPr>
        <w:t xml:space="preserve">. </w:t>
      </w:r>
      <w:r>
        <w:rPr>
          <w:rtl w:val="true"/>
        </w:rPr>
        <w:t xml:space="preserve">אין לדעת כיצד תתפשט האש אשר </w:t>
      </w:r>
      <w:r>
        <w:rPr>
          <w:rtl w:val="true"/>
        </w:rPr>
        <w:t>"</w:t>
      </w:r>
      <w:r>
        <w:rPr>
          <w:rtl w:val="true"/>
        </w:rPr>
        <w:t>דרכה לילך ולהזיק</w:t>
      </w:r>
      <w:r>
        <w:rPr>
          <w:rtl w:val="true"/>
        </w:rPr>
        <w:t xml:space="preserve">", </w:t>
      </w:r>
      <w:r>
        <w:rPr>
          <w:rtl w:val="true"/>
        </w:rPr>
        <w:t>ובמי תאחז ותפגע בדרך הילוכה הלא צפוי</w:t>
      </w:r>
      <w:r>
        <w:rPr>
          <w:rtl w:val="true"/>
        </w:rPr>
        <w:t xml:space="preserve">. </w:t>
      </w:r>
      <w:r>
        <w:rPr>
          <w:rtl w:val="true"/>
        </w:rPr>
        <w:t>גם במקרים בהם התכוון המצית לפגיעה אחת</w:t>
      </w:r>
      <w:r>
        <w:rPr>
          <w:rtl w:val="true"/>
        </w:rPr>
        <w:t xml:space="preserve">, </w:t>
      </w:r>
      <w:r>
        <w:rPr>
          <w:rtl w:val="true"/>
        </w:rPr>
        <w:t>אין בידיו של המשלח אש לשלוט בהשתוללותה</w:t>
      </w:r>
      <w:r>
        <w:rPr>
          <w:rtl w:val="true"/>
        </w:rPr>
        <w:t xml:space="preserve">, </w:t>
      </w:r>
      <w:r>
        <w:rPr>
          <w:rtl w:val="true"/>
        </w:rPr>
        <w:t xml:space="preserve">ואף שראשיתה ידועה – אחריתה מי ישורנה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2.2.2020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10.12.2020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יחיא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18-16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14.3.2022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ביחס לעבירת ההצתה היא להשית עונש מאסר בפועל על מבצעיה</w:t>
      </w:r>
      <w:r>
        <w:rPr>
          <w:rtl w:val="true"/>
        </w:rPr>
        <w:t xml:space="preserve">, </w:t>
      </w:r>
      <w:r>
        <w:rPr>
          <w:rtl w:val="true"/>
        </w:rPr>
        <w:t xml:space="preserve">בייחוד במקרה בו קדמה למעשה ההצתה התארגנות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8125/15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פרוקופנקו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19.4.2016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המערער והאחר פעלו יחדיו באישון לילה</w:t>
      </w:r>
      <w:r>
        <w:rPr>
          <w:rtl w:val="true"/>
        </w:rPr>
        <w:t xml:space="preserve">, </w:t>
      </w:r>
      <w:r>
        <w:rPr>
          <w:rtl w:val="true"/>
        </w:rPr>
        <w:t>תוך התארגנות מוקדמת</w:t>
      </w:r>
      <w:r>
        <w:rPr>
          <w:rtl w:val="true"/>
        </w:rPr>
        <w:t xml:space="preserve">, </w:t>
      </w:r>
      <w:r>
        <w:rPr>
          <w:rtl w:val="true"/>
        </w:rPr>
        <w:t>והציתו אש בחניון בניין מגורים באופן העלול לסכן חיי אדם</w:t>
      </w:r>
      <w:r>
        <w:rPr>
          <w:rtl w:val="true"/>
        </w:rPr>
        <w:t xml:space="preserve">. </w:t>
      </w:r>
      <w:r>
        <w:rPr>
          <w:rtl w:val="true"/>
        </w:rPr>
        <w:t>מעשים חמורים אלה דורשים ענישה הולמת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וביחס לטענות המערער באשר לקביעת מתחם עונש הולם מקום בו הושג הסדר טיעון</w:t>
      </w:r>
      <w:r>
        <w:rPr>
          <w:rtl w:val="true"/>
        </w:rPr>
        <w:t xml:space="preserve">, </w:t>
      </w:r>
      <w:r>
        <w:rPr>
          <w:rtl w:val="true"/>
        </w:rPr>
        <w:t>הרי שבמקרה אחר ציינתי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לטווח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מיקוח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המהווה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האיזון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tl w:val="true"/>
        </w:rPr>
        <w:t>" 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גולאני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28.11.2021</w:t>
      </w:r>
      <w:r>
        <w:rPr>
          <w:rtl w:val="true"/>
        </w:rPr>
        <w:t>)</w:t>
      </w:r>
      <w:r>
        <w:rPr>
          <w:rFonts w:eastAsia="FrankRuehl" w:ascii="FrankRuehl" w:hAnsi="FrankRuehl"/>
          <w:rtl w:val="true"/>
        </w:rPr>
        <w:t>‏‏</w:t>
      </w:r>
      <w:r>
        <w:rPr>
          <w:rtl w:val="true"/>
        </w:rPr>
        <w:t xml:space="preserve">,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512/13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28.11.2018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לזאת אוסיף</w:t>
      </w:r>
      <w:r>
        <w:rPr>
          <w:rtl w:val="true"/>
        </w:rPr>
        <w:t xml:space="preserve">, </w:t>
      </w:r>
      <w:r>
        <w:rPr>
          <w:rtl w:val="true"/>
        </w:rPr>
        <w:t>כי ממילא</w:t>
      </w:r>
      <w:r>
        <w:rPr>
          <w:rtl w:val="true"/>
        </w:rPr>
        <w:t xml:space="preserve">, </w:t>
      </w:r>
      <w:r>
        <w:rPr>
          <w:rtl w:val="true"/>
        </w:rPr>
        <w:t>כפי שנקבע לא אחת</w:t>
      </w:r>
      <w:r>
        <w:rPr>
          <w:rtl w:val="true"/>
        </w:rPr>
        <w:t xml:space="preserve">, </w:t>
      </w:r>
      <w:r>
        <w:rPr>
          <w:rtl w:val="true"/>
        </w:rPr>
        <w:t>ערכאת הערעור בוחנת את התוצאה העונשית הסופית של גזר הדין</w:t>
      </w:r>
      <w:r>
        <w:rPr>
          <w:rtl w:val="true"/>
        </w:rPr>
        <w:t xml:space="preserve">, </w:t>
      </w:r>
      <w:r>
        <w:rPr>
          <w:rtl w:val="true"/>
        </w:rPr>
        <w:t>ואין בשגגה באופן יישום מנגנון הבניית שיקול הדעת כנדרש</w:t>
      </w:r>
      <w:r>
        <w:rPr>
          <w:rtl w:val="true"/>
        </w:rPr>
        <w:t xml:space="preserve">, </w:t>
      </w:r>
      <w:r>
        <w:rPr>
          <w:rtl w:val="true"/>
        </w:rPr>
        <w:t xml:space="preserve">כדי להצדיק התערבות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15.2.2022</w:t>
      </w:r>
      <w:r>
        <w:rPr>
          <w:rtl w:val="true"/>
        </w:rPr>
        <w:t xml:space="preserve">)). </w:t>
      </w:r>
      <w:r>
        <w:rPr>
          <w:rtl w:val="true"/>
        </w:rPr>
        <w:t>זאת בבחינת למעלה מן הצורך</w:t>
      </w:r>
      <w:r>
        <w:rPr>
          <w:rtl w:val="true"/>
        </w:rPr>
        <w:t xml:space="preserve">, </w:t>
      </w:r>
      <w:r>
        <w:rPr>
          <w:rtl w:val="true"/>
        </w:rPr>
        <w:t>משאיני סבור כי נפלה שגגה כאמור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את טענות המערער במישור שיקולי השיקום</w:t>
      </w:r>
      <w:r>
        <w:rPr>
          <w:rtl w:val="true"/>
        </w:rPr>
        <w:t xml:space="preserve">, </w:t>
      </w:r>
      <w:r>
        <w:rPr>
          <w:rtl w:val="true"/>
        </w:rPr>
        <w:t>איני מוצא לקבל</w:t>
      </w:r>
      <w:r>
        <w:rPr>
          <w:rtl w:val="true"/>
        </w:rPr>
        <w:t xml:space="preserve">. </w:t>
      </w:r>
      <w:r>
        <w:rPr>
          <w:rtl w:val="true"/>
        </w:rPr>
        <w:t>במסגרת מלאכת גזירת הדין לשיקולי שיקום קיים משקל</w:t>
      </w:r>
      <w:r>
        <w:rPr>
          <w:rtl w:val="true"/>
        </w:rPr>
        <w:t xml:space="preserve">, </w:t>
      </w:r>
      <w:r>
        <w:rPr>
          <w:rtl w:val="true"/>
        </w:rPr>
        <w:t xml:space="preserve">ולעיתים משקל נכבד – אך אלו אינם חזות הכול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12.8.2021</w:t>
      </w:r>
      <w:r>
        <w:rPr>
          <w:rtl w:val="true"/>
        </w:rPr>
        <w:t xml:space="preserve">)). </w:t>
      </w:r>
      <w:r>
        <w:rPr>
          <w:rtl w:val="true"/>
        </w:rPr>
        <w:t>המערער אמנם הביע חרטה על מעשיו</w:t>
      </w:r>
      <w:r>
        <w:rPr>
          <w:rtl w:val="true"/>
        </w:rPr>
        <w:t xml:space="preserve">, </w:t>
      </w:r>
      <w:r>
        <w:rPr>
          <w:rtl w:val="true"/>
        </w:rPr>
        <w:t>אך זו אינה מאיינת או מפחיתה במידה הנטענת</w:t>
      </w:r>
      <w:r>
        <w:rPr>
          <w:rtl w:val="true"/>
        </w:rPr>
        <w:t xml:space="preserve">, </w:t>
      </w:r>
      <w:r>
        <w:rPr>
          <w:rtl w:val="true"/>
        </w:rPr>
        <w:t xml:space="preserve">את הפגיעה המשמעותית בערכים המוגנים החוסים תחת עבירת ההצתה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8.7.2015</w:t>
      </w:r>
      <w:r>
        <w:rPr>
          <w:rtl w:val="true"/>
        </w:rPr>
        <w:t xml:space="preserve">)).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אף שירות המבחן לא בא בהמלצה טיפולית בעניין המערער</w:t>
      </w:r>
      <w:r>
        <w:rPr>
          <w:rtl w:val="true"/>
        </w:rPr>
        <w:t xml:space="preserve">, </w:t>
      </w:r>
      <w:r>
        <w:rPr>
          <w:rtl w:val="true"/>
        </w:rPr>
        <w:t>ומשכך לא מצא בית המשפט המחוזי לנכון לסטות לקולה ממתחם העונש ההולם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חלקו של המערער במעשה ההצתה בפועל אכן היה קטן מחלקו של האחר</w:t>
      </w:r>
      <w:r>
        <w:rPr>
          <w:rtl w:val="true"/>
        </w:rPr>
        <w:t xml:space="preserve">, </w:t>
      </w:r>
      <w:r>
        <w:rPr>
          <w:rtl w:val="true"/>
        </w:rPr>
        <w:t>אולם בית המשפט המחוזי נתן דעתו היטב לנסיבה זו</w:t>
      </w:r>
      <w:r>
        <w:rPr>
          <w:rtl w:val="true"/>
        </w:rPr>
        <w:t xml:space="preserve">, </w:t>
      </w:r>
      <w:r>
        <w:rPr>
          <w:rtl w:val="true"/>
        </w:rPr>
        <w:t>לשאר נסיבות המקרה ולנסיבותיו האישיות והמשפחתיות של המערער</w:t>
      </w:r>
      <w:r>
        <w:rPr>
          <w:rtl w:val="true"/>
        </w:rPr>
        <w:t xml:space="preserve">, </w:t>
      </w:r>
      <w:r>
        <w:rPr>
          <w:rtl w:val="true"/>
        </w:rPr>
        <w:t>ואלו באו לידי ביטוי בגזירת עונשו של המערער ברף התחתון של מתחם הענישה</w:t>
      </w:r>
      <w:r>
        <w:rPr>
          <w:rtl w:val="true"/>
        </w:rPr>
        <w:t xml:space="preserve">. </w:t>
      </w:r>
      <w:r>
        <w:rPr>
          <w:rtl w:val="true"/>
        </w:rPr>
        <w:t>גם נימוק זה אפוא</w:t>
      </w:r>
      <w:r>
        <w:rPr>
          <w:rtl w:val="true"/>
        </w:rPr>
        <w:t xml:space="preserve">, </w:t>
      </w:r>
      <w:r>
        <w:rPr>
          <w:rtl w:val="true"/>
        </w:rPr>
        <w:t>אינו מצדיק הקלה בעונשו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>,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tl w:val="true"/>
        </w:rPr>
        <w:t>בית המשפט המחוזי שקלל כראוי את מכלול נסיבות המקרה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חומרת העבירה ומדיניות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העונש שהושת על המערער אינו מופרז בהינתן חומרת מעשיו – ודומה שיש בו גם כדי להקל עמו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 סבור כי יש לדחות 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12.6.2022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 הדרים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15.5.2022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21086220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54678313-8622/21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8622/21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שחר הולר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02744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448.a" TargetMode="External"/><Relationship Id="rId6" Type="http://schemas.openxmlformats.org/officeDocument/2006/relationships/hyperlink" Target="http://www.nevo.co.il/case/27027444" TargetMode="External"/><Relationship Id="rId7" Type="http://schemas.openxmlformats.org/officeDocument/2006/relationships/hyperlink" Target="http://www.nevo.co.il/law/70301/448.a" TargetMode="External"/><Relationship Id="rId8" Type="http://schemas.openxmlformats.org/officeDocument/2006/relationships/hyperlink" Target="http://www.nevo.co.il/law/70301/29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8200855" TargetMode="External"/><Relationship Id="rId11" Type="http://schemas.openxmlformats.org/officeDocument/2006/relationships/hyperlink" Target="http://www.nevo.co.il/case/28266103" TargetMode="External"/><Relationship Id="rId12" Type="http://schemas.openxmlformats.org/officeDocument/2006/relationships/hyperlink" Target="http://www.nevo.co.il/case/25651834" TargetMode="External"/><Relationship Id="rId13" Type="http://schemas.openxmlformats.org/officeDocument/2006/relationships/hyperlink" Target="http://www.nevo.co.il/case/26684901" TargetMode="External"/><Relationship Id="rId14" Type="http://schemas.openxmlformats.org/officeDocument/2006/relationships/hyperlink" Target="http://www.nevo.co.il/case/28266102" TargetMode="External"/><Relationship Id="rId15" Type="http://schemas.openxmlformats.org/officeDocument/2006/relationships/hyperlink" Target="http://www.nevo.co.il/case/20683356" TargetMode="External"/><Relationship Id="rId16" Type="http://schemas.openxmlformats.org/officeDocument/2006/relationships/hyperlink" Target="http://www.nevo.co.il/case/26978020" TargetMode="External"/><Relationship Id="rId17" Type="http://schemas.openxmlformats.org/officeDocument/2006/relationships/hyperlink" Target="http://www.nevo.co.il/case/5569233" TargetMode="External"/><Relationship Id="rId18" Type="http://schemas.openxmlformats.org/officeDocument/2006/relationships/hyperlink" Target="http://www.nevo.co.il/case/23751050" TargetMode="External"/><Relationship Id="rId19" Type="http://schemas.openxmlformats.org/officeDocument/2006/relationships/hyperlink" Target="http://www.nevo.co.il/case/27841900" TargetMode="External"/><Relationship Id="rId20" Type="http://schemas.openxmlformats.org/officeDocument/2006/relationships/hyperlink" Target="http://www.nevo.co.il/case/27525981" TargetMode="External"/><Relationship Id="rId21" Type="http://schemas.openxmlformats.org/officeDocument/2006/relationships/hyperlink" Target="http://www.nevo.co.il/case/18058872" TargetMode="External"/><Relationship Id="rId22" Type="http://schemas.openxmlformats.org/officeDocument/2006/relationships/hyperlink" Target="https://supreme.court.gov.il/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2022-05-16T08:23:00Z</dcterms:created>
  <dc:creator>h4</dc:creator>
  <dc:description/>
  <cp:keywords/>
  <dc:language>en-IL</dc:language>
  <cp:lastModifiedBy>orly</cp:lastModifiedBy>
  <cp:lastPrinted>2022-05-15T09:00:00Z</cp:lastPrinted>
  <dcterms:modified xsi:type="dcterms:W3CDTF">2022-05-16T08:23:00Z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שחר הולר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27027444:2;28200855;28266103;25651834;26684901;28266102;20683356;26978020;5569233;23751050;27841900;27525981;18058872</vt:lpwstr>
  </property>
  <property fmtid="{D5CDD505-2E9C-101B-9397-08002B2CF9AE}" pid="9" name="CITY">
    <vt:lpwstr/>
  </property>
  <property fmtid="{D5CDD505-2E9C-101B-9397-08002B2CF9AE}" pid="10" name="DATE">
    <vt:lpwstr>20220515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אלרון;ע' גרוסקופף;ג' כנפי שטייניץ</vt:lpwstr>
  </property>
  <property fmtid="{D5CDD505-2E9C-101B-9397-08002B2CF9AE}" pid="14" name="LAWLISTTMP1">
    <vt:lpwstr>70301/448.a;029.b</vt:lpwstr>
  </property>
  <property fmtid="{D5CDD505-2E9C-101B-9397-08002B2CF9AE}" pid="15" name="LAWYER">
    <vt:lpwstr>מסעד מסעד;משה יוחאי;ברכה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התערבות ערכאת הערעור</vt:lpwstr>
  </property>
  <property fmtid="{D5CDD505-2E9C-101B-9397-08002B2CF9AE}" pid="51" name="NOSE33">
    <vt:lpwstr>מדיניות ענישה: הצתה</vt:lpwstr>
  </property>
  <property fmtid="{D5CDD505-2E9C-101B-9397-08002B2CF9AE}" pid="52" name="NOSE34">
    <vt:lpwstr>שיקולים</vt:lpwstr>
  </property>
  <property fmtid="{D5CDD505-2E9C-101B-9397-08002B2CF9AE}" pid="53" name="NOSE35">
    <vt:lpwstr>מתחם הענישה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17039;8978;15357;16896;14985</vt:lpwstr>
  </property>
  <property fmtid="{D5CDD505-2E9C-101B-9397-08002B2CF9AE}" pid="59" name="PADIDATE">
    <vt:lpwstr>20220516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8622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410120220515</vt:lpwstr>
  </property>
  <property fmtid="{D5CDD505-2E9C-101B-9397-08002B2CF9AE}" pid="69" name="TYPE_N_DATE">
    <vt:lpwstr>41020220515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