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"/>
          <w:szCs w:val="2"/>
        </w:rPr>
      </w:pPr>
      <w:r>
        <w:rPr>
          <w:rFonts w:cs="Miriam"/>
          <w:b/>
          <w:bCs/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8653/22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"/>
          <w:szCs w:val="2"/>
        </w:rPr>
      </w:pPr>
      <w:r>
        <w:rPr>
          <w:rFonts w:cs="Miriam"/>
          <w:b/>
          <w:bCs/>
          <w:sz w:val="2"/>
          <w:szCs w:val="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 xml:space="preserve">',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מנדלבום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36027-09-21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5.6.2023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פיסו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גוזר את דינו של נאשם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ליתן משקל מוגבר לשיקולי שיקום ולהתחשבות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לכחד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על תנאי ותשלום פיצוי מקסימלי למשפחת 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הרשעתו ברצח קטין בן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שבוצע את המשיב היה בן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עונש מקל ביחס לעבירה בה הורשע ולנסיבות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ובהחלט ניתן היה לייחס משקל שונה לכל אחד מן השיקולים ולהשית על המשיב עונש חמור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לא במידה קיצונית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ובאופן שמצדיק את התערבותה של ערכאת הערעור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עבירת 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על 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לנוער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הושתו על 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הרשעתו ברצח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לצד עונשי מאסר על תנאי ופיצוי על סך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שישולם להורי קרבן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שנת </w:t>
      </w:r>
      <w:r>
        <w:rPr>
          <w:rFonts w:cs="Times New Roman" w:ascii="Times New Roman" w:hAnsi="Times New Roman"/>
          <w:spacing w:val="0"/>
          <w:sz w:val="24"/>
          <w:szCs w:val="26"/>
        </w:rPr>
        <w:t>2006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והמנוח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שנת </w:t>
      </w:r>
      <w:r>
        <w:rPr>
          <w:rFonts w:cs="Times New Roman" w:ascii="Times New Roman" w:hAnsi="Times New Roman"/>
          <w:spacing w:val="0"/>
          <w:sz w:val="24"/>
          <w:szCs w:val="26"/>
        </w:rPr>
        <w:t>2003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בהרצחו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כיודע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התערבות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בגזר דין שמורה למקרים חריגים שבהם נפלה טעות מהותית בהחלטת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שהעונש שנגזר על ידה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דנא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בא בגדר אותם 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במילים על אודות חומרתה הרבה של העבירה בה הורשע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הרצח היא מן העבירות החמורות בספר החוקים אם לא החמורה שבהן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עמד לא אחת על הצורך למגר את תופעת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סכינאות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הרווחת באזורנו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בקרב צעירים ובני 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גובה מחירים כבדים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תופעה זו מחייבת נקיטת ענישה חמורה ומרתיעה שתבטא את סלידת החברה ממעשים נתעבים מעין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תהלום את חומרתם ותגן על שלום הציבור מפניהם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 העונש הראוי שיש להשית על נאשם היא מלאכה קשה הדורשת הפעלת שיקול דעת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וכוללת בחובה צורך לאזן בין שיקולי הענישה השונים ולהתחשב במכלול הנתונים ונסיבות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לנסיבות העניין ניתן משקל יתר לשיקולי שיקום ומשקל חסר לשיקולים של גמול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הלימה והגנה על 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ממש בטענות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מכך שמדובר בענייננו בקטין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כי קטינוּת אינה מהווה חסינות מענישה שתהלום את חומרת העבירה ואף לא מהטלת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כי כאשר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גוזר את דינו של נאשם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ליתן משקל מוגבר לשיקולי שיקום ולהתחשבות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הנסיבות המחמירות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עמד על הנסיבות השונות לקולא המתקיימות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מלבד היות המשיב קטין כבן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למנות את נסיבות חייו המורכבות והקשות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שהצטיידותו של המשיב בסכין נעשתה בשל חששו מהמנוח על רקע המריבה שהתרחשה ביניהם מוקדם יותר באותו ערב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במהלכה עשה המנוח שימוש בסכין במטרה לאיים עליו ולהרחיקו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שהדקירות בוצעו רק לאחר שהמנוח היכה על עורפו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שהדקירות כולן בוצעו בתכיפות זו לזו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שעולה מהצפייה בסרטונים על אודות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 נעדר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 שהוא הסגיר עצמו למשטרה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לקח אחריות על מעשיו והודה בשלב מוקדם של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לכחד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המשיב הוא עונש מקל ביחס לעבירה בה הורשע ולנסיבות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ובהחלט ניתן היה לייחס משקל שונה לכל אחד מן השיקולים ולהשית על המשיב עונש חמור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לא במידה קיצונית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ובאופן שמצדיק את התערבותה של ערכאת הערעור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בסופו של דבר הושת על המשיב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על תנאי ותשלום פיצוי מקסימלי למשפחת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לומר אפוא כי מדובר במקרה המגלה טעות 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בעונש שחורג בצורה קיצונית 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שיש בו כדי להצדיק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השופטים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ציגלר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מנדלבום</w:t>
      </w:r>
      <w:r>
        <w:rPr>
          <w:rtl w:val="true"/>
        </w:rPr>
        <w:t xml:space="preserve">)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36027-09-21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2.11.2022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הודה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רצח בכוונה 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התשל״ז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2006</w:t>
      </w:r>
      <w:r>
        <w:rPr>
          <w:rtl w:val="true"/>
        </w:rPr>
        <w:t xml:space="preserve">) </w:t>
      </w:r>
      <w:r>
        <w:rPr>
          <w:rtl w:val="true"/>
        </w:rPr>
        <w:t xml:space="preserve">והמנוח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2003</w:t>
      </w:r>
      <w:r>
        <w:rPr>
          <w:rtl w:val="true"/>
        </w:rPr>
        <w:t xml:space="preserve">), </w:t>
      </w:r>
      <w:r>
        <w:rPr>
          <w:rtl w:val="true"/>
        </w:rPr>
        <w:t>אשר הייתה ביניהם היכרות מוקדמת</w:t>
      </w:r>
      <w:r>
        <w:rPr>
          <w:rtl w:val="true"/>
        </w:rPr>
        <w:t xml:space="preserve">, </w:t>
      </w:r>
      <w:r>
        <w:rPr>
          <w:rtl w:val="true"/>
        </w:rPr>
        <w:t xml:space="preserve">נפגשו באקראי בערב יום </w:t>
      </w:r>
      <w:r>
        <w:rPr/>
        <w:t>23.8.2021</w:t>
      </w:r>
      <w:r>
        <w:rPr>
          <w:rtl w:val="true"/>
        </w:rPr>
        <w:t xml:space="preserve"> </w:t>
      </w:r>
      <w:r>
        <w:rPr>
          <w:rtl w:val="true"/>
        </w:rPr>
        <w:t>בפיצריי</w:t>
      </w:r>
      <w:r>
        <w:rPr>
          <w:rtl w:val="true"/>
        </w:rPr>
        <w:t>ה</w:t>
      </w:r>
      <w:r>
        <w:rPr>
          <w:rtl w:val="true"/>
        </w:rPr>
        <w:t xml:space="preserve"> ביישוב מגוריהם</w:t>
      </w:r>
      <w:r>
        <w:rPr>
          <w:rtl w:val="true"/>
        </w:rPr>
        <w:t xml:space="preserve">. </w:t>
      </w:r>
      <w:r>
        <w:rPr>
          <w:rtl w:val="true"/>
        </w:rPr>
        <w:t>בשלב מסוים התפתחה בין השניים מריבה שבמהלכה נטל המנוח סכין מהפיצרייה במטרה להרחיק את המשיב מהמקום</w:t>
      </w:r>
      <w:r>
        <w:rPr>
          <w:rtl w:val="true"/>
        </w:rPr>
        <w:t xml:space="preserve">. </w:t>
      </w:r>
      <w:r>
        <w:rPr>
          <w:rtl w:val="true"/>
        </w:rPr>
        <w:t>לאחר מכן השניים נפרדו לדרכם ומאוחר יותר באותו לילה תיאמו להיפגש שנית</w:t>
      </w:r>
      <w:r>
        <w:rPr>
          <w:rtl w:val="true"/>
        </w:rPr>
        <w:t xml:space="preserve">. </w:t>
      </w:r>
      <w:r>
        <w:rPr>
          <w:rtl w:val="true"/>
        </w:rPr>
        <w:t>זאת לאחר שהמשיב שלח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שהייתה בקשרי ידידות עם המנוח</w:t>
      </w:r>
      <w:r>
        <w:rPr>
          <w:rtl w:val="true"/>
        </w:rPr>
        <w:t xml:space="preserve">, </w:t>
      </w:r>
      <w:r>
        <w:rPr>
          <w:rtl w:val="true"/>
        </w:rPr>
        <w:t>הודעה בה נכללו איומים</w:t>
      </w:r>
      <w:r>
        <w:rPr>
          <w:rtl w:val="true"/>
        </w:rPr>
        <w:t xml:space="preserve">, </w:t>
      </w:r>
      <w:r>
        <w:rPr>
          <w:rtl w:val="true"/>
        </w:rPr>
        <w:t>ובעקבות בקשתה של א</w:t>
      </w:r>
      <w:r>
        <w:rPr>
          <w:rtl w:val="true"/>
        </w:rPr>
        <w:t xml:space="preserve">' </w:t>
      </w:r>
      <w:r>
        <w:rPr>
          <w:rtl w:val="true"/>
        </w:rPr>
        <w:t xml:space="preserve">מהמנוח כי </w:t>
      </w:r>
      <w:r>
        <w:rPr>
          <w:rtl w:val="true"/>
        </w:rPr>
        <w:t>"</w:t>
      </w:r>
      <w:r>
        <w:rPr>
          <w:rtl w:val="true"/>
        </w:rPr>
        <w:t>ירגיע</w:t>
      </w:r>
      <w:r>
        <w:rPr>
          <w:rtl w:val="true"/>
        </w:rPr>
        <w:t xml:space="preserve">" </w:t>
      </w:r>
      <w:r>
        <w:rPr>
          <w:rtl w:val="true"/>
        </w:rPr>
        <w:t>את המשיב</w:t>
      </w:r>
      <w:r>
        <w:rPr>
          <w:rtl w:val="true"/>
        </w:rPr>
        <w:t xml:space="preserve">. </w:t>
      </w:r>
      <w:r>
        <w:rPr>
          <w:rtl w:val="true"/>
        </w:rPr>
        <w:t xml:space="preserve">המשיב הגיע לפגישה כשהוא מצויד בסכין בעלת להב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המוחבאת בכיס מכנסיו</w:t>
      </w:r>
      <w:r>
        <w:rPr>
          <w:rtl w:val="true"/>
        </w:rPr>
        <w:t xml:space="preserve">, </w:t>
      </w:r>
      <w:r>
        <w:rPr>
          <w:rtl w:val="true"/>
        </w:rPr>
        <w:t>וזאת על רקע המפגש עם המנוח מוקדם יותר באותו ערב וחששו ממנו</w:t>
      </w:r>
      <w:r>
        <w:rPr>
          <w:rtl w:val="true"/>
        </w:rPr>
        <w:t xml:space="preserve">. </w:t>
      </w:r>
      <w:r>
        <w:rPr>
          <w:rtl w:val="true"/>
        </w:rPr>
        <w:t>השניים שוחחו ברחוב עד שבשלב מסוים היכה המנוח את המשיב בעורפו</w:t>
      </w:r>
      <w:r>
        <w:rPr>
          <w:rtl w:val="true"/>
        </w:rPr>
        <w:t xml:space="preserve">. </w:t>
      </w:r>
      <w:r>
        <w:rPr>
          <w:rtl w:val="true"/>
        </w:rPr>
        <w:t>בתגובה לכך שלף המשיב את הסכין</w:t>
      </w:r>
      <w:r>
        <w:rPr>
          <w:rtl w:val="true"/>
        </w:rPr>
        <w:t xml:space="preserve">, </w:t>
      </w:r>
      <w:r>
        <w:rPr>
          <w:rtl w:val="true"/>
        </w:rPr>
        <w:t>התקדם לעבר המנוח ודקר אותו ארבע דקירות בגבו</w:t>
      </w:r>
      <w:r>
        <w:rPr>
          <w:rtl w:val="true"/>
        </w:rPr>
        <w:t xml:space="preserve">, </w:t>
      </w:r>
      <w:r>
        <w:rPr>
          <w:rtl w:val="true"/>
        </w:rPr>
        <w:t>בחזהו ובירכו במטרה להמיתו</w:t>
      </w:r>
      <w:r>
        <w:rPr>
          <w:rtl w:val="true"/>
        </w:rPr>
        <w:t xml:space="preserve">. </w:t>
      </w:r>
      <w:r>
        <w:rPr>
          <w:rtl w:val="true"/>
        </w:rPr>
        <w:t>המנוח פונה לבית החולים כשהוא ללא רוח חיים כאשר מותו נגרם בעקבות איבוד דם נרחב שנוצר כתוצאה מהדקירות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יסוד הודאתו של המשיב קבע בית המשפט ביום </w:t>
      </w:r>
      <w:r>
        <w:rPr/>
        <w:t>2.5.2022</w:t>
      </w:r>
      <w:r>
        <w:rPr>
          <w:rtl w:val="true"/>
        </w:rPr>
        <w:t xml:space="preserve"> </w:t>
      </w:r>
      <w:r>
        <w:rPr>
          <w:rtl w:val="true"/>
        </w:rPr>
        <w:t>כי הוא ביצע את המעשים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ובהמשך לכך הורה על הגשת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פורטו בהרחבה נסיבות חייו הקשות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לרבות </w:t>
      </w:r>
      <w:r>
        <w:rPr>
          <w:rtl w:val="true"/>
        </w:rPr>
        <w:t>התייתמותו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 </w:t>
      </w:r>
      <w:r>
        <w:rPr>
          <w:rtl w:val="true"/>
        </w:rPr>
        <w:t>מאמו</w:t>
      </w:r>
      <w:r>
        <w:rPr>
          <w:rtl w:val="true"/>
        </w:rPr>
        <w:t xml:space="preserve"> ש</w:t>
      </w:r>
      <w:r>
        <w:rPr>
          <w:rtl w:val="true"/>
        </w:rPr>
        <w:t>נפטרה</w:t>
      </w:r>
      <w:r>
        <w:rPr>
          <w:rtl w:val="true"/>
        </w:rPr>
        <w:t xml:space="preserve"> </w:t>
      </w:r>
      <w:r>
        <w:rPr>
          <w:rtl w:val="true"/>
        </w:rPr>
        <w:t>ממחלה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מערכת היחסים המורכבת בינו לבין אביו שהתאפיינה </w:t>
      </w:r>
      <w:r>
        <w:rPr>
          <w:rtl w:val="true"/>
        </w:rPr>
        <w:t>באלימות</w:t>
      </w:r>
      <w:r>
        <w:rPr>
          <w:rtl w:val="true"/>
        </w:rPr>
        <w:t xml:space="preserve">; </w:t>
      </w:r>
      <w:r>
        <w:rPr>
          <w:rtl w:val="true"/>
        </w:rPr>
        <w:t>נשירתו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המסגרות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; </w:t>
      </w:r>
      <w:r>
        <w:rPr>
          <w:rtl w:val="true"/>
        </w:rPr>
        <w:t>אבחונו</w:t>
      </w:r>
      <w:r>
        <w:rPr>
          <w:rtl w:val="true"/>
        </w:rPr>
        <w:t xml:space="preserve"> </w:t>
      </w:r>
      <w:r>
        <w:rPr>
          <w:rtl w:val="true"/>
        </w:rPr>
        <w:t>כלוקה</w:t>
      </w:r>
      <w:r>
        <w:rPr>
          <w:rtl w:val="true"/>
        </w:rPr>
        <w:t xml:space="preserve"> </w:t>
      </w:r>
      <w:r>
        <w:rPr>
          <w:rtl w:val="true"/>
        </w:rPr>
        <w:t>בהפרעות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חמורות</w:t>
      </w:r>
      <w:r>
        <w:rPr>
          <w:rtl w:val="true"/>
        </w:rPr>
        <w:t xml:space="preserve">; </w:t>
      </w:r>
      <w:r>
        <w:rPr>
          <w:rtl w:val="true"/>
        </w:rPr>
        <w:t>ואשפוזיו</w:t>
      </w:r>
      <w:r>
        <w:rPr>
          <w:rtl w:val="true"/>
        </w:rPr>
        <w:t xml:space="preserve"> </w:t>
      </w:r>
      <w:r>
        <w:rPr>
          <w:rtl w:val="true"/>
        </w:rPr>
        <w:t xml:space="preserve">החוזרים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התפרצויות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כן פורטו בתסקיר התנהלותו הבעייתית בבית הסוהר </w:t>
      </w:r>
      <w:r>
        <w:rPr>
          <w:rtl w:val="true"/>
        </w:rPr>
        <w:t>"</w:t>
      </w:r>
      <w:r>
        <w:rPr>
          <w:rtl w:val="true"/>
        </w:rPr>
        <w:t>אופק</w:t>
      </w:r>
      <w:r>
        <w:rPr>
          <w:rtl w:val="true"/>
        </w:rPr>
        <w:t xml:space="preserve">" </w:t>
      </w:r>
      <w:r>
        <w:rPr>
          <w:rtl w:val="true"/>
        </w:rPr>
        <w:t>בו שהה במעצר</w:t>
      </w:r>
      <w:r>
        <w:rPr>
          <w:rtl w:val="true"/>
        </w:rPr>
        <w:t xml:space="preserve">, </w:t>
      </w:r>
      <w:r>
        <w:rPr>
          <w:rtl w:val="true"/>
        </w:rPr>
        <w:t>והקשיים שגילה בהסתגלות לכללי המקום</w:t>
      </w:r>
      <w:r>
        <w:rPr>
          <w:rtl w:val="true"/>
        </w:rPr>
        <w:t xml:space="preserve">. </w:t>
      </w:r>
      <w:r>
        <w:rPr>
          <w:rtl w:val="true"/>
        </w:rPr>
        <w:t>מהתסקיר עלה גם כי המשיב אינו בשל להליך טיפולי וכי קשה להצביע על גורמי סיכוי כלשהם לשיקומו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שהרשיע את המשיב בעבירה שיוחסה לו</w:t>
      </w:r>
      <w:r>
        <w:rPr>
          <w:rtl w:val="true"/>
        </w:rPr>
        <w:t xml:space="preserve">, </w:t>
      </w:r>
      <w:r>
        <w:rPr>
          <w:rtl w:val="true"/>
        </w:rPr>
        <w:t>עמד בית המשפט בגזר דינו על הייחודיות והמורכבות הכרוכה בענישת קטינים</w:t>
      </w:r>
      <w:r>
        <w:rPr>
          <w:rtl w:val="true"/>
        </w:rPr>
        <w:t xml:space="preserve">, </w:t>
      </w:r>
      <w:r>
        <w:rPr>
          <w:rtl w:val="true"/>
        </w:rPr>
        <w:t>ועל הדגש שיש לתת בעניינם למיצוי סיכויי שיקום ולנסיבותיהם האישיות</w:t>
      </w:r>
      <w:r>
        <w:rPr>
          <w:rtl w:val="true"/>
        </w:rPr>
        <w:t xml:space="preserve">. </w:t>
      </w:r>
      <w:r>
        <w:rPr>
          <w:rtl w:val="true"/>
        </w:rPr>
        <w:t>יחד עם זאת צוין כי קטינוּת איננה חסינות וגם יתר שיקולי הענישה נלקחים בחשבון</w:t>
      </w:r>
      <w:r>
        <w:rPr>
          <w:rtl w:val="true"/>
        </w:rPr>
        <w:t xml:space="preserve">. </w:t>
      </w:r>
      <w:r>
        <w:rPr>
          <w:rtl w:val="true"/>
        </w:rPr>
        <w:t>צוין כי במקרה דנן עולה תמונה קשה ומורכבת</w:t>
      </w:r>
      <w:r>
        <w:rPr>
          <w:rtl w:val="true"/>
        </w:rPr>
        <w:t xml:space="preserve">, </w:t>
      </w:r>
      <w:r>
        <w:rPr>
          <w:rtl w:val="true"/>
        </w:rPr>
        <w:t>וקיימים שיקולים כבדי משקל לכאן ולכאן</w:t>
      </w:r>
      <w:r>
        <w:rPr>
          <w:rtl w:val="true"/>
        </w:rPr>
        <w:t xml:space="preserve">. </w:t>
      </w:r>
      <w:r>
        <w:rPr>
          <w:rtl w:val="true"/>
        </w:rPr>
        <w:t>לחובת המשיב נשקלו התוצאות הקשות של מעשיו אשר גרמו לגדיעת חיי המנוח בדמי ימיו ולפגיעה קשה ביותר במשפחתו</w:t>
      </w:r>
      <w:r>
        <w:rPr>
          <w:rtl w:val="true"/>
        </w:rPr>
        <w:t xml:space="preserve">; </w:t>
      </w:r>
      <w:r>
        <w:rPr>
          <w:rtl w:val="true"/>
        </w:rPr>
        <w:t>נסיבותיו החמורות של המקרה והעובדה שהרצח אירע על רקע סכסוך סתמי בלבד</w:t>
      </w:r>
      <w:r>
        <w:rPr>
          <w:rtl w:val="true"/>
        </w:rPr>
        <w:t xml:space="preserve">; </w:t>
      </w:r>
      <w:r>
        <w:rPr>
          <w:rtl w:val="true"/>
        </w:rPr>
        <w:t>שיקולי גמול והלימה בשים לב לערך קדושת החיים והעובדה שחיי אדם צעיר נקטלו</w:t>
      </w:r>
      <w:r>
        <w:rPr>
          <w:rtl w:val="true"/>
        </w:rPr>
        <w:t xml:space="preserve">; </w:t>
      </w:r>
      <w:r>
        <w:rPr>
          <w:rtl w:val="true"/>
        </w:rPr>
        <w:t>וכן שיקולים של שמירה על ביטחון הציבור באמצעות הרחקת המשיב לזמן ממושך מן החברה בשל מסוכנותו ועל רקע ההערכה כי אינו מתאים להליך שיקומי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מנגד נשקלו לקולא גילו הצעיר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שהיה קטין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; </w:t>
      </w:r>
      <w:r>
        <w:rPr>
          <w:rtl w:val="true"/>
        </w:rPr>
        <w:t>היותו נעדר עבר פלילי</w:t>
      </w:r>
      <w:r>
        <w:rPr>
          <w:rtl w:val="true"/>
        </w:rPr>
        <w:t xml:space="preserve">; </w:t>
      </w:r>
      <w:r>
        <w:rPr>
          <w:rtl w:val="true"/>
        </w:rPr>
        <w:t>והעובדה שכוונת הקטילה התגבשה בקרבו רק בסמוך למעשה הדקירה</w:t>
      </w:r>
      <w:r>
        <w:rPr>
          <w:rtl w:val="true"/>
        </w:rPr>
        <w:t xml:space="preserve">. </w:t>
      </w:r>
      <w:r>
        <w:rPr>
          <w:rtl w:val="true"/>
        </w:rPr>
        <w:t>בהקשר זה צוין כי נטילת הסכין נעשתה על רקע האירוע שהתרחש מוקדם יותר באותו ערב וחששו של המשיב מהמנוח</w:t>
      </w:r>
      <w:r>
        <w:rPr>
          <w:rtl w:val="true"/>
        </w:rPr>
        <w:t xml:space="preserve">, </w:t>
      </w:r>
      <w:r>
        <w:rPr>
          <w:rtl w:val="true"/>
        </w:rPr>
        <w:t>והדקירה בוצעה לאחר שהמנוח היכה על עורפו של המשיב</w:t>
      </w:r>
      <w:r>
        <w:rPr>
          <w:rtl w:val="true"/>
        </w:rPr>
        <w:t xml:space="preserve">. </w:t>
      </w:r>
      <w:r>
        <w:rPr>
          <w:rtl w:val="true"/>
        </w:rPr>
        <w:t>בנוסף עמד בית המשפט על נסיבות חייו הקשות של המשיב והדגיש כי מכיוון שמדובר בנער צעיר שהיה נתון מתוקף גילו להחלטותיהם ובחירותיהם של אחרים</w:t>
      </w:r>
      <w:r>
        <w:rPr>
          <w:rtl w:val="true"/>
        </w:rPr>
        <w:t xml:space="preserve">, </w:t>
      </w:r>
      <w:r>
        <w:rPr>
          <w:rtl w:val="true"/>
        </w:rPr>
        <w:t>על העונש שייגזר עליו לשקף זאת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המשיב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והודה במיוחס לו בשלב מוקדם יחסית של ההליך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אומנם כיום לא ניתן למצוא גורם סיכוי לשיקום</w:t>
      </w:r>
      <w:r>
        <w:rPr>
          <w:rtl w:val="true"/>
        </w:rPr>
        <w:t xml:space="preserve">, </w:t>
      </w:r>
      <w:r>
        <w:rPr>
          <w:rtl w:val="true"/>
        </w:rPr>
        <w:t>אולם אין בכך כדי לסתום את הגולל לחלוטין על הסיכוי לשקמו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לאחר סקירה של מנעד הענישה הנוהגת בעניינם של קטינים שהורשעו בעבירת רצח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על המשיב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לצד עונשים נלווים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הלינה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קולת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שהושת 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וטענה כי הוא אינו הולם את חומרתה היתרה של העבירה בה הורשע</w:t>
      </w:r>
      <w:r>
        <w:rPr>
          <w:rtl w:val="true"/>
        </w:rPr>
        <w:t xml:space="preserve">, </w:t>
      </w:r>
      <w:r>
        <w:rPr>
          <w:rtl w:val="true"/>
        </w:rPr>
        <w:t>את נסיבות ביצועה ואת הצורך להגן על שלום הציבור</w:t>
      </w:r>
      <w:r>
        <w:rPr>
          <w:rtl w:val="true"/>
        </w:rPr>
        <w:t xml:space="preserve">. </w:t>
      </w:r>
      <w:r>
        <w:rPr>
          <w:rtl w:val="true"/>
        </w:rPr>
        <w:t>נטען כי אף אם גילו הצעיר של המשיב ונסיבות חייו הקשות מצדיקים הטלת עונש שאינו מאסר עולם</w:t>
      </w:r>
      <w:r>
        <w:rPr>
          <w:rtl w:val="true"/>
        </w:rPr>
        <w:t xml:space="preserve">, </w:t>
      </w:r>
      <w:r>
        <w:rPr>
          <w:rtl w:val="true"/>
        </w:rPr>
        <w:t>הרי שראוי היה להטיל עליו עונש מאסר ממושך יותר מזה שהושת עליו</w:t>
      </w:r>
      <w:r>
        <w:rPr>
          <w:rtl w:val="true"/>
        </w:rPr>
        <w:t xml:space="preserve">. </w:t>
      </w:r>
      <w:r>
        <w:rPr>
          <w:rtl w:val="true"/>
        </w:rPr>
        <w:t>המערערת הדגישה את החומרה היתרה שבעבירת הרצח ואת הסיכון שנשקף לציבור מהמשיב</w:t>
      </w:r>
      <w:r>
        <w:rPr>
          <w:rtl w:val="true"/>
        </w:rPr>
        <w:t xml:space="preserve">, </w:t>
      </w:r>
      <w:r>
        <w:rPr>
          <w:rtl w:val="true"/>
        </w:rPr>
        <w:t xml:space="preserve">וטענה כי למרות שמדובר בקטין צריך היה לתת דגש מרכזי יותר לשיקולי גמול והרתעה ולהורות על הרחקתו </w:t>
      </w:r>
      <w:r>
        <w:rPr>
          <w:rtl w:val="true"/>
        </w:rPr>
        <w:t>מהחברה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זאת בפרט נוכח הערכת גורמי המקצוע בדבר היעדרם של סיכויי שיקום בעניינו</w:t>
      </w:r>
      <w:r>
        <w:rPr>
          <w:rtl w:val="true"/>
        </w:rPr>
        <w:t xml:space="preserve">. </w:t>
      </w: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אין בתקווה הקלושה כי בעתיד המשיב יירתם לתהליך שיקומי וישנה את אורחותיו כדי להצדיק הקלה כה משמעותית בעונשו</w:t>
      </w:r>
      <w:r>
        <w:rPr>
          <w:rtl w:val="true"/>
        </w:rPr>
        <w:t xml:space="preserve">. </w:t>
      </w:r>
      <w:r>
        <w:rPr>
          <w:rtl w:val="true"/>
        </w:rPr>
        <w:t>המערערת עמדה גם על הצורך בהחמרת הענישה כך שתבטא את החומרה הרבה שבעבירות אלימות בכלל ובתופעת השימוש חסר הרסן בסכינים במסגרת סכסוכים בקרב צעירים וקטינים בפרט</w:t>
      </w:r>
      <w:r>
        <w:rPr>
          <w:rtl w:val="true"/>
        </w:rPr>
        <w:t xml:space="preserve">. </w:t>
      </w:r>
      <w:r>
        <w:rPr>
          <w:rtl w:val="true"/>
        </w:rPr>
        <w:t>לבסוף טענה המערערת כי על העונש להלום את הפגיעה הקשה במשפחת המנוח</w:t>
      </w:r>
      <w:r>
        <w:rPr>
          <w:rtl w:val="true"/>
        </w:rPr>
        <w:t xml:space="preserve">, </w:t>
      </w:r>
      <w:r>
        <w:rPr>
          <w:rtl w:val="true"/>
        </w:rPr>
        <w:t>וביקשה להחמיר בעונש במידה ניכרת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בדיון לפנינו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</w:t>
      </w:r>
      <w:r>
        <w:rPr>
          <w:rtl w:val="true"/>
        </w:rPr>
        <w:t>מערערת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 xml:space="preserve"> </w:t>
      </w:r>
      <w:r>
        <w:rPr>
          <w:rtl w:val="true"/>
        </w:rPr>
        <w:t>והוסיפה</w:t>
      </w:r>
      <w:r>
        <w:rPr>
          <w:rtl w:val="true"/>
        </w:rPr>
        <w:t xml:space="preserve"> </w:t>
      </w:r>
      <w:r>
        <w:rPr>
          <w:rtl w:val="true"/>
        </w:rPr>
        <w:t>כי מסקירת מדיניות הענישה הנוהגת במקרים דומים עולה שיש מקום להחמיר בעונשו של המשיב</w:t>
      </w:r>
      <w:r>
        <w:rPr>
          <w:rtl w:val="true"/>
        </w:rPr>
        <w:t xml:space="preserve">. </w:t>
      </w:r>
      <w:r>
        <w:rPr>
          <w:rtl w:val="true"/>
        </w:rPr>
        <w:t>הודגש כי לאחרונה חלה שחיקה ברף הענישה במקרים של קטינים שהורשעו בעבירות חמורות</w:t>
      </w:r>
      <w:r>
        <w:rPr>
          <w:rtl w:val="true"/>
        </w:rPr>
        <w:t xml:space="preserve">, </w:t>
      </w:r>
      <w:r>
        <w:rPr>
          <w:rtl w:val="true"/>
        </w:rPr>
        <w:t>בשל המשקל הכמעט בלעדי שניתן לשיקולי שיקום על חשבון יתר שיקולי 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 בא</w:t>
      </w:r>
      <w:r>
        <w:rPr>
          <w:rtl w:val="true"/>
        </w:rPr>
        <w:t>-</w:t>
      </w:r>
      <w:r>
        <w:rPr>
          <w:rtl w:val="true"/>
        </w:rPr>
        <w:t>כוח המשיב טען כי המקרים שעליהם הצביעה המערערת נבדלים לחומרה מענייננו</w:t>
      </w:r>
      <w:r>
        <w:rPr>
          <w:rtl w:val="true"/>
        </w:rPr>
        <w:t xml:space="preserve">, </w:t>
      </w:r>
      <w:r>
        <w:rPr>
          <w:rtl w:val="true"/>
        </w:rPr>
        <w:t>והצביע על מקרים אחרים בהם הוטל עונש קל יותר על קטינים שהורשעו בעבירות המתה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גזר דינו של בית המשפט המחוזי מנומק ומפורט</w:t>
      </w:r>
      <w:r>
        <w:rPr>
          <w:rtl w:val="true"/>
        </w:rPr>
        <w:t xml:space="preserve">, </w:t>
      </w:r>
      <w:r>
        <w:rPr>
          <w:rtl w:val="true"/>
        </w:rPr>
        <w:t>נשקלו בו כל השיקולים הרלוונטיים ולא נפלה בו כל טעות קיצונית המצדיקה התערבות</w:t>
      </w:r>
      <w:r>
        <w:rPr>
          <w:rtl w:val="true"/>
        </w:rPr>
        <w:t xml:space="preserve">. </w:t>
      </w:r>
      <w:r>
        <w:rPr>
          <w:rtl w:val="true"/>
        </w:rPr>
        <w:t>הודגש כי 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המשיב גמל בליבו לקטול את המנוח רק אחרי שהוכה על ידו</w:t>
      </w:r>
      <w:r>
        <w:rPr>
          <w:rtl w:val="true"/>
        </w:rPr>
        <w:t xml:space="preserve">, </w:t>
      </w:r>
      <w:r>
        <w:rPr>
          <w:rtl w:val="true"/>
        </w:rPr>
        <w:t>והדקירות נעשו ברציפות במשך שניות בודדות מבלי שהמשיב יכול היה לחשוב על המעשה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המעשה הושפע מהאירוע שהתרחש בין המשיב למנוח מוקדם יותר באותו ערב</w:t>
      </w:r>
      <w:r>
        <w:rPr>
          <w:rtl w:val="true"/>
        </w:rPr>
        <w:t xml:space="preserve">, </w:t>
      </w:r>
      <w:r>
        <w:rPr>
          <w:rtl w:val="true"/>
        </w:rPr>
        <w:t>ומחששו של המשיב מהמנוח שאיים עליו באמצעות סכין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המשיב הסגיר את עצמו למשטרה</w:t>
      </w:r>
      <w:r>
        <w:rPr>
          <w:rtl w:val="true"/>
        </w:rPr>
        <w:t xml:space="preserve">; </w:t>
      </w:r>
      <w:r>
        <w:rPr>
          <w:rtl w:val="true"/>
        </w:rPr>
        <w:t>סיפק בעצמו את הראיות המרכזיות שהובילו להרשעתו</w:t>
      </w:r>
      <w:r>
        <w:rPr>
          <w:rtl w:val="true"/>
        </w:rPr>
        <w:t xml:space="preserve">; </w:t>
      </w:r>
      <w:r>
        <w:rPr>
          <w:rtl w:val="true"/>
        </w:rPr>
        <w:t>ונטל אחריות על המעשה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נסיבות חייו של המשיב קשות מאוד וחלו שינויים לטובה בהתנהלותו ובסיכויי השיקום 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יצוין כי לקראת הדיון שנערך לפנינו הגיש שירות המבחן תסקיר עדכני בעניינו של המשיב</w:t>
      </w:r>
      <w:r>
        <w:rPr>
          <w:rtl w:val="true"/>
        </w:rPr>
        <w:t xml:space="preserve">, </w:t>
      </w:r>
      <w:r>
        <w:rPr>
          <w:rtl w:val="true"/>
        </w:rPr>
        <w:t>ממנו עולה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התנהגותו האימפולסיבית של המשיב בין כתלי הכלא התמתנה מעט</w:t>
      </w:r>
      <w:r>
        <w:rPr>
          <w:rtl w:val="true"/>
        </w:rPr>
        <w:t xml:space="preserve">, </w:t>
      </w:r>
      <w:r>
        <w:rPr>
          <w:rtl w:val="true"/>
        </w:rPr>
        <w:t>ולאחרונה הוא לא היה מעורב באירועים שגררו תגובה משמעתית</w:t>
      </w:r>
      <w:r>
        <w:rPr>
          <w:rtl w:val="true"/>
        </w:rPr>
        <w:t xml:space="preserve">. </w:t>
      </w:r>
      <w:r>
        <w:rPr>
          <w:rtl w:val="true"/>
        </w:rPr>
        <w:t>כן צוין כי לצד כל גורמי הסיכון שהוזכרו בעבר</w:t>
      </w:r>
      <w:r>
        <w:rPr>
          <w:rtl w:val="true"/>
        </w:rPr>
        <w:t xml:space="preserve">, </w:t>
      </w:r>
      <w:r>
        <w:rPr>
          <w:rtl w:val="true"/>
        </w:rPr>
        <w:t>כיום מסתמן גם סיכוי</w:t>
      </w:r>
      <w:r>
        <w:rPr>
          <w:rtl w:val="true"/>
        </w:rPr>
        <w:t xml:space="preserve">, </w:t>
      </w:r>
      <w:r>
        <w:rPr>
          <w:rtl w:val="true"/>
        </w:rPr>
        <w:t>אף אם מזערי</w:t>
      </w:r>
      <w:r>
        <w:rPr>
          <w:rtl w:val="true"/>
        </w:rPr>
        <w:t xml:space="preserve">,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זאת שכן כיום מסוגל המשיב לבטא מידה רבה יותר של אחריות למעשיו וניכרים מצדו מאמץ להעמקה ושיח רגשי</w:t>
      </w:r>
      <w:r>
        <w:rPr>
          <w:rtl w:val="true"/>
        </w:rPr>
        <w:t xml:space="preserve">, </w:t>
      </w:r>
      <w:r>
        <w:rPr>
          <w:rtl w:val="true"/>
        </w:rPr>
        <w:t>מסוגלות ליצירת קשרי אמון עם גורמי הטיפול והבעת מוטיבציה לשיקום</w:t>
      </w:r>
      <w:r>
        <w:rPr>
          <w:rtl w:val="true"/>
        </w:rPr>
        <w:t xml:space="preserve">. </w:t>
      </w:r>
      <w:r>
        <w:rPr>
          <w:rtl w:val="true"/>
        </w:rPr>
        <w:t>לדעת המערערת</w:t>
      </w:r>
      <w:r>
        <w:rPr>
          <w:rtl w:val="true"/>
        </w:rPr>
        <w:t xml:space="preserve">, </w:t>
      </w:r>
      <w:r>
        <w:rPr>
          <w:rtl w:val="true"/>
        </w:rPr>
        <w:t>שינוי זה בהתנהלות המשיב הוא מזערי בלבד</w:t>
      </w:r>
      <w:r>
        <w:rPr>
          <w:rtl w:val="true"/>
        </w:rPr>
        <w:t xml:space="preserve">, </w:t>
      </w:r>
      <w:r>
        <w:rPr>
          <w:rtl w:val="true"/>
        </w:rPr>
        <w:t>ולכן אין לייחס לו משקל משמעותי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כלל ידוע הוא כי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קר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בהחלטת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מיני רבים לאחרונה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24.4.2023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5.2.2023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 xml:space="preserve">אינו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המצדיקים את התערבותנו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דומה כי אין צורך להכביר במילים על אודות חומרתה הרבה של העבירה בה הורשע המשיב</w:t>
      </w:r>
      <w:r>
        <w:rPr>
          <w:rtl w:val="true"/>
        </w:rPr>
        <w:t xml:space="preserve">. </w:t>
      </w:r>
      <w:r>
        <w:rPr>
          <w:rtl w:val="true"/>
        </w:rPr>
        <w:t xml:space="preserve">עבירת הרצח היא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 xml:space="preserve">העבירות </w:t>
      </w:r>
      <w:r>
        <w:rPr>
          <w:rtl w:val="true"/>
        </w:rPr>
        <w:t>החמורות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ספר החוקים אם לא החמורה שבהן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7.6.2023</w:t>
      </w:r>
      <w:r>
        <w:rPr>
          <w:rtl w:val="true"/>
        </w:rPr>
        <w:t xml:space="preserve">)). </w:t>
      </w:r>
      <w:r>
        <w:rPr>
          <w:rtl w:val="true"/>
        </w:rPr>
        <w:t>גם לא ניתן להקל ראש בתוצאות הקשות של מעשי המשיב</w:t>
      </w:r>
      <w:r>
        <w:rPr>
          <w:rtl w:val="true"/>
        </w:rPr>
        <w:t xml:space="preserve">, </w:t>
      </w:r>
      <w:r>
        <w:rPr>
          <w:rtl w:val="true"/>
        </w:rPr>
        <w:t xml:space="preserve">אשר גרם לגדיעת חייו של נער צעיר כבן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ובתוך כך המיט חורבן על משפחה שלמה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הצורך למגר את תופעת ה</w:t>
      </w:r>
      <w:r>
        <w:rPr>
          <w:rtl w:val="true"/>
        </w:rPr>
        <w:t>"</w:t>
      </w:r>
      <w:r>
        <w:rPr>
          <w:rtl w:val="true"/>
        </w:rPr>
        <w:t>סכינאות</w:t>
      </w:r>
      <w:r>
        <w:rPr>
          <w:rtl w:val="true"/>
        </w:rPr>
        <w:t xml:space="preserve">" </w:t>
      </w:r>
      <w:r>
        <w:rPr>
          <w:rtl w:val="true"/>
        </w:rPr>
        <w:t>הרווחת באזורנו בכלל</w:t>
      </w:r>
      <w:r>
        <w:rPr>
          <w:rtl w:val="true"/>
        </w:rPr>
        <w:t xml:space="preserve">, </w:t>
      </w:r>
      <w:r>
        <w:rPr>
          <w:rtl w:val="true"/>
        </w:rPr>
        <w:t>ובפרט בקרב צעירים ובני נוער</w:t>
      </w:r>
      <w:r>
        <w:rPr>
          <w:rtl w:val="true"/>
        </w:rPr>
        <w:t xml:space="preserve">, </w:t>
      </w:r>
      <w:r>
        <w:rPr>
          <w:rtl w:val="true"/>
        </w:rPr>
        <w:t xml:space="preserve">אשר גובה מחירים כבדים מאוד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8900/21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19.11.2020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קנדלקר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5.5.2015</w:t>
      </w:r>
      <w:r>
        <w:rPr>
          <w:rtl w:val="true"/>
        </w:rPr>
        <w:t xml:space="preserve">)). </w:t>
      </w:r>
      <w:r>
        <w:rPr>
          <w:rtl w:val="true"/>
        </w:rPr>
        <w:t>תופעה זו מחייבת נקיטת ענישה חמורה ומרתיעה שתבטא את סלידת החברה ממעשים נתעבים מעין אלו</w:t>
      </w:r>
      <w:r>
        <w:rPr>
          <w:rtl w:val="true"/>
        </w:rPr>
        <w:t xml:space="preserve">, </w:t>
      </w:r>
      <w:r>
        <w:rPr>
          <w:rtl w:val="true"/>
        </w:rPr>
        <w:t>תהלום את חומרתם ותגן על שלום הציבור מפניהם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מלאכה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דורשת</w:t>
      </w:r>
      <w:r>
        <w:rPr>
          <w:rtl w:val="true"/>
        </w:rPr>
        <w:t xml:space="preserve"> </w:t>
      </w:r>
      <w:r>
        <w:rPr>
          <w:rtl w:val="true"/>
        </w:rPr>
        <w:t>הפעלת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וללת</w:t>
      </w:r>
      <w:r>
        <w:rPr>
          <w:rtl w:val="true"/>
        </w:rPr>
        <w:t xml:space="preserve"> </w:t>
      </w:r>
      <w:r>
        <w:rPr>
          <w:rtl w:val="true"/>
        </w:rPr>
        <w:t>בחובה</w:t>
      </w:r>
      <w:r>
        <w:rPr>
          <w:rtl w:val="true"/>
        </w:rPr>
        <w:t xml:space="preserve"> </w:t>
      </w:r>
      <w:r>
        <w:rPr>
          <w:rtl w:val="true"/>
        </w:rPr>
        <w:t xml:space="preserve">צורך לאזן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הענישה השונים ולהתחשב במכ</w:t>
      </w:r>
      <w:r>
        <w:rPr>
          <w:rtl w:val="true"/>
        </w:rPr>
        <w:t>לול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נתונים</w:t>
      </w:r>
      <w:r>
        <w:rPr>
          <w:rtl w:val="true"/>
        </w:rPr>
        <w:t xml:space="preserve"> ו</w:t>
      </w:r>
      <w:r>
        <w:rPr>
          <w:rtl w:val="true"/>
        </w:rPr>
        <w:t>נסיבות</w:t>
      </w:r>
      <w:r>
        <w:rPr>
          <w:rtl w:val="true"/>
        </w:rPr>
        <w:t xml:space="preserve"> העניין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נוסחה</w:t>
      </w:r>
      <w:r>
        <w:rPr>
          <w:rtl w:val="true"/>
        </w:rPr>
        <w:t xml:space="preserve"> </w:t>
      </w:r>
      <w:r>
        <w:rPr>
          <w:rtl w:val="true"/>
        </w:rPr>
        <w:t>מתמטית</w:t>
      </w:r>
      <w:r>
        <w:rPr>
          <w:rtl w:val="true"/>
        </w:rPr>
        <w:t xml:space="preserve">" </w:t>
      </w:r>
      <w:r>
        <w:rPr>
          <w:rtl w:val="true"/>
        </w:rPr>
        <w:t>שתוכל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30.8.201</w:t>
      </w:r>
      <w:r>
        <w:rPr/>
        <w:t>7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בגזר דינו שקל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אלא שלטענת המערערת </w:t>
      </w:r>
      <w:r>
        <w:rPr>
          <w:rtl w:val="true"/>
        </w:rPr>
        <w:t>המשקל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שביחס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 xml:space="preserve">העניין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ומשקל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>ם של</w:t>
      </w:r>
      <w:r>
        <w:rPr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הלימה</w:t>
      </w:r>
      <w:r>
        <w:rPr>
          <w:rtl w:val="true"/>
        </w:rPr>
        <w:t xml:space="preserve"> </w:t>
      </w:r>
      <w:r>
        <w:rPr>
          <w:rtl w:val="true"/>
        </w:rPr>
        <w:t>והגנה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ממש בטענות המערערת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להתעלם מכך שמדובר בענייננו בקטין</w:t>
      </w:r>
      <w:r>
        <w:rPr>
          <w:rtl w:val="true"/>
        </w:rPr>
        <w:t xml:space="preserve">. </w:t>
      </w:r>
      <w:r>
        <w:rPr>
          <w:rtl w:val="true"/>
        </w:rPr>
        <w:t xml:space="preserve">אף כי קטינוּת אינה מהווה חסינות מענישה שתהלום את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ואף לא מהטלת עונש מאסר עולם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3.8.2016</w:t>
      </w:r>
      <w:r>
        <w:rPr>
          <w:rtl w:val="true"/>
        </w:rPr>
        <w:t xml:space="preserve">);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6.10.2016</w:t>
      </w:r>
      <w:r>
        <w:rPr>
          <w:rtl w:val="true"/>
        </w:rPr>
        <w:t xml:space="preserve">)), </w:t>
      </w:r>
      <w:r>
        <w:rPr>
          <w:rtl w:val="true"/>
        </w:rPr>
        <w:t>נקודת המוצא היא כי כאשר בית המשפט גוזר את דינו של נאשם קטין</w:t>
      </w:r>
      <w:r>
        <w:rPr>
          <w:rtl w:val="true"/>
        </w:rPr>
        <w:t xml:space="preserve">, </w:t>
      </w:r>
      <w:r>
        <w:rPr>
          <w:rtl w:val="true"/>
        </w:rPr>
        <w:t xml:space="preserve">עליו ליתן משקל מוגבר לשיקולי שיקום ולהתחשבות בנסיבותיו האישיות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6339/16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7.12.2017</w:t>
      </w:r>
      <w:r>
        <w:rPr>
          <w:rtl w:val="true"/>
        </w:rPr>
        <w:t xml:space="preserve">)). </w:t>
      </w:r>
      <w:r>
        <w:rPr>
          <w:rtl w:val="true"/>
        </w:rPr>
        <w:t>לצד הנסיבות המחמירות אשר פורטו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הנסיבות השונות לקולא המתקיימות בעניינו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 xml:space="preserve">מלבד היות המשיב קטין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ניתן למנות את נסיבות חייו המורכבות והקשות</w:t>
      </w:r>
      <w:r>
        <w:rPr>
          <w:rtl w:val="true"/>
        </w:rPr>
        <w:t xml:space="preserve">; </w:t>
      </w:r>
      <w:r>
        <w:rPr>
          <w:rtl w:val="true"/>
        </w:rPr>
        <w:t>העובדה ש</w:t>
      </w:r>
      <w:r>
        <w:rPr>
          <w:rtl w:val="true"/>
        </w:rPr>
        <w:t>הצטיידות</w:t>
      </w:r>
      <w:r>
        <w:rPr>
          <w:rtl w:val="true"/>
        </w:rPr>
        <w:t xml:space="preserve">ו של המשיב </w:t>
      </w:r>
      <w:r>
        <w:rPr>
          <w:rtl w:val="true"/>
        </w:rPr>
        <w:t>בסכין</w:t>
      </w:r>
      <w:r>
        <w:rPr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חששו</w:t>
      </w:r>
      <w:r>
        <w:rPr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 </w:t>
      </w:r>
      <w:r>
        <w:rPr>
          <w:rtl w:val="true"/>
        </w:rPr>
        <w:t>שהתרחשה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tl w:val="true"/>
        </w:rPr>
        <w:t xml:space="preserve"> </w:t>
      </w:r>
      <w:r>
        <w:rPr>
          <w:rtl w:val="true"/>
        </w:rPr>
        <w:t>ולהרחיקו</w:t>
      </w:r>
      <w:r>
        <w:rPr>
          <w:rtl w:val="true"/>
        </w:rPr>
        <w:t xml:space="preserve">; </w:t>
      </w:r>
      <w:r>
        <w:rPr>
          <w:rtl w:val="true"/>
        </w:rPr>
        <w:t xml:space="preserve">העובדה שהדקירות בוצעו רק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שהמנוח</w:t>
      </w:r>
      <w:r>
        <w:rPr>
          <w:rtl w:val="true"/>
        </w:rPr>
        <w:t xml:space="preserve"> </w:t>
      </w:r>
      <w:r>
        <w:rPr>
          <w:rtl w:val="true"/>
        </w:rPr>
        <w:t>היכה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עורפו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; </w:t>
      </w:r>
      <w:r>
        <w:rPr>
          <w:rtl w:val="true"/>
        </w:rPr>
        <w:t>העובדה שהדקירות כולן בוצעו בתכיפות זו לזו</w:t>
      </w:r>
      <w:r>
        <w:rPr>
          <w:rtl w:val="true"/>
        </w:rPr>
        <w:t xml:space="preserve">, </w:t>
      </w:r>
      <w:r>
        <w:rPr>
          <w:rtl w:val="true"/>
        </w:rPr>
        <w:t>דבר שעולה מהצפייה בסרטונים על אודות הרצח</w:t>
      </w:r>
      <w:r>
        <w:rPr>
          <w:rtl w:val="true"/>
        </w:rPr>
        <w:t xml:space="preserve">; </w:t>
      </w:r>
      <w:r>
        <w:rPr>
          <w:rtl w:val="true"/>
        </w:rPr>
        <w:t>היותו נעדר עבר פלילי</w:t>
      </w:r>
      <w:r>
        <w:rPr>
          <w:rtl w:val="true"/>
        </w:rPr>
        <w:t xml:space="preserve">; </w:t>
      </w:r>
      <w:r>
        <w:rPr>
          <w:rtl w:val="true"/>
        </w:rPr>
        <w:t>והעובדה שהוא הסגיר עצמו למשטרה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והודה בשלב מוקדם של ההליך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 לכחד</w:t>
      </w:r>
      <w:r>
        <w:rPr>
          <w:rtl w:val="true"/>
        </w:rPr>
        <w:t xml:space="preserve">, </w:t>
      </w:r>
      <w:r>
        <w:rPr>
          <w:rtl w:val="true"/>
        </w:rPr>
        <w:t>העונש שהוטל על המשיב הוא עונש מקל ביחס לעבירה בה הורשע ולנסיבות ביצועה</w:t>
      </w:r>
      <w:r>
        <w:rPr>
          <w:rtl w:val="true"/>
        </w:rPr>
        <w:t xml:space="preserve">, </w:t>
      </w:r>
      <w:r>
        <w:rPr>
          <w:rtl w:val="true"/>
        </w:rPr>
        <w:t xml:space="preserve">ובהחלט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יתן היה לייחס משקל שונה 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כל אחד מן השיקולים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ולהשית על המשיב עונש חמור 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זאת לא במידה קיצונית</w:t>
      </w:r>
      <w:r>
        <w:rPr>
          <w:rtl w:val="true"/>
        </w:rPr>
        <w:t xml:space="preserve">, </w:t>
      </w:r>
      <w:r>
        <w:rPr>
          <w:rtl w:val="true"/>
        </w:rPr>
        <w:t xml:space="preserve">ובאופן שמצדיק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26.9.2019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בסופו של דבר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הושת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על המ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שיב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עונש של </w:t>
      </w:r>
      <w:r>
        <w:rPr>
          <w:rFonts w:cs="FrankRuehl" w:ascii="FrankRuehl" w:hAnsi="FrankRuehl"/>
          <w:color w:val="000000"/>
          <w:sz w:val="28"/>
        </w:rPr>
        <w:t>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מאסר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על תנאי ותשלום פיצוי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מקסימלי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למשפחת המנוח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אין לומר אפוא כי מדובר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במקרה המגלה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בעונש ש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בנסיבות דומות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באופן שיש בו כדי להצדיק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את 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למותר לציין כי מתסקיר שירות המבחן ה</w:t>
      </w:r>
      <w:r>
        <w:rPr>
          <w:rtl w:val="true"/>
        </w:rPr>
        <w:t>עדכני</w:t>
      </w:r>
      <w:r>
        <w:rPr>
          <w:rtl w:val="true"/>
        </w:rPr>
        <w:t xml:space="preserve"> שהוגש לעיוננו עובר לדיון בערעור 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לאחרונה חל שיפור בהתנהלות המשיב בין כתלי הכלא</w:t>
      </w:r>
      <w:r>
        <w:rPr>
          <w:rtl w:val="true"/>
        </w:rPr>
        <w:t xml:space="preserve">, </w:t>
      </w:r>
      <w:r>
        <w:rPr>
          <w:rtl w:val="true"/>
        </w:rPr>
        <w:t>וניכרת התקדמות מסוימת</w:t>
      </w:r>
      <w:r>
        <w:rPr>
          <w:rtl w:val="true"/>
        </w:rPr>
        <w:t xml:space="preserve">, </w:t>
      </w:r>
      <w:r>
        <w:rPr>
          <w:rtl w:val="true"/>
        </w:rPr>
        <w:t>אף אם קטנה</w:t>
      </w:r>
      <w:r>
        <w:rPr>
          <w:rtl w:val="true"/>
        </w:rPr>
        <w:t xml:space="preserve">, </w:t>
      </w:r>
      <w:r>
        <w:rPr>
          <w:rtl w:val="true"/>
        </w:rPr>
        <w:t>בהליך השיקום ובלקיחת האחריות על מעשיו</w:t>
      </w:r>
      <w:r>
        <w:rPr>
          <w:rtl w:val="true"/>
        </w:rPr>
        <w:t xml:space="preserve">. </w:t>
      </w:r>
      <w:r>
        <w:rPr>
          <w:rtl w:val="true"/>
        </w:rPr>
        <w:t>נותר רק לקוות כי תפנית מזערית זו מסמנת למעשה תחילתה של דרך חדשה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 בשולי הדברים</w:t>
      </w:r>
      <w:r>
        <w:rPr>
          <w:rtl w:val="true"/>
        </w:rPr>
        <w:t xml:space="preserve">, </w:t>
      </w:r>
      <w:r>
        <w:rPr>
          <w:rtl w:val="true"/>
        </w:rPr>
        <w:t>ליבנו עם משפחתו של המנוח שהופיעה לפנינו וביקשה להחמיר בעונשו של המשיב שקיפח את חיי יקירם</w:t>
      </w:r>
      <w:r>
        <w:rPr>
          <w:rtl w:val="true"/>
        </w:rPr>
        <w:t xml:space="preserve">. </w:t>
      </w:r>
      <w:r>
        <w:rPr>
          <w:rtl w:val="true"/>
        </w:rPr>
        <w:t>את האובדן אין להשיב ודברי המשפחה נכנסו לליבנו</w:t>
      </w:r>
      <w:r>
        <w:rPr>
          <w:rtl w:val="true"/>
        </w:rPr>
        <w:t xml:space="preserve">. </w:t>
      </w:r>
      <w:r>
        <w:rPr>
          <w:rtl w:val="true"/>
        </w:rPr>
        <w:t>אך בסופו של יום מצאנו כי אין לחרוג מהכללים הנהוגים בערכאת הערעור</w:t>
      </w:r>
      <w:r>
        <w:rPr>
          <w:rtl w:val="true"/>
        </w:rPr>
        <w:t xml:space="preserve">, </w:t>
      </w:r>
      <w:r>
        <w:rPr>
          <w:rtl w:val="true"/>
        </w:rPr>
        <w:t>וגם אם בשבתנו כערכאה דיונית היינו מחליטים להשית עונש כבד יותר על המשיב</w:t>
      </w:r>
      <w:r>
        <w:rPr>
          <w:rtl w:val="true"/>
        </w:rPr>
        <w:t xml:space="preserve">, </w:t>
      </w:r>
      <w:r>
        <w:rPr>
          <w:rtl w:val="true"/>
        </w:rPr>
        <w:t>הרי שכאמור התערבות ערכאת הערעור בחומרת העונש היא מוגבלת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הערעור נדחה </w:t>
      </w:r>
      <w:r>
        <w:rPr>
          <w:rFonts w:ascii="FrankRuehl" w:hAnsi="FrankRuehl"/>
          <w:color w:val="000000"/>
          <w:sz w:val="28"/>
          <w:sz w:val="28"/>
          <w:rtl w:val="true"/>
        </w:rPr>
        <w:t>אפוא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22.6.2023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22086530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54678313-8653/22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8653/22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0.a" TargetMode="External"/><Relationship Id="rId4" Type="http://schemas.openxmlformats.org/officeDocument/2006/relationships/hyperlink" Target="http://www.nevo.co.il/law/70348" TargetMode="External"/><Relationship Id="rId5" Type="http://schemas.openxmlformats.org/officeDocument/2006/relationships/hyperlink" Target="http://www.nevo.co.il/law/70348/1a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9334329" TargetMode="External"/><Relationship Id="rId9" Type="http://schemas.openxmlformats.org/officeDocument/2006/relationships/hyperlink" Target="http://www.nevo.co.il/case/28429417" TargetMode="External"/><Relationship Id="rId10" Type="http://schemas.openxmlformats.org/officeDocument/2006/relationships/hyperlink" Target="http://www.nevo.co.il/case/26991449" TargetMode="External"/><Relationship Id="rId11" Type="http://schemas.openxmlformats.org/officeDocument/2006/relationships/hyperlink" Target="http://www.nevo.co.il/case/28313659" TargetMode="External"/><Relationship Id="rId12" Type="http://schemas.openxmlformats.org/officeDocument/2006/relationships/hyperlink" Target="http://www.nevo.co.il/case/27487089" TargetMode="External"/><Relationship Id="rId13" Type="http://schemas.openxmlformats.org/officeDocument/2006/relationships/hyperlink" Target="http://www.nevo.co.il/case/28207045" TargetMode="External"/><Relationship Id="rId14" Type="http://schemas.openxmlformats.org/officeDocument/2006/relationships/hyperlink" Target="http://www.nevo.co.il/case/26670943" TargetMode="External"/><Relationship Id="rId15" Type="http://schemas.openxmlformats.org/officeDocument/2006/relationships/hyperlink" Target="http://www.nevo.co.il/case/24493126" TargetMode="External"/><Relationship Id="rId16" Type="http://schemas.openxmlformats.org/officeDocument/2006/relationships/hyperlink" Target="http://www.nevo.co.il/case/18789766" TargetMode="External"/><Relationship Id="rId17" Type="http://schemas.openxmlformats.org/officeDocument/2006/relationships/hyperlink" Target="http://www.nevo.co.il/case/22790668" TargetMode="External"/><Relationship Id="rId18" Type="http://schemas.openxmlformats.org/officeDocument/2006/relationships/hyperlink" Target="http://www.nevo.co.il/case/21474168" TargetMode="External"/><Relationship Id="rId19" Type="http://schemas.openxmlformats.org/officeDocument/2006/relationships/hyperlink" Target="http://www.nevo.co.il/case/17089470" TargetMode="External"/><Relationship Id="rId20" Type="http://schemas.openxmlformats.org/officeDocument/2006/relationships/hyperlink" Target="http://www.nevo.co.il/case/6244063%20" TargetMode="External"/><Relationship Id="rId21" Type="http://schemas.openxmlformats.org/officeDocument/2006/relationships/hyperlink" Target="http://www.nevo.co.il/case/21477392" TargetMode="External"/><Relationship Id="rId22" Type="http://schemas.openxmlformats.org/officeDocument/2006/relationships/hyperlink" Target="http://www.nevo.co.il/law/70348/1a" TargetMode="External"/><Relationship Id="rId23" Type="http://schemas.openxmlformats.org/officeDocument/2006/relationships/hyperlink" Target="http://www.nevo.co.il/law/70348" TargetMode="External"/><Relationship Id="rId24" Type="http://schemas.openxmlformats.org/officeDocument/2006/relationships/hyperlink" Target="http://www.nevo.co.il/case/27397243" TargetMode="External"/><Relationship Id="rId25" Type="http://schemas.openxmlformats.org/officeDocument/2006/relationships/hyperlink" Target="http://www.nevo.co.il/case/21478340" TargetMode="External"/><Relationship Id="rId26" Type="http://schemas.openxmlformats.org/officeDocument/2006/relationships/hyperlink" Target="http://www.nevo.co.il/case/22849834" TargetMode="External"/><Relationship Id="rId27" Type="http://schemas.openxmlformats.org/officeDocument/2006/relationships/hyperlink" Target="http://www.nevo.co.il/case/22303542" TargetMode="External"/><Relationship Id="rId28" Type="http://schemas.openxmlformats.org/officeDocument/2006/relationships/hyperlink" Target="https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2023-06-28T05:37:00Z</dcterms:created>
  <dc:creator>h4</dc:creator>
  <dc:description/>
  <cp:keywords/>
  <dc:language>en-IL</dc:language>
  <cp:lastModifiedBy>h1</cp:lastModifiedBy>
  <cp:lastPrinted>2023-06-22T09:16:00Z</cp:lastPrinted>
  <dcterms:modified xsi:type="dcterms:W3CDTF">2023-06-28T05:37:00Z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29334329;28429417;26991449;28313659;27487089;28207045;26670943;24493126;18789766;22790668;21474168;17089470;6244063;21477392;27397243;21478340;22849834;22303542</vt:lpwstr>
  </property>
  <property fmtid="{D5CDD505-2E9C-101B-9397-08002B2CF9AE}" pid="9" name="CITY">
    <vt:lpwstr/>
  </property>
  <property fmtid="{D5CDD505-2E9C-101B-9397-08002B2CF9AE}" pid="10" name="DATE">
    <vt:lpwstr>20230622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מינץ;א' שטיין</vt:lpwstr>
  </property>
  <property fmtid="{D5CDD505-2E9C-101B-9397-08002B2CF9AE}" pid="14" name="LAWLISTTMP1">
    <vt:lpwstr>70301/300.a</vt:lpwstr>
  </property>
  <property fmtid="{D5CDD505-2E9C-101B-9397-08002B2CF9AE}" pid="15" name="LAWLISTTMP2">
    <vt:lpwstr>70348/001a</vt:lpwstr>
  </property>
  <property fmtid="{D5CDD505-2E9C-101B-9397-08002B2CF9AE}" pid="16" name="LAWYER">
    <vt:lpwstr>אביעד חייט;אופיר טישלר;אסי פיסו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נוער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77;77;77;65;77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1446;1446;1446;1296;1446</vt:lpwstr>
  </property>
  <property fmtid="{D5CDD505-2E9C-101B-9397-08002B2CF9AE}" pid="49" name="NOSE31">
    <vt:lpwstr>עבירת רצח</vt:lpwstr>
  </property>
  <property fmtid="{D5CDD505-2E9C-101B-9397-08002B2CF9AE}" pid="50" name="NOSE310">
    <vt:lpwstr/>
  </property>
  <property fmtid="{D5CDD505-2E9C-101B-9397-08002B2CF9AE}" pid="51" name="NOSE32">
    <vt:lpwstr>מדיניות ענישה: קטינים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>שיקול בית-המשפט</vt:lpwstr>
  </property>
  <property fmtid="{D5CDD505-2E9C-101B-9397-08002B2CF9AE}" pid="54" name="NOSE35">
    <vt:lpwstr>מדיניות ענישה: שיקום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19583;15724;8994;7907;14346</vt:lpwstr>
  </property>
  <property fmtid="{D5CDD505-2E9C-101B-9397-08002B2CF9AE}" pid="60" name="PADIDATE">
    <vt:lpwstr>20230625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8653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410120230622</vt:lpwstr>
  </property>
  <property fmtid="{D5CDD505-2E9C-101B-9397-08002B2CF9AE}" pid="70" name="TYPE_N_DATE">
    <vt:lpwstr>41020230622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