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8664/19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sz w:val="18"/>
          <w:szCs w:val="22"/>
        </w:rPr>
      </w:pPr>
      <w:r>
        <w:rPr>
          <w:rFonts w:cs="Miriam"/>
          <w:b/>
          <w:bCs/>
          <w:sz w:val="18"/>
          <w:szCs w:val="22"/>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מוחמד</w:t>
            </w:r>
            <w:r>
              <w:rPr>
                <w:rFonts w:cs="Times New Roman"/>
                <w:rtl w:val="true"/>
              </w:rPr>
              <w:t xml:space="preserve"> </w:t>
            </w:r>
            <w:r>
              <w:rPr>
                <w:rtl w:val="true"/>
              </w:rPr>
              <w:t>בכר</w:t>
            </w:r>
          </w:p>
        </w:tc>
      </w:tr>
    </w:tbl>
    <w:p>
      <w:pPr>
        <w:pStyle w:val="Ruller31"/>
        <w:ind w:end="0"/>
        <w:jc w:val="start"/>
        <w:rPr>
          <w:sz w:val="18"/>
          <w:szCs w:val="22"/>
        </w:rPr>
      </w:pPr>
      <w:r>
        <w:rPr>
          <w:sz w:val="18"/>
          <w:szCs w:val="22"/>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sz w:val="18"/>
          <w:szCs w:val="22"/>
        </w:rPr>
      </w:pPr>
      <w:r>
        <w:rPr>
          <w:sz w:val="18"/>
          <w:szCs w:val="22"/>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sz w:val="18"/>
          <w:szCs w:val="22"/>
        </w:rPr>
      </w:pPr>
      <w:r>
        <w:rPr>
          <w:sz w:val="18"/>
          <w:szCs w:val="22"/>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אליקים</w:t>
            </w:r>
            <w:r>
              <w:rPr>
                <w:sz w:val="24"/>
                <w:szCs w:val="24"/>
                <w:rtl w:val="true"/>
              </w:rPr>
              <w:t xml:space="preserve">, </w:t>
            </w:r>
            <w:r>
              <w:rPr>
                <w:sz w:val="24"/>
                <w:sz w:val="24"/>
                <w:szCs w:val="24"/>
                <w:rtl w:val="true"/>
              </w:rPr>
              <w:t>ס</w:t>
            </w:r>
            <w:r>
              <w:rPr>
                <w:sz w:val="24"/>
                <w:szCs w:val="24"/>
                <w:rtl w:val="true"/>
              </w:rPr>
              <w:t>.</w:t>
            </w:r>
            <w:r>
              <w:rPr>
                <w:sz w:val="24"/>
                <w:sz w:val="24"/>
                <w:szCs w:val="24"/>
                <w:rtl w:val="true"/>
              </w:rPr>
              <w:t>נ</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8.12.2019</w:t>
            </w:r>
            <w:r>
              <w:rPr>
                <w:sz w:val="24"/>
                <w:szCs w:val="24"/>
                <w:rtl w:val="true"/>
              </w:rPr>
              <w:t xml:space="preserve"> </w:t>
            </w:r>
            <w:r>
              <w:rPr>
                <w:sz w:val="24"/>
                <w:sz w:val="24"/>
                <w:szCs w:val="24"/>
                <w:rtl w:val="true"/>
              </w:rPr>
              <w:t>במסגרת</w:t>
            </w:r>
            <w:r>
              <w:rPr>
                <w:rFonts w:cs="Times New Roman"/>
                <w:sz w:val="24"/>
                <w:sz w:val="24"/>
                <w:szCs w:val="24"/>
                <w:rtl w:val="true"/>
              </w:rPr>
              <w:t xml:space="preserve"> </w:t>
            </w:r>
            <w:hyperlink r:id="rId2">
              <w:r>
                <w:rPr>
                  <w:rStyle w:val="Hyperlink"/>
                  <w:sz w:val="24"/>
                  <w:sz w:val="24"/>
                  <w:szCs w:val="24"/>
                  <w:rtl w:val="true"/>
                </w:rPr>
                <w:t>ת</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43359-10-18</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r>
    </w:p>
    <w:p>
      <w:pPr>
        <w:pStyle w:val="Ruller31"/>
        <w:ind w:end="0"/>
        <w:jc w:val="start"/>
        <w:rPr>
          <w:sz w:val="6"/>
          <w:szCs w:val="10"/>
        </w:rPr>
      </w:pPr>
      <w:r>
        <w:rPr>
          <w:sz w:val="6"/>
          <w:szCs w:val="10"/>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rFonts w:ascii="David" w:hAnsi="David"/>
                <w:sz w:val="26"/>
                <w:sz w:val="26"/>
                <w:szCs w:val="26"/>
                <w:rtl w:val="true"/>
              </w:rPr>
              <w:t>ב</w:t>
            </w:r>
            <w:r>
              <w:rPr>
                <w:rFonts w:cs="David" w:ascii="David" w:hAnsi="David"/>
                <w:sz w:val="26"/>
                <w:szCs w:val="26"/>
                <w:rtl w:val="true"/>
              </w:rPr>
              <w:t xml:space="preserve">' </w:t>
            </w:r>
            <w:r>
              <w:rPr>
                <w:rFonts w:ascii="David" w:hAnsi="David"/>
                <w:sz w:val="26"/>
                <w:sz w:val="26"/>
                <w:szCs w:val="26"/>
                <w:rtl w:val="true"/>
              </w:rPr>
              <w:t>באדר התש</w:t>
            </w:r>
            <w:r>
              <w:rPr>
                <w:rFonts w:cs="David" w:ascii="David" w:hAnsi="David"/>
                <w:sz w:val="26"/>
                <w:szCs w:val="26"/>
                <w:rtl w:val="true"/>
              </w:rPr>
              <w:t>"</w:t>
            </w:r>
            <w:r>
              <w:rPr>
                <w:rFonts w:ascii="David" w:hAnsi="David"/>
                <w:sz w:val="26"/>
                <w:sz w:val="26"/>
                <w:szCs w:val="26"/>
                <w:rtl w:val="true"/>
              </w:rPr>
              <w:t>ף</w:t>
            </w:r>
          </w:p>
        </w:tc>
        <w:tc>
          <w:tcPr>
            <w:tcW w:w="2710" w:type="dxa"/>
            <w:tcBorders/>
          </w:tcPr>
          <w:p>
            <w:pPr>
              <w:pStyle w:val="BodyRuller1"/>
              <w:ind w:end="0"/>
              <w:jc w:val="start"/>
              <w:rPr>
                <w:sz w:val="24"/>
                <w:szCs w:val="24"/>
              </w:rPr>
            </w:pPr>
            <w:r>
              <w:rPr>
                <w:rFonts w:cs="David" w:ascii="David" w:hAnsi="David"/>
                <w:sz w:val="26"/>
                <w:szCs w:val="26"/>
                <w:rtl w:val="true"/>
              </w:rPr>
              <w:t>(</w:t>
            </w:r>
            <w:r>
              <w:rPr>
                <w:rFonts w:cs="David" w:ascii="David" w:hAnsi="David"/>
                <w:sz w:val="26"/>
                <w:szCs w:val="26"/>
              </w:rPr>
              <w:t>27</w:t>
            </w:r>
            <w:r>
              <w:rPr>
                <w:rFonts w:cs="David" w:ascii="David" w:hAnsi="David"/>
                <w:sz w:val="26"/>
                <w:szCs w:val="26"/>
              </w:rPr>
              <w:t>.2</w:t>
            </w:r>
            <w:r>
              <w:rPr>
                <w:rFonts w:cs="David" w:ascii="David" w:hAnsi="David"/>
                <w:sz w:val="26"/>
                <w:szCs w:val="26"/>
              </w:rPr>
              <w:t>.20</w:t>
            </w:r>
            <w:r>
              <w:rPr>
                <w:rFonts w:cs="David" w:ascii="David" w:hAnsi="David"/>
                <w:sz w:val="26"/>
                <w:szCs w:val="26"/>
              </w:rPr>
              <w:t>20</w:t>
            </w:r>
            <w:r>
              <w:rPr>
                <w:rFonts w:cs="David" w:ascii="David" w:hAnsi="David"/>
                <w:sz w:val="26"/>
                <w:szCs w:val="26"/>
                <w:rtl w:val="true"/>
              </w:rPr>
              <w:t>)</w:t>
            </w:r>
            <w:r>
              <w:rPr>
                <w:rtl w:val="true"/>
              </w:rPr>
              <w:t xml:space="preserve"> </w:t>
            </w:r>
          </w:p>
        </w:tc>
      </w:tr>
    </w:tbl>
    <w:p>
      <w:pPr>
        <w:pStyle w:val="Normal"/>
        <w:tabs>
          <w:tab w:val="clear" w:pos="720"/>
          <w:tab w:val="left" w:pos="2552" w:leader="none"/>
        </w:tabs>
        <w:ind w:end="0"/>
        <w:jc w:val="start"/>
        <w:rPr>
          <w:rFonts w:ascii="David" w:hAnsi="David" w:cs="David"/>
          <w:sz w:val="26"/>
          <w:szCs w:val="26"/>
        </w:rPr>
      </w:pPr>
      <w:r>
        <w:rPr>
          <w:rFonts w:cs="David" w:ascii="David" w:hAnsi="David"/>
          <w:sz w:val="26"/>
          <w:szCs w:val="26"/>
          <w:rtl w:val="true"/>
        </w:rPr>
      </w:r>
    </w:p>
    <w:p>
      <w:pPr>
        <w:pStyle w:val="Normal"/>
        <w:tabs>
          <w:tab w:val="clear" w:pos="720"/>
          <w:tab w:val="left" w:pos="2552" w:leader="none"/>
        </w:tabs>
        <w:ind w:end="0"/>
        <w:jc w:val="start"/>
        <w:rPr>
          <w:rFonts w:ascii="David" w:hAnsi="David" w:cs="David"/>
          <w:sz w:val="8"/>
          <w:szCs w:val="8"/>
        </w:rPr>
      </w:pPr>
      <w:r>
        <w:rPr>
          <w:rFonts w:cs="David" w:ascii="David" w:hAnsi="David"/>
          <w:sz w:val="8"/>
          <w:szCs w:val="8"/>
          <w:rtl w:val="true"/>
        </w:rPr>
      </w:r>
    </w:p>
    <w:tbl>
      <w:tblPr>
        <w:bidiVisual w:val="true"/>
        <w:tblW w:w="8285" w:type="dxa"/>
        <w:jc w:val="start"/>
        <w:tblInd w:w="216" w:type="dxa"/>
        <w:tblLayout w:type="fixed"/>
        <w:tblCellMar>
          <w:top w:w="0" w:type="dxa"/>
          <w:start w:w="108" w:type="dxa"/>
          <w:bottom w:w="0" w:type="dxa"/>
          <w:end w:w="108" w:type="dxa"/>
        </w:tblCellMar>
      </w:tblPr>
      <w:tblGrid>
        <w:gridCol w:w="1764"/>
        <w:gridCol w:w="6521"/>
      </w:tblGrid>
      <w:tr>
        <w:trPr/>
        <w:tc>
          <w:tcPr>
            <w:tcW w:w="1764" w:type="dxa"/>
            <w:tcBorders/>
          </w:tcPr>
          <w:p>
            <w:pPr>
              <w:pStyle w:val="ruller311"/>
              <w:ind w:end="0"/>
              <w:jc w:val="start"/>
              <w:rPr>
                <w:rFonts w:ascii="David" w:hAnsi="David" w:cs="David"/>
                <w:sz w:val="26"/>
                <w:szCs w:val="26"/>
              </w:rPr>
            </w:pPr>
            <w:bookmarkStart w:id="4" w:name="lawyers_a_title"/>
            <w:bookmarkEnd w:id="4"/>
            <w:r>
              <w:rPr>
                <w:rFonts w:ascii="David" w:hAnsi="David"/>
                <w:sz w:val="26"/>
                <w:sz w:val="26"/>
                <w:szCs w:val="26"/>
                <w:rtl w:val="true"/>
              </w:rPr>
              <w:t>בשם המערער</w:t>
            </w:r>
            <w:r>
              <w:rPr>
                <w:rFonts w:cs="David" w:ascii="David" w:hAnsi="David"/>
                <w:sz w:val="26"/>
                <w:szCs w:val="26"/>
                <w:rtl w:val="true"/>
              </w:rPr>
              <w:t>:</w:t>
            </w:r>
          </w:p>
        </w:tc>
        <w:tc>
          <w:tcPr>
            <w:tcW w:w="6521" w:type="dxa"/>
            <w:tcBorders/>
          </w:tcPr>
          <w:p>
            <w:pPr>
              <w:pStyle w:val="ruller311"/>
              <w:ind w:end="0"/>
              <w:jc w:val="start"/>
              <w:rPr>
                <w:rFonts w:ascii="David" w:hAnsi="David" w:cs="David"/>
                <w:sz w:val="26"/>
                <w:szCs w:val="26"/>
              </w:rPr>
            </w:pP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ד משה גלעד</w:t>
            </w:r>
            <w:r>
              <w:rPr>
                <w:rFonts w:cs="David" w:ascii="David" w:hAnsi="David"/>
                <w:sz w:val="26"/>
                <w:szCs w:val="26"/>
                <w:rtl w:val="true"/>
              </w:rPr>
              <w:t>;</w:t>
            </w:r>
            <w:r>
              <w:rPr>
                <w:rFonts w:cs="David" w:ascii="David" w:hAnsi="David"/>
                <w:sz w:val="26"/>
                <w:szCs w:val="26"/>
                <w:rtl w:val="true"/>
              </w:rPr>
              <w:t xml:space="preserve"> </w:t>
            </w: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ד ולנטין זברוב</w:t>
            </w:r>
            <w:r>
              <w:rPr>
                <w:rFonts w:cs="David" w:ascii="David" w:hAnsi="David"/>
                <w:sz w:val="26"/>
                <w:szCs w:val="26"/>
                <w:rtl w:val="true"/>
              </w:rPr>
              <w:tab/>
            </w:r>
          </w:p>
        </w:tc>
      </w:tr>
    </w:tbl>
    <w:p>
      <w:pPr>
        <w:pStyle w:val="Normal"/>
        <w:tabs>
          <w:tab w:val="clear" w:pos="720"/>
          <w:tab w:val="left" w:pos="2552" w:leader="none"/>
        </w:tabs>
        <w:ind w:end="0"/>
        <w:jc w:val="start"/>
        <w:rPr>
          <w:rFonts w:ascii="David" w:hAnsi="David" w:cs="David"/>
          <w:sz w:val="26"/>
          <w:szCs w:val="26"/>
        </w:rPr>
      </w:pPr>
      <w:r>
        <w:rPr>
          <w:rFonts w:cs="David" w:ascii="David" w:hAnsi="David"/>
          <w:sz w:val="26"/>
          <w:szCs w:val="26"/>
          <w:rtl w:val="true"/>
        </w:rPr>
      </w:r>
    </w:p>
    <w:p>
      <w:pPr>
        <w:pStyle w:val="Normal"/>
        <w:tabs>
          <w:tab w:val="clear" w:pos="720"/>
          <w:tab w:val="left" w:pos="2552" w:leader="none"/>
        </w:tabs>
        <w:ind w:end="0"/>
        <w:jc w:val="start"/>
        <w:rPr>
          <w:rFonts w:ascii="David" w:hAnsi="David" w:cs="David"/>
          <w:sz w:val="2"/>
          <w:szCs w:val="2"/>
        </w:rPr>
      </w:pPr>
      <w:r>
        <w:rPr>
          <w:rFonts w:cs="David" w:ascii="David" w:hAnsi="David"/>
          <w:sz w:val="2"/>
          <w:szCs w:val="2"/>
          <w:rtl w:val="true"/>
        </w:rPr>
      </w:r>
    </w:p>
    <w:tbl>
      <w:tblPr>
        <w:bidiVisual w:val="true"/>
        <w:tblW w:w="8285" w:type="dxa"/>
        <w:jc w:val="start"/>
        <w:tblInd w:w="216" w:type="dxa"/>
        <w:tblLayout w:type="fixed"/>
        <w:tblCellMar>
          <w:top w:w="0" w:type="dxa"/>
          <w:start w:w="108" w:type="dxa"/>
          <w:bottom w:w="0" w:type="dxa"/>
          <w:end w:w="108" w:type="dxa"/>
        </w:tblCellMar>
      </w:tblPr>
      <w:tblGrid>
        <w:gridCol w:w="1764"/>
        <w:gridCol w:w="6521"/>
      </w:tblGrid>
      <w:tr>
        <w:trPr/>
        <w:tc>
          <w:tcPr>
            <w:tcW w:w="1764" w:type="dxa"/>
            <w:tcBorders/>
          </w:tcPr>
          <w:p>
            <w:pPr>
              <w:pStyle w:val="ruller311"/>
              <w:ind w:end="0"/>
              <w:jc w:val="start"/>
              <w:rPr>
                <w:rFonts w:ascii="David" w:hAnsi="David" w:cs="David"/>
                <w:sz w:val="26"/>
                <w:szCs w:val="26"/>
              </w:rPr>
            </w:pPr>
            <w:bookmarkStart w:id="5" w:name="FirstLawyer"/>
            <w:bookmarkStart w:id="6" w:name="lawyers_b_title"/>
            <w:bookmarkEnd w:id="5"/>
            <w:bookmarkEnd w:id="6"/>
            <w:r>
              <w:rPr>
                <w:rFonts w:ascii="David" w:hAnsi="David"/>
                <w:sz w:val="26"/>
                <w:sz w:val="26"/>
                <w:szCs w:val="26"/>
                <w:rtl w:val="true"/>
              </w:rPr>
              <w:t>בשם המשיבה</w:t>
            </w:r>
            <w:r>
              <w:rPr>
                <w:rFonts w:cs="David" w:ascii="David" w:hAnsi="David"/>
                <w:sz w:val="26"/>
                <w:szCs w:val="26"/>
                <w:rtl w:val="true"/>
              </w:rPr>
              <w:t>:</w:t>
            </w:r>
          </w:p>
        </w:tc>
        <w:tc>
          <w:tcPr>
            <w:tcW w:w="6521" w:type="dxa"/>
            <w:tcBorders/>
          </w:tcPr>
          <w:p>
            <w:pPr>
              <w:pStyle w:val="ruller311"/>
              <w:ind w:end="0"/>
              <w:jc w:val="start"/>
              <w:rPr>
                <w:rFonts w:ascii="David" w:hAnsi="David" w:cs="David"/>
                <w:sz w:val="26"/>
                <w:szCs w:val="26"/>
              </w:rPr>
            </w:pP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ד אושרה פטל רוזנברג</w:t>
            </w:r>
          </w:p>
        </w:tc>
      </w:tr>
      <w:tr>
        <w:trPr/>
        <w:tc>
          <w:tcPr>
            <w:tcW w:w="8285" w:type="dxa"/>
            <w:gridSpan w:val="2"/>
            <w:tcBorders/>
          </w:tcPr>
          <w:p>
            <w:pPr>
              <w:pStyle w:val="ruller311"/>
              <w:ind w:end="0"/>
              <w:jc w:val="start"/>
              <w:rPr>
                <w:rFonts w:ascii="David" w:hAnsi="David" w:cs="David"/>
                <w:sz w:val="26"/>
                <w:szCs w:val="26"/>
              </w:rPr>
            </w:pPr>
            <w:r>
              <w:rPr>
                <w:sz w:val="28"/>
                <w:sz w:val="28"/>
                <w:szCs w:val="28"/>
                <w:rtl w:val="true"/>
              </w:rPr>
              <w:t>בשם</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מבחן</w:t>
            </w:r>
            <w:r>
              <w:rPr>
                <w:rFonts w:cs="Times New Roman"/>
                <w:sz w:val="28"/>
                <w:sz w:val="28"/>
                <w:szCs w:val="28"/>
                <w:rtl w:val="true"/>
              </w:rPr>
              <w:t xml:space="preserve"> </w:t>
            </w:r>
            <w:r>
              <w:rPr>
                <w:sz w:val="28"/>
                <w:sz w:val="28"/>
                <w:szCs w:val="28"/>
                <w:rtl w:val="true"/>
              </w:rPr>
              <w:t>למבוגרים</w:t>
            </w:r>
            <w:r>
              <w:rPr>
                <w:sz w:val="28"/>
                <w:szCs w:val="28"/>
                <w:rtl w:val="true"/>
              </w:rPr>
              <w:t xml:space="preserve">:      </w:t>
            </w:r>
            <w:r>
              <w:rPr>
                <w:sz w:val="28"/>
                <w:sz w:val="28"/>
                <w:szCs w:val="28"/>
                <w:rtl w:val="true"/>
              </w:rPr>
              <w:t>גב</w:t>
            </w:r>
            <w:r>
              <w:rPr>
                <w:sz w:val="28"/>
                <w:szCs w:val="28"/>
                <w:rtl w:val="true"/>
              </w:rPr>
              <w:t xml:space="preserve">' </w:t>
            </w:r>
            <w:r>
              <w:rPr>
                <w:sz w:val="28"/>
                <w:sz w:val="28"/>
                <w:szCs w:val="28"/>
                <w:rtl w:val="true"/>
              </w:rPr>
              <w:t>ברכה</w:t>
            </w:r>
            <w:r>
              <w:rPr>
                <w:rFonts w:cs="Times New Roman"/>
                <w:sz w:val="28"/>
                <w:sz w:val="28"/>
                <w:szCs w:val="28"/>
                <w:rtl w:val="true"/>
              </w:rPr>
              <w:t xml:space="preserve"> </w:t>
            </w:r>
            <w:r>
              <w:rPr>
                <w:sz w:val="28"/>
                <w:sz w:val="28"/>
                <w:szCs w:val="28"/>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u w:val="single"/>
        </w:rPr>
      </w:pPr>
      <w:hyperlink r:id="rId3">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4">
        <w:r>
          <w:rPr>
            <w:rStyle w:val="Hyperlink"/>
            <w:rFonts w:cs="FrankRuehl" w:ascii="FrankRuehl" w:hAnsi="FrankRuehl"/>
            <w:sz w:val="24"/>
          </w:rPr>
          <w:t>275</w:t>
        </w:r>
      </w:hyperlink>
      <w:r>
        <w:rPr>
          <w:rFonts w:cs="FrankRuehl" w:ascii="FrankRuehl" w:hAnsi="FrankRuehl"/>
          <w:color w:val="0000FF"/>
          <w:sz w:val="24"/>
          <w:u w:val="single"/>
          <w:rtl w:val="true"/>
        </w:rPr>
        <w:t xml:space="preserve">, </w:t>
      </w:r>
      <w:hyperlink r:id="rId5">
        <w:r>
          <w:rPr>
            <w:rStyle w:val="Hyperlink"/>
            <w:rFonts w:cs="FrankRuehl" w:ascii="FrankRuehl" w:hAnsi="FrankRuehl"/>
            <w:sz w:val="24"/>
          </w:rPr>
          <w:t>332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u w:val="single"/>
        </w:rPr>
      </w:pPr>
      <w:hyperlink r:id="rId6">
        <w:r>
          <w:rPr>
            <w:rStyle w:val="Hyperlink"/>
            <w:rFonts w:ascii="FrankRuehl" w:hAnsi="FrankRuehl" w:cs="FrankRuehl"/>
            <w:sz w:val="24"/>
            <w:sz w:val="24"/>
            <w:rtl w:val="true"/>
          </w:rPr>
          <w:t>תקנות התעבורה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תשכ</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r>
          <w:rPr>
            <w:rStyle w:val="Hyperlink"/>
            <w:rFonts w:cs="FrankRuehl" w:ascii="FrankRuehl" w:hAnsi="FrankRuehl"/>
            <w:sz w:val="24"/>
          </w:rPr>
          <w:t>1961</w:t>
        </w:r>
        <w:r>
          <w:rPr>
            <w:rStyle w:val="Hyperlink"/>
            <w:rFonts w:cs="FrankRuehl" w:ascii="FrankRuehl" w:hAnsi="FrankRuehl"/>
            <w:sz w:val="24"/>
            <w:rtl w:val="true"/>
          </w:rPr>
          <w:t xml:space="preserve"> - </w:t>
        </w:r>
        <w:r>
          <w:rPr>
            <w:rStyle w:val="Hyperlink"/>
            <w:rFonts w:ascii="FrankRuehl" w:hAnsi="FrankRuehl" w:cs="FrankRuehl"/>
            <w:sz w:val="24"/>
            <w:sz w:val="24"/>
            <w:rtl w:val="true"/>
          </w:rPr>
          <w:t>לא מרובדות</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7">
        <w:r>
          <w:rPr>
            <w:rStyle w:val="Hyperlink"/>
            <w:rFonts w:cs="FrankRuehl" w:ascii="FrankRuehl" w:hAnsi="FrankRuehl"/>
            <w:sz w:val="24"/>
          </w:rPr>
          <w:t>22</w:t>
        </w:r>
      </w:hyperlink>
    </w:p>
    <w:p>
      <w:pPr>
        <w:pStyle w:val="Normal"/>
        <w:tabs>
          <w:tab w:val="clear" w:pos="720"/>
          <w:tab w:val="left" w:pos="2552" w:leader="none"/>
        </w:tabs>
        <w:ind w:end="0"/>
        <w:jc w:val="start"/>
        <w:rPr>
          <w:rFonts w:ascii="FrankRuehl" w:hAnsi="FrankRuehl" w:cs="FrankRuehl"/>
          <w:color w:val="0000FF"/>
          <w:sz w:val="24"/>
          <w:u w:val="single"/>
        </w:rPr>
      </w:pPr>
      <w:r>
        <w:rPr>
          <w:rFonts w:cs="FrankRuehl" w:ascii="FrankRuehl" w:hAnsi="FrankRuehl"/>
          <w:color w:val="0000FF"/>
          <w:sz w:val="24"/>
          <w:u w:val="single"/>
          <w:rtl w:val="true"/>
        </w:rPr>
      </w:r>
      <w:bookmarkStart w:id="7" w:name="LawTable_End"/>
      <w:bookmarkStart w:id="8" w:name="LawTable_End"/>
      <w:bookmarkEnd w:id="8"/>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9" w:name="ABSTRACT_START"/>
      <w:bookmarkEnd w:id="9"/>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נדחה הערעור על גזר הדין בעניינו של המערער אשר הורשע בעבירות של סיכון חיי אדם במזיד בנתיב תחבורה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הפרעה לשוטר בשעת מילוי תפקידו ואי ציות לרמזור אדום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המקרה דנן אינו מצדיק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עמידה על הצורך להחמיר בענישת נאשמים שהורשעו בנהיגה פרועה ומסוכנת במטרה להימלט מפני המשטרה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מצב משפחתו כבר נלקח בחשבון בערכאה קמא</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סיכון חיי אדם בנתיב תחבורה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דרכי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חילוט</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תעבורה – ענישה – מדיניות ענישה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 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בעבירות של סיכון חיי אדם במזיד בנתיב תחבורה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הפרעה לשוטר בשעת מילוי תפקידו ואי ציות לרמזור אדום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נסב על 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בו הושתו על המערער</w:t>
      </w:r>
      <w:r>
        <w:rPr>
          <w:rFonts w:cs="Times New Roman" w:ascii="Times New Roman" w:hAnsi="Times New Roman"/>
          <w:spacing w:val="0"/>
          <w:szCs w:val="26"/>
          <w:rtl w:val="true"/>
        </w:rPr>
        <w:t xml:space="preserve">: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בניכוי ימי מעצרו</w:t>
      </w:r>
      <w:r>
        <w:rPr>
          <w:rFonts w:cs="Times New Roman" w:ascii="Times New Roman" w:hAnsi="Times New Roman"/>
          <w:spacing w:val="0"/>
          <w:szCs w:val="26"/>
          <w:rtl w:val="true"/>
        </w:rPr>
        <w:t xml:space="preserve">);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 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פסילה מלקבל או להחזיק רישיון נהיגה למשך שנתיים מיום שחרורו מבית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וחילוט רכבו מסוג </w:t>
      </w:r>
      <w:r>
        <w:rPr>
          <w:rFonts w:cs="Times New Roman" w:ascii="Times New Roman" w:hAnsi="Times New Roman"/>
          <w:spacing w:val="0"/>
          <w:szCs w:val="26"/>
        </w:rPr>
        <w:t>BMW</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הרכב</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מינץ ובהסכמת המשנה לנשיאה מלצר והשופט 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נקודת המוצא היא כי ערכאת הערעור אינה מתערבת בגזר דינה של הערכאה הדיונית אלא במקרים חריגים שבהם על פני הדברים נפלה טעות מהותית ובולטת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במקרים שבהם ניכרת חריגה קיצונית ממדיניות הענישה הנוהגת במקרים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פניו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מקרה זה נכנס לגדרם של אותם מקרים המצדיקים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בנהיגה פרועה של רכב באופן שהעמיד בסכנה משמעותית את כל המשתמשים בדרך שהיו בקרבת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עוד הוסיף חטא על פשע בכך שתוך כדי זה שהוא היתל בקצין המשטרה ועצר לצדי הכביש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ברח ממנו בשנית והגדיל את הסכנה של המשתמשים האחרים בדרך בעת הימלטותו מהשוטר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רבות אודות החומרה היתרה של עבירת סיכון חיי אדם בנתיב תחבורה ועל הצורך להחמיר בענישתם של נאשמים שהורשעו בנהיגה פרועה ומסוכנת במטרה להימלט מפני המשטרה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נקבעו לעבירה מתחמי ענישה מחמירים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לאחרונה אף נפסק כי ראוי בנסיבות כאלו להטיל על עברייני תנועה מסוג זה הנוהגים בפראות והנמלטים מהמשטרה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ואף יותר</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אמנם מצב משפחתו של המערער קשה ומצער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שמצב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אינו כזה המאפשר להקל עם המערער כפי שהוא מבקש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כבר לקח בחשבון את מצב המשפחה ועל פניו בא לקראת המערער עד כמה שניתן והעמיד את העונש על הצד המתון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לחילוט הרכב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המבחן לעניין זה הוא מבחן הזיקה בין העבירה לבין הרכב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מורה לא פעם על חילוט כלי רכב במסגרת הטלת עונשים על עבריינים שביצעו עבירות של סיכון חיי אדם בנתיב תחבורה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נכנס לגדרם של מקרים בהם קיימת זיקה בין העבירה לבין הרכב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העבירה עצמה בוצעה בעזרתו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חוסר מידתיות בין שווי הרכב לבין העונש הכספי בדמות קנס שהיה ניתן להטיל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רגליים מוצקות לסברה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חילוט כלי רכב לאחר ביצוע עבירת תעבורה קשה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אף אם הרכב יקר ערך </w:t>
      </w:r>
      <w:r>
        <w:rPr>
          <w:rFonts w:cs="Times New Roman" w:ascii="Times New Roman" w:hAnsi="Times New Roman"/>
          <w:spacing w:val="0"/>
          <w:szCs w:val="26"/>
          <w:rtl w:val="true"/>
        </w:rPr>
        <w:t>(</w:t>
      </w:r>
      <w:r>
        <w:rPr>
          <w:rFonts w:ascii="Times New Roman" w:hAnsi="Times New Roman" w:cs="Times New Roman"/>
          <w:spacing w:val="0"/>
          <w:szCs w:val="26"/>
          <w:rtl w:val="true"/>
        </w:rPr>
        <w:t>שלא כבמקרה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יחזק את ההרתעה כלפי עבריינים פוטנציאליים לעתיד לבוא</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0" w:name="ABSTRACT_END"/>
      <w:bookmarkStart w:id="11" w:name="ABSTRACT_END"/>
      <w:bookmarkEnd w:id="11"/>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2"/>
        <w:numPr>
          <w:ilvl w:val="0"/>
          <w:numId w:val="0"/>
        </w:numPr>
        <w:ind w:hanging="0" w:start="0" w:end="0"/>
        <w:jc w:val="both"/>
        <w:rPr/>
      </w:pPr>
      <w:bookmarkStart w:id="16" w:name="Start_Write"/>
      <w:bookmarkEnd w:id="16"/>
      <w:r>
        <w:rPr>
          <w:rtl w:val="true"/>
        </w:rPr>
        <w:tab/>
      </w:r>
    </w:p>
    <w:p>
      <w:pPr>
        <w:pStyle w:val="Ruller42"/>
        <w:numPr>
          <w:ilvl w:val="0"/>
          <w:numId w:val="0"/>
        </w:numPr>
        <w:ind w:hanging="0" w:start="0" w:end="0"/>
        <w:jc w:val="both"/>
        <w:rPr/>
      </w:pPr>
      <w:r>
        <w:rPr>
          <w:rtl w:val="true"/>
        </w:rPr>
        <w:tab/>
      </w:r>
      <w:r>
        <w:rPr>
          <w:rtl w:val="true"/>
        </w:rPr>
        <w:t xml:space="preserve">ערעור על גזר דינו של בית המשפט המחוזי בחיפה </w:t>
      </w:r>
      <w:r>
        <w:rPr>
          <w:rtl w:val="true"/>
        </w:rPr>
        <w:t>(</w:t>
      </w:r>
      <w:r>
        <w:rPr>
          <w:rtl w:val="true"/>
        </w:rPr>
        <w:t>כב</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אליקים</w:t>
      </w:r>
      <w:r>
        <w:rPr>
          <w:rtl w:val="true"/>
        </w:rPr>
        <w:t xml:space="preserve">, </w:t>
      </w:r>
      <w:r>
        <w:rPr>
          <w:rtl w:val="true"/>
        </w:rPr>
        <w:t>ס</w:t>
      </w:r>
      <w:r>
        <w:rPr>
          <w:rtl w:val="true"/>
        </w:rPr>
        <w:t>.</w:t>
      </w:r>
      <w:r>
        <w:rPr>
          <w:rtl w:val="true"/>
        </w:rPr>
        <w:t>נ</w:t>
      </w:r>
      <w:r>
        <w:rPr>
          <w:rtl w:val="true"/>
        </w:rPr>
        <w:t xml:space="preserve">.) </w:t>
      </w:r>
      <w:r>
        <w:rPr>
          <w:rtl w:val="true"/>
        </w:rPr>
        <w:t xml:space="preserve">מיום </w:t>
      </w:r>
      <w:r>
        <w:rPr/>
        <w:t>8.12.2019</w:t>
      </w:r>
      <w:r>
        <w:rPr>
          <w:rtl w:val="true"/>
        </w:rPr>
        <w:t xml:space="preserve"> </w:t>
      </w:r>
      <w:r>
        <w:rPr>
          <w:rtl w:val="true"/>
        </w:rPr>
        <w:t xml:space="preserve">במסגרת </w:t>
      </w:r>
      <w:hyperlink r:id="rId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43359-10-18</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בו הושתו על המערער</w:t>
      </w:r>
      <w:r>
        <w:rPr>
          <w:rtl w:val="true"/>
        </w:rPr>
        <w:t xml:space="preserve">: </w:t>
      </w:r>
      <w:r>
        <w:rPr/>
        <w:t>24</w:t>
      </w:r>
      <w:r>
        <w:rPr>
          <w:rtl w:val="true"/>
        </w:rPr>
        <w:t xml:space="preserve"> </w:t>
      </w:r>
      <w:r>
        <w:rPr>
          <w:rtl w:val="true"/>
        </w:rPr>
        <w:t>חודשי מאסר בפועל</w:t>
      </w:r>
      <w:r>
        <w:rPr>
          <w:rtl w:val="true"/>
        </w:rPr>
        <w:t xml:space="preserve"> </w:t>
      </w:r>
      <w:r>
        <w:rPr>
          <w:rtl w:val="true"/>
        </w:rPr>
        <w:t>(</w:t>
      </w:r>
      <w:r>
        <w:rPr>
          <w:rtl w:val="true"/>
        </w:rPr>
        <w:t>בניכוי ימי מעצרו</w:t>
      </w:r>
      <w:r>
        <w:rPr>
          <w:rtl w:val="true"/>
        </w:rPr>
        <w:t>);</w:t>
      </w:r>
      <w:r>
        <w:rPr>
          <w:rtl w:val="true"/>
        </w:rPr>
        <w:t xml:space="preserve"> </w:t>
      </w:r>
      <w:r>
        <w:rPr/>
        <w:t>4</w:t>
      </w:r>
      <w:r>
        <w:rPr>
          <w:rtl w:val="true"/>
        </w:rPr>
        <w:t xml:space="preserve"> </w:t>
      </w:r>
      <w:r>
        <w:rPr>
          <w:rtl w:val="true"/>
        </w:rPr>
        <w:t>חודשי מאסר על תנאי</w:t>
      </w:r>
      <w:r>
        <w:rPr>
          <w:rtl w:val="true"/>
        </w:rPr>
        <w:t xml:space="preserve">, </w:t>
      </w:r>
      <w:r>
        <w:rPr>
          <w:rtl w:val="true"/>
        </w:rPr>
        <w:t xml:space="preserve">למשך </w:t>
      </w:r>
      <w:r>
        <w:rPr/>
        <w:t>3</w:t>
      </w:r>
      <w:r>
        <w:rPr>
          <w:rtl w:val="true"/>
        </w:rPr>
        <w:t xml:space="preserve"> </w:t>
      </w:r>
      <w:r>
        <w:rPr>
          <w:rtl w:val="true"/>
        </w:rPr>
        <w:t xml:space="preserve">שנים </w:t>
      </w:r>
      <w:r>
        <w:rPr>
          <w:rtl w:val="true"/>
        </w:rPr>
        <w:t xml:space="preserve">לפיו לא יעבור על </w:t>
      </w:r>
      <w:r>
        <w:rPr>
          <w:rtl w:val="true"/>
        </w:rPr>
        <w:t>עבירה לפי</w:t>
      </w:r>
      <w:r>
        <w:rPr>
          <w:rtl w:val="true"/>
        </w:rPr>
        <w:t xml:space="preserve"> </w:t>
      </w:r>
      <w:hyperlink r:id="rId9">
        <w:r>
          <w:rPr>
            <w:rStyle w:val="Hyperlink"/>
            <w:rtl w:val="true"/>
          </w:rPr>
          <w:t>סעיף</w:t>
        </w:r>
        <w:r>
          <w:rPr>
            <w:rStyle w:val="Hyperlink"/>
            <w:rtl w:val="true"/>
          </w:rPr>
          <w:t xml:space="preserve"> </w:t>
        </w:r>
        <w:r>
          <w:rPr>
            <w:rStyle w:val="Hyperlink"/>
          </w:rPr>
          <w:t>332</w:t>
        </w:r>
      </w:hyperlink>
      <w:r>
        <w:rPr>
          <w:rtl w:val="true"/>
        </w:rPr>
        <w:t xml:space="preserve"> </w:t>
      </w:r>
      <w:r>
        <w:rPr>
          <w:rtl w:val="true"/>
        </w:rPr>
        <w:t>ל</w:t>
      </w:r>
      <w:hyperlink r:id="rId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פסילה </w:t>
      </w:r>
      <w:r>
        <w:rPr>
          <w:rtl w:val="true"/>
        </w:rPr>
        <w:t>מלקבל או להחזיק רישיון נהיגה למשך</w:t>
      </w:r>
      <w:r>
        <w:rPr>
          <w:rtl w:val="true"/>
        </w:rPr>
        <w:t xml:space="preserve"> שנתיים </w:t>
      </w:r>
      <w:r>
        <w:rPr>
          <w:rtl w:val="true"/>
        </w:rPr>
        <w:t>מיום שחרורו מבית הסוהר</w:t>
      </w:r>
      <w:r>
        <w:rPr>
          <w:rtl w:val="true"/>
        </w:rPr>
        <w:t xml:space="preserve"> </w:t>
      </w:r>
      <w:r>
        <w:rPr>
          <w:rtl w:val="true"/>
        </w:rPr>
        <w:t>(</w:t>
      </w:r>
      <w:r>
        <w:rPr>
          <w:rtl w:val="true"/>
        </w:rPr>
        <w:t xml:space="preserve">תוך ניכוי התקופה שהחלה מיום </w:t>
      </w:r>
      <w:r>
        <w:rPr/>
        <w:t>14.10.2018</w:t>
      </w:r>
      <w:r>
        <w:rPr>
          <w:rtl w:val="true"/>
        </w:rPr>
        <w:t xml:space="preserve"> </w:t>
      </w:r>
      <w:r>
        <w:rPr>
          <w:rtl w:val="true"/>
        </w:rPr>
        <w:t>ועד למתן גזר הדין</w:t>
      </w:r>
      <w:r>
        <w:rPr>
          <w:rtl w:val="true"/>
        </w:rPr>
        <w:t xml:space="preserve">); </w:t>
      </w:r>
      <w:r>
        <w:rPr>
          <w:rtl w:val="true"/>
        </w:rPr>
        <w:t xml:space="preserve">וחילוט רכבו מסוג </w:t>
      </w:r>
      <w:r>
        <w:rPr/>
        <w:t>BMW</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הרכב</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2"/>
        <w:numPr>
          <w:ilvl w:val="0"/>
          <w:numId w:val="1"/>
        </w:numPr>
        <w:ind w:hanging="0" w:start="0" w:end="0"/>
        <w:jc w:val="both"/>
        <w:rPr>
          <w:rFonts w:ascii="Miriam" w:hAnsi="Miriam" w:cs="Miriam"/>
        </w:rPr>
      </w:pPr>
      <w:r>
        <w:rPr>
          <w:rtl w:val="true"/>
        </w:rPr>
        <w:t>ה</w:t>
      </w:r>
      <w:r>
        <w:rPr>
          <w:rtl w:val="true"/>
        </w:rPr>
        <w:t xml:space="preserve">מערער </w:t>
      </w:r>
      <w:r>
        <w:rPr>
          <w:rtl w:val="true"/>
        </w:rPr>
        <w:t>הורשע על פי הודאתו בעבירות של סיכון חיי אדם במזיד בנתיב תחבורה לפי</w:t>
      </w:r>
      <w:r>
        <w:rPr>
          <w:rtl w:val="true"/>
        </w:rPr>
        <w:t xml:space="preserve"> </w:t>
      </w:r>
      <w:hyperlink r:id="rId11">
        <w:r>
          <w:rPr>
            <w:rStyle w:val="Hyperlink"/>
            <w:rtl w:val="true"/>
          </w:rPr>
          <w:t>סעיף</w:t>
        </w:r>
        <w:r>
          <w:rPr>
            <w:rStyle w:val="Hyperlink"/>
            <w:rtl w:val="true"/>
          </w:rPr>
          <w:t xml:space="preserve"> </w:t>
        </w:r>
        <w:r>
          <w:rPr>
            <w:rStyle w:val="Hyperlink"/>
          </w:rPr>
          <w:t>332</w:t>
        </w:r>
      </w:hyperlink>
      <w:r>
        <w:rPr>
          <w:rtl w:val="true"/>
        </w:rPr>
        <w:t xml:space="preserve"> </w:t>
      </w:r>
      <w:r>
        <w:rPr>
          <w:rtl w:val="true"/>
        </w:rPr>
        <w:t>לחוק</w:t>
      </w:r>
      <w:r>
        <w:rPr>
          <w:rtl w:val="true"/>
        </w:rPr>
        <w:t>;</w:t>
      </w:r>
      <w:r>
        <w:rPr>
          <w:rtl w:val="true"/>
        </w:rPr>
        <w:t xml:space="preserve"> </w:t>
      </w:r>
      <w:r>
        <w:rPr>
          <w:rtl w:val="true"/>
        </w:rPr>
        <w:t>הפרעה לשוטר בשעת מילוי תפקידו לפי</w:t>
      </w:r>
      <w:r>
        <w:rPr>
          <w:rtl w:val="true"/>
        </w:rPr>
        <w:t xml:space="preserve"> </w:t>
      </w:r>
      <w:hyperlink r:id="rId12">
        <w:r>
          <w:rPr>
            <w:rStyle w:val="Hyperlink"/>
            <w:rtl w:val="true"/>
          </w:rPr>
          <w:t>סעיף</w:t>
        </w:r>
        <w:r>
          <w:rPr>
            <w:rStyle w:val="Hyperlink"/>
            <w:rtl w:val="true"/>
          </w:rPr>
          <w:t xml:space="preserve"> </w:t>
        </w:r>
        <w:r>
          <w:rPr>
            <w:rStyle w:val="Hyperlink"/>
          </w:rPr>
          <w:t>275</w:t>
        </w:r>
      </w:hyperlink>
      <w:r>
        <w:rPr>
          <w:rtl w:val="true"/>
        </w:rPr>
        <w:t xml:space="preserve"> </w:t>
      </w:r>
      <w:r>
        <w:rPr>
          <w:rtl w:val="true"/>
        </w:rPr>
        <w:t>לחוק ואי ציות לרמזור אדום לפי</w:t>
      </w:r>
      <w:r>
        <w:rPr>
          <w:rtl w:val="true"/>
        </w:rPr>
        <w:t xml:space="preserve"> </w:t>
      </w:r>
      <w:hyperlink r:id="rId13">
        <w:r>
          <w:rPr>
            <w:rStyle w:val="Hyperlink"/>
            <w:rtl w:val="true"/>
          </w:rPr>
          <w:t>תקנה</w:t>
        </w:r>
        <w:r>
          <w:rPr>
            <w:rStyle w:val="Hyperlink"/>
            <w:rtl w:val="true"/>
          </w:rPr>
          <w:t xml:space="preserve"> </w:t>
        </w:r>
        <w:r>
          <w:rPr>
            <w:rStyle w:val="Hyperlink"/>
          </w:rPr>
          <w:t>22</w:t>
        </w:r>
      </w:hyperlink>
      <w:r>
        <w:rPr>
          <w:rtl w:val="true"/>
        </w:rPr>
        <w:t xml:space="preserve"> </w:t>
      </w:r>
      <w:r>
        <w:rPr>
          <w:rtl w:val="true"/>
        </w:rPr>
        <w:t>ל</w:t>
      </w:r>
      <w:hyperlink r:id="rId14">
        <w:r>
          <w:rPr>
            <w:rStyle w:val="Hyperlink"/>
            <w:color w:val="0000FF"/>
            <w:u w:val="single"/>
            <w:rtl w:val="true"/>
          </w:rPr>
          <w:t>תקנות</w:t>
        </w:r>
        <w:r>
          <w:rPr>
            <w:rStyle w:val="Hyperlink"/>
            <w:color w:val="0000FF"/>
            <w:u w:val="single"/>
            <w:rtl w:val="true"/>
          </w:rPr>
          <w:t xml:space="preserve"> </w:t>
        </w:r>
        <w:r>
          <w:rPr>
            <w:rStyle w:val="Hyperlink"/>
            <w:color w:val="0000FF"/>
            <w:u w:val="single"/>
            <w:rtl w:val="true"/>
          </w:rPr>
          <w:t>התעבורה</w:t>
        </w:r>
      </w:hyperlink>
      <w:r>
        <w:rPr>
          <w:rtl w:val="true"/>
        </w:rPr>
        <w:t xml:space="preserve">, </w:t>
      </w:r>
      <w:r>
        <w:rPr>
          <w:rtl w:val="true"/>
        </w:rPr>
        <w:t>התשכ</w:t>
      </w:r>
      <w:r>
        <w:rPr>
          <w:rtl w:val="true"/>
        </w:rPr>
        <w:t>"</w:t>
      </w:r>
      <w:r>
        <w:rPr>
          <w:rtl w:val="true"/>
        </w:rPr>
        <w:t>א</w:t>
      </w:r>
      <w:r>
        <w:rPr>
          <w:rtl w:val="true"/>
        </w:rPr>
        <w:t>-</w:t>
      </w:r>
      <w:r>
        <w:rPr/>
        <w:t>1961</w:t>
      </w:r>
      <w:r>
        <w:rPr>
          <w:rtl w:val="true"/>
        </w:rPr>
        <w:t xml:space="preserve">. </w:t>
      </w:r>
    </w:p>
    <w:p>
      <w:pPr>
        <w:pStyle w:val="Ruller42"/>
        <w:numPr>
          <w:ilvl w:val="0"/>
          <w:numId w:val="0"/>
        </w:numPr>
        <w:ind w:hanging="0" w:start="0" w:end="0"/>
        <w:jc w:val="both"/>
        <w:rPr>
          <w:rFonts w:ascii="Miriam" w:hAnsi="Miriam" w:cs="Miriam"/>
        </w:rPr>
      </w:pPr>
      <w:r>
        <w:rPr>
          <w:rFonts w:cs="Miriam" w:ascii="Miriam" w:hAnsi="Miriam"/>
          <w:rtl w:val="true"/>
        </w:rPr>
      </w:r>
    </w:p>
    <w:p>
      <w:pPr>
        <w:pStyle w:val="Ruller42"/>
        <w:numPr>
          <w:ilvl w:val="0"/>
          <w:numId w:val="1"/>
        </w:numPr>
        <w:ind w:hanging="0" w:start="0" w:end="0"/>
        <w:jc w:val="both"/>
        <w:rPr/>
      </w:pPr>
      <w:r>
        <w:rPr>
          <w:rtl w:val="true"/>
        </w:rPr>
        <w:t>על פי עובדות כתב האישום</w:t>
      </w:r>
      <w:r>
        <w:rPr>
          <w:rtl w:val="true"/>
        </w:rPr>
        <w:t xml:space="preserve">, </w:t>
      </w:r>
      <w:r>
        <w:rPr>
          <w:rtl w:val="true"/>
        </w:rPr>
        <w:t xml:space="preserve">ביום </w:t>
      </w:r>
      <w:r>
        <w:rPr/>
        <w:t>10.10.2018</w:t>
      </w:r>
      <w:r>
        <w:rPr>
          <w:rtl w:val="true"/>
        </w:rPr>
        <w:t xml:space="preserve"> </w:t>
      </w:r>
      <w:r>
        <w:rPr>
          <w:rtl w:val="true"/>
        </w:rPr>
        <w:t>בשעות אחר הצהריים נהג ה</w:t>
      </w:r>
      <w:r>
        <w:rPr>
          <w:rtl w:val="true"/>
        </w:rPr>
        <w:t xml:space="preserve">מערער </w:t>
      </w:r>
      <w:r>
        <w:rPr>
          <w:rtl w:val="true"/>
        </w:rPr>
        <w:t xml:space="preserve">ברכב בכביש </w:t>
      </w:r>
      <w:r>
        <w:rPr/>
        <w:t>70</w:t>
      </w:r>
      <w:r>
        <w:rPr>
          <w:rtl w:val="true"/>
        </w:rPr>
        <w:t xml:space="preserve"> </w:t>
      </w:r>
      <w:r>
        <w:rPr>
          <w:rtl w:val="true"/>
        </w:rPr>
        <w:t>לכיוון צומת אחיהוד מדרום לצפון</w:t>
      </w:r>
      <w:r>
        <w:rPr>
          <w:rtl w:val="true"/>
        </w:rPr>
        <w:t xml:space="preserve">. </w:t>
      </w:r>
      <w:r>
        <w:rPr>
          <w:rtl w:val="true"/>
        </w:rPr>
        <w:t>במהלך נ</w:t>
      </w:r>
      <w:r>
        <w:rPr>
          <w:rtl w:val="true"/>
        </w:rPr>
        <w:t xml:space="preserve">היגתו </w:t>
      </w:r>
      <w:r>
        <w:rPr>
          <w:rtl w:val="true"/>
        </w:rPr>
        <w:t xml:space="preserve">סטה </w:t>
      </w:r>
      <w:r>
        <w:rPr>
          <w:rtl w:val="true"/>
        </w:rPr>
        <w:t xml:space="preserve">המערער </w:t>
      </w:r>
      <w:r>
        <w:rPr>
          <w:rtl w:val="true"/>
        </w:rPr>
        <w:t xml:space="preserve">מנתיב נסיעתו לנתיב הסמוך בו נסע אותה עת רכב </w:t>
      </w:r>
      <w:r>
        <w:rPr>
          <w:rtl w:val="true"/>
        </w:rPr>
        <w:t xml:space="preserve">אחר </w:t>
      </w:r>
      <w:r>
        <w:rPr>
          <w:rtl w:val="true"/>
        </w:rPr>
        <w:t xml:space="preserve">וגרם לנהג הרכב </w:t>
      </w:r>
      <w:r>
        <w:rPr>
          <w:rtl w:val="true"/>
        </w:rPr>
        <w:t xml:space="preserve">האחר </w:t>
      </w:r>
      <w:r>
        <w:rPr>
          <w:rtl w:val="true"/>
        </w:rPr>
        <w:t>לבלום ולסטות לכיוון חומת ההפרדה בכביש</w:t>
      </w:r>
      <w:r>
        <w:rPr>
          <w:rtl w:val="true"/>
        </w:rPr>
        <w:t>.</w:t>
      </w:r>
      <w:r>
        <w:rPr>
          <w:rtl w:val="true"/>
        </w:rPr>
        <w:t xml:space="preserve"> </w:t>
      </w:r>
      <w:r>
        <w:rPr>
          <w:rtl w:val="true"/>
        </w:rPr>
        <w:t xml:space="preserve">קצין משטרה שנהג ברכב משטרתי </w:t>
      </w:r>
      <w:r>
        <w:rPr>
          <w:rtl w:val="true"/>
        </w:rPr>
        <w:t>בסמוך</w:t>
      </w:r>
      <w:r>
        <w:rPr>
          <w:rtl w:val="true"/>
        </w:rPr>
        <w:t xml:space="preserve">, </w:t>
      </w:r>
      <w:r>
        <w:rPr>
          <w:rtl w:val="true"/>
        </w:rPr>
        <w:t xml:space="preserve">הבחין </w:t>
      </w:r>
      <w:r>
        <w:rPr>
          <w:rtl w:val="true"/>
        </w:rPr>
        <w:t>בנהיגתו הפרועה של ה</w:t>
      </w:r>
      <w:r>
        <w:rPr>
          <w:rtl w:val="true"/>
        </w:rPr>
        <w:t>מערער</w:t>
      </w:r>
      <w:r>
        <w:rPr>
          <w:rtl w:val="true"/>
        </w:rPr>
        <w:t>.</w:t>
      </w:r>
      <w:r>
        <w:rPr>
          <w:rtl w:val="true"/>
        </w:rPr>
        <w:t xml:space="preserve"> </w:t>
      </w:r>
      <w:r>
        <w:rPr>
          <w:rtl w:val="true"/>
        </w:rPr>
        <w:t>קצין המשטרה התקרב עם הרכב המשטרתי אל רכבו של ה</w:t>
      </w:r>
      <w:r>
        <w:rPr>
          <w:rtl w:val="true"/>
        </w:rPr>
        <w:t>מערער</w:t>
      </w:r>
      <w:r>
        <w:rPr>
          <w:rtl w:val="true"/>
        </w:rPr>
        <w:t>,</w:t>
      </w:r>
      <w:r>
        <w:rPr>
          <w:rtl w:val="true"/>
        </w:rPr>
        <w:t xml:space="preserve"> </w:t>
      </w:r>
      <w:r>
        <w:rPr>
          <w:rtl w:val="true"/>
        </w:rPr>
        <w:t>ונהג במקביל אליו</w:t>
      </w:r>
      <w:r>
        <w:rPr>
          <w:rtl w:val="true"/>
        </w:rPr>
        <w:t xml:space="preserve">. </w:t>
      </w:r>
      <w:r>
        <w:rPr>
          <w:rtl w:val="true"/>
        </w:rPr>
        <w:t xml:space="preserve">הקצין </w:t>
      </w:r>
      <w:r>
        <w:rPr>
          <w:rtl w:val="true"/>
        </w:rPr>
        <w:t xml:space="preserve">צפר </w:t>
      </w:r>
      <w:r>
        <w:rPr>
          <w:rtl w:val="true"/>
        </w:rPr>
        <w:t>למערער</w:t>
      </w:r>
      <w:r>
        <w:rPr>
          <w:rtl w:val="true"/>
        </w:rPr>
        <w:t xml:space="preserve">, </w:t>
      </w:r>
      <w:r>
        <w:rPr>
          <w:rtl w:val="true"/>
        </w:rPr>
        <w:t>הציג עצמו כקצין משטרה והזדהה בפניו באמצעות תעודת מינוי שוטר</w:t>
      </w:r>
      <w:r>
        <w:rPr>
          <w:rtl w:val="true"/>
        </w:rPr>
        <w:t xml:space="preserve"> ו</w:t>
      </w:r>
      <w:r>
        <w:rPr>
          <w:rtl w:val="true"/>
        </w:rPr>
        <w:t>העיר ל</w:t>
      </w:r>
      <w:r>
        <w:rPr>
          <w:rtl w:val="true"/>
        </w:rPr>
        <w:t xml:space="preserve">מערער </w:t>
      </w:r>
      <w:r>
        <w:rPr>
          <w:rtl w:val="true"/>
        </w:rPr>
        <w:t>על נהיגתו הפרועה והורה לו לעצור בשול הכביש</w:t>
      </w:r>
      <w:r>
        <w:rPr>
          <w:rtl w:val="true"/>
        </w:rPr>
        <w:t>.</w:t>
      </w:r>
      <w:r>
        <w:rPr>
          <w:rtl w:val="true"/>
        </w:rPr>
        <w:t xml:space="preserve"> </w:t>
      </w:r>
      <w:r>
        <w:rPr>
          <w:rtl w:val="true"/>
        </w:rPr>
        <w:t xml:space="preserve">המערער </w:t>
      </w:r>
      <w:r>
        <w:rPr>
          <w:rtl w:val="true"/>
        </w:rPr>
        <w:t>לא שעה להוראותיו של קצין המשטרה והמשיך בנהיגה פרועה</w:t>
      </w:r>
      <w:r>
        <w:rPr>
          <w:rtl w:val="true"/>
        </w:rPr>
        <w:t xml:space="preserve">. </w:t>
      </w:r>
      <w:r>
        <w:rPr>
          <w:rtl w:val="true"/>
        </w:rPr>
        <w:t>בשלב זה חיבר קצין המשטרה את הסירנה המשטרתית הכחולה אל גג הרכב המשטרתי</w:t>
      </w:r>
      <w:r>
        <w:rPr>
          <w:rtl w:val="true"/>
        </w:rPr>
        <w:t xml:space="preserve">, </w:t>
      </w:r>
      <w:r>
        <w:rPr>
          <w:rtl w:val="true"/>
        </w:rPr>
        <w:t>הפעיל אותה וכרז ל</w:t>
      </w:r>
      <w:r>
        <w:rPr>
          <w:rtl w:val="true"/>
        </w:rPr>
        <w:t>מערער</w:t>
      </w:r>
      <w:r>
        <w:rPr>
          <w:rtl w:val="true"/>
        </w:rPr>
        <w:t xml:space="preserve"> מספר פעמים לעצור</w:t>
      </w:r>
      <w:r>
        <w:rPr>
          <w:rtl w:val="true"/>
        </w:rPr>
        <w:t xml:space="preserve">. </w:t>
      </w:r>
      <w:r>
        <w:rPr>
          <w:rtl w:val="true"/>
        </w:rPr>
        <w:t>ה</w:t>
      </w:r>
      <w:r>
        <w:rPr>
          <w:rtl w:val="true"/>
        </w:rPr>
        <w:t>מערער</w:t>
      </w:r>
      <w:r>
        <w:rPr>
          <w:rtl w:val="true"/>
        </w:rPr>
        <w:t xml:space="preserve"> </w:t>
      </w:r>
      <w:r>
        <w:rPr>
          <w:rtl w:val="true"/>
        </w:rPr>
        <w:t xml:space="preserve">עצר </w:t>
      </w:r>
      <w:r>
        <w:rPr>
          <w:rtl w:val="true"/>
        </w:rPr>
        <w:t>את רכבו בשול הדרך וקצין המשטרה עצר את רכבו לפני רכבו של ה</w:t>
      </w:r>
      <w:r>
        <w:rPr>
          <w:rtl w:val="true"/>
        </w:rPr>
        <w:t>מערער</w:t>
      </w:r>
      <w:r>
        <w:rPr>
          <w:rtl w:val="true"/>
        </w:rPr>
        <w:t xml:space="preserve">. </w:t>
      </w:r>
      <w:r>
        <w:rPr>
          <w:rtl w:val="true"/>
        </w:rPr>
        <w:t>בבוא קצין המשטרה לרדת מהרכב המשטרתי על מנת לגשת אל ה</w:t>
      </w:r>
      <w:r>
        <w:rPr>
          <w:rtl w:val="true"/>
        </w:rPr>
        <w:t>מערער</w:t>
      </w:r>
      <w:r>
        <w:rPr>
          <w:rtl w:val="true"/>
        </w:rPr>
        <w:t xml:space="preserve">, </w:t>
      </w:r>
      <w:r>
        <w:rPr>
          <w:rtl w:val="true"/>
        </w:rPr>
        <w:t>פתח ה</w:t>
      </w:r>
      <w:r>
        <w:rPr>
          <w:rtl w:val="true"/>
        </w:rPr>
        <w:t>מערער</w:t>
      </w:r>
      <w:r>
        <w:rPr>
          <w:rtl w:val="true"/>
        </w:rPr>
        <w:t xml:space="preserve"> בנהיגה במהירות גבוהה</w:t>
      </w:r>
      <w:r>
        <w:rPr>
          <w:rtl w:val="true"/>
        </w:rPr>
        <w:t xml:space="preserve">, </w:t>
      </w:r>
      <w:r>
        <w:rPr>
          <w:rtl w:val="true"/>
        </w:rPr>
        <w:t>תוך שהוא סוטה לנתיב נסיעתו של רכב אחר שנסע בכביש באותה העת וגרם לו לבלום על מנת להימנע מהתנגשות</w:t>
      </w:r>
      <w:r>
        <w:rPr>
          <w:rtl w:val="true"/>
        </w:rPr>
        <w:t xml:space="preserve">. </w:t>
      </w:r>
      <w:r>
        <w:rPr>
          <w:rtl w:val="true"/>
        </w:rPr>
        <w:t>ה</w:t>
      </w:r>
      <w:r>
        <w:rPr>
          <w:rtl w:val="true"/>
        </w:rPr>
        <w:t xml:space="preserve">מערער </w:t>
      </w:r>
      <w:r>
        <w:rPr>
          <w:rtl w:val="true"/>
        </w:rPr>
        <w:t>המשיך בנהיגתו הפרועה</w:t>
      </w:r>
      <w:r>
        <w:rPr>
          <w:rtl w:val="true"/>
        </w:rPr>
        <w:t xml:space="preserve">, </w:t>
      </w:r>
      <w:r>
        <w:rPr>
          <w:rtl w:val="true"/>
        </w:rPr>
        <w:t>חצה בנהיגתו רמזור אדום בצומת כאבול</w:t>
      </w:r>
      <w:r>
        <w:rPr>
          <w:rtl w:val="true"/>
        </w:rPr>
        <w:t xml:space="preserve">, </w:t>
      </w:r>
      <w:r>
        <w:rPr>
          <w:rtl w:val="true"/>
        </w:rPr>
        <w:t xml:space="preserve">ופנה ימינה בכביש </w:t>
      </w:r>
      <w:r>
        <w:rPr/>
        <w:t>805</w:t>
      </w:r>
      <w:r>
        <w:rPr>
          <w:rtl w:val="true"/>
        </w:rPr>
        <w:t xml:space="preserve"> </w:t>
      </w:r>
      <w:r>
        <w:rPr>
          <w:rtl w:val="true"/>
        </w:rPr>
        <w:t>לכיוון יישובי משגב</w:t>
      </w:r>
      <w:r>
        <w:rPr>
          <w:rtl w:val="true"/>
        </w:rPr>
        <w:t xml:space="preserve">, </w:t>
      </w:r>
      <w:r>
        <w:rPr>
          <w:rtl w:val="true"/>
        </w:rPr>
        <w:t>תוך שהוא סוטה לסירוגין לנתיב השמאלי בכיוון המנוגד לכיוון התנועה</w:t>
      </w:r>
      <w:r>
        <w:rPr>
          <w:rtl w:val="true"/>
        </w:rPr>
        <w:t xml:space="preserve">, </w:t>
      </w:r>
      <w:r>
        <w:rPr>
          <w:rtl w:val="true"/>
        </w:rPr>
        <w:t>ובמספר הזדמנויות חצה קו הפרדה רצוף</w:t>
      </w:r>
      <w:r>
        <w:rPr>
          <w:rtl w:val="true"/>
        </w:rPr>
        <w:t xml:space="preserve">. </w:t>
      </w:r>
      <w:r>
        <w:rPr>
          <w:rtl w:val="true"/>
        </w:rPr>
        <w:t xml:space="preserve">כך </w:t>
      </w:r>
      <w:r>
        <w:rPr>
          <w:rtl w:val="true"/>
        </w:rPr>
        <w:t xml:space="preserve">גרם למספר </w:t>
      </w:r>
      <w:r>
        <w:rPr>
          <w:rtl w:val="true"/>
        </w:rPr>
        <w:t>כלי רכב</w:t>
      </w:r>
      <w:r>
        <w:rPr>
          <w:rtl w:val="true"/>
        </w:rPr>
        <w:t xml:space="preserve"> שנסעו בנתיב הנגדי לבלום ולסטות מנתיב הנסיעה שלהם אל שול הדרך על מנת למנוע התנגשות חזיתית</w:t>
      </w:r>
      <w:r>
        <w:rPr>
          <w:rtl w:val="true"/>
        </w:rPr>
        <w:t xml:space="preserve"> עם רכב המערער</w:t>
      </w:r>
      <w:r>
        <w:rPr>
          <w:rtl w:val="true"/>
        </w:rPr>
        <w:t xml:space="preserve">. </w:t>
      </w:r>
      <w:r>
        <w:rPr>
          <w:rtl w:val="true"/>
        </w:rPr>
        <w:t>כל אותה עת נסע קצין המשטרה בעקבותיו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בתסקיר </w:t>
      </w:r>
      <w:r>
        <w:rPr>
          <w:rtl w:val="true"/>
        </w:rPr>
        <w:t xml:space="preserve">שירות המבחן </w:t>
      </w:r>
      <w:r>
        <w:rPr>
          <w:rtl w:val="true"/>
        </w:rPr>
        <w:t xml:space="preserve">הראשון מיום </w:t>
      </w:r>
      <w:r>
        <w:rPr/>
        <w:t>16.5.2019</w:t>
      </w:r>
      <w:r>
        <w:rPr>
          <w:rtl w:val="true"/>
        </w:rPr>
        <w:t xml:space="preserve"> </w:t>
      </w:r>
      <w:r>
        <w:rPr>
          <w:rtl w:val="true"/>
        </w:rPr>
        <w:t>שהוגש בעניינו של המערער</w:t>
      </w:r>
      <w:r>
        <w:rPr>
          <w:rtl w:val="true"/>
        </w:rPr>
        <w:t>,</w:t>
      </w:r>
      <w:r>
        <w:rPr>
          <w:rtl w:val="true"/>
        </w:rPr>
        <w:t xml:space="preserve"> </w:t>
      </w:r>
      <w:r>
        <w:rPr>
          <w:rtl w:val="true"/>
        </w:rPr>
        <w:t>הסתבר כי ה</w:t>
      </w:r>
      <w:r>
        <w:rPr>
          <w:rtl w:val="true"/>
        </w:rPr>
        <w:t xml:space="preserve">וא </w:t>
      </w:r>
      <w:r>
        <w:rPr>
          <w:rtl w:val="true"/>
        </w:rPr>
        <w:t>לא מודה במיוחס לו בכתב האישום</w:t>
      </w:r>
      <w:r>
        <w:rPr>
          <w:rtl w:val="true"/>
        </w:rPr>
        <w:t>.</w:t>
      </w:r>
      <w:r>
        <w:rPr>
          <w:rtl w:val="true"/>
        </w:rPr>
        <w:t xml:space="preserve"> </w:t>
      </w:r>
      <w:r>
        <w:rPr>
          <w:rtl w:val="true"/>
        </w:rPr>
        <w:t>בישיבת</w:t>
      </w:r>
      <w:r>
        <w:rPr>
          <w:rtl w:val="true"/>
        </w:rPr>
        <w:t xml:space="preserve"> בית המשפט מיום</w:t>
      </w:r>
      <w:r>
        <w:rPr>
          <w:rtl w:val="true"/>
        </w:rPr>
        <w:t xml:space="preserve"> </w:t>
      </w:r>
      <w:r>
        <w:rPr/>
        <w:t>19.5.2019</w:t>
      </w:r>
      <w:r>
        <w:rPr>
          <w:rtl w:val="true"/>
        </w:rPr>
        <w:t xml:space="preserve"> </w:t>
      </w:r>
      <w:r>
        <w:rPr>
          <w:rtl w:val="true"/>
        </w:rPr>
        <w:t>נתבקש הסבר לכך</w:t>
      </w:r>
      <w:r>
        <w:rPr>
          <w:rtl w:val="true"/>
        </w:rPr>
        <w:t xml:space="preserve">. </w:t>
      </w:r>
      <w:r>
        <w:rPr>
          <w:rtl w:val="true"/>
        </w:rPr>
        <w:t xml:space="preserve">חרף אי הבהירות המערער </w:t>
      </w:r>
      <w:r>
        <w:rPr>
          <w:rtl w:val="true"/>
        </w:rPr>
        <w:t>שב והודה בעובדות כתב האישום</w:t>
      </w:r>
      <w:r>
        <w:rPr>
          <w:rtl w:val="true"/>
        </w:rPr>
        <w:t xml:space="preserve">. </w:t>
      </w:r>
      <w:r>
        <w:rPr>
          <w:rtl w:val="true"/>
        </w:rPr>
        <w:t xml:space="preserve">על כן בית המשפט הורה </w:t>
      </w:r>
      <w:r>
        <w:rPr>
          <w:rtl w:val="true"/>
        </w:rPr>
        <w:t xml:space="preserve">לשירות המבחן להכין תסקיר עדכני בו תהיה התייחסות להודאתו של </w:t>
      </w:r>
      <w:r>
        <w:rPr>
          <w:rtl w:val="true"/>
        </w:rPr>
        <w:t xml:space="preserve">המערער </w:t>
      </w:r>
      <w:r>
        <w:rPr>
          <w:rtl w:val="true"/>
        </w:rPr>
        <w:t xml:space="preserve">ומבלי שיתחיל </w:t>
      </w:r>
      <w:r>
        <w:rPr>
          <w:rtl w:val="true"/>
        </w:rPr>
        <w:t xml:space="preserve">המערער </w:t>
      </w:r>
      <w:r>
        <w:rPr>
          <w:rtl w:val="true"/>
        </w:rPr>
        <w:t>בדרכי טיפול</w:t>
      </w:r>
      <w:r>
        <w:rPr>
          <w:rtl w:val="true"/>
        </w:rPr>
        <w:t xml:space="preserve"> בסיוע שירות המבחן</w:t>
      </w:r>
      <w:r>
        <w:rPr>
          <w:rtl w:val="true"/>
        </w:rPr>
        <w:t>.</w:t>
      </w:r>
      <w:r>
        <w:rPr>
          <w:rtl w:val="true"/>
        </w:rPr>
        <w:t xml:space="preserve"> </w:t>
      </w:r>
      <w:r>
        <w:rPr>
          <w:rtl w:val="true"/>
        </w:rPr>
        <w:t>ברם</w:t>
      </w:r>
      <w:r>
        <w:rPr>
          <w:rtl w:val="true"/>
        </w:rPr>
        <w:t xml:space="preserve">, </w:t>
      </w:r>
      <w:r>
        <w:rPr>
          <w:rtl w:val="true"/>
        </w:rPr>
        <w:t xml:space="preserve">בתסקיר השני מיום </w:t>
      </w:r>
      <w:r>
        <w:rPr/>
        <w:t>21.8.2019</w:t>
      </w:r>
      <w:r>
        <w:rPr>
          <w:rtl w:val="true"/>
        </w:rPr>
        <w:t xml:space="preserve"> </w:t>
      </w:r>
      <w:r>
        <w:rPr>
          <w:rtl w:val="true"/>
        </w:rPr>
        <w:t>שירות המבחן הודיע כי טרם ג</w:t>
      </w:r>
      <w:r>
        <w:rPr>
          <w:rtl w:val="true"/>
        </w:rPr>
        <w:t>י</w:t>
      </w:r>
      <w:r>
        <w:rPr>
          <w:rtl w:val="true"/>
        </w:rPr>
        <w:t>בש המלצה וביקש דחייה לארבעה חודשים</w:t>
      </w:r>
      <w:r>
        <w:rPr>
          <w:rtl w:val="true"/>
        </w:rPr>
        <w:t xml:space="preserve">. </w:t>
      </w:r>
      <w:r>
        <w:rPr>
          <w:rtl w:val="true"/>
        </w:rPr>
        <w:t xml:space="preserve">בתסקיר השלישי מיום </w:t>
      </w:r>
      <w:r>
        <w:rPr/>
        <w:t>8.10.2019</w:t>
      </w:r>
      <w:r>
        <w:rPr>
          <w:rtl w:val="true"/>
        </w:rPr>
        <w:t xml:space="preserve">, </w:t>
      </w:r>
      <w:r>
        <w:rPr>
          <w:rtl w:val="true"/>
        </w:rPr>
        <w:t>נוכח התרשמותה של קצינת המבחן כי קיימת אצל ה</w:t>
      </w:r>
      <w:r>
        <w:rPr>
          <w:rtl w:val="true"/>
        </w:rPr>
        <w:t xml:space="preserve">מערער </w:t>
      </w:r>
      <w:r>
        <w:rPr>
          <w:rtl w:val="true"/>
        </w:rPr>
        <w:t>מוטיבציה להליך טיפולי אשר יפחית את מסוכנותו הגבוהה להישנות עבירה בעתיד</w:t>
      </w:r>
      <w:r>
        <w:rPr>
          <w:rtl w:val="true"/>
        </w:rPr>
        <w:t xml:space="preserve">, </w:t>
      </w:r>
      <w:r>
        <w:rPr>
          <w:rtl w:val="true"/>
        </w:rPr>
        <w:t xml:space="preserve">היא </w:t>
      </w:r>
      <w:r>
        <w:rPr>
          <w:rtl w:val="true"/>
        </w:rPr>
        <w:t>המליצה על העמדת ה</w:t>
      </w:r>
      <w:r>
        <w:rPr>
          <w:rtl w:val="true"/>
        </w:rPr>
        <w:t xml:space="preserve">מערער המכור לסמים </w:t>
      </w:r>
      <w:r>
        <w:rPr>
          <w:rtl w:val="true"/>
        </w:rPr>
        <w:t>בצו מבחן ל</w:t>
      </w:r>
      <w:r>
        <w:rPr>
          <w:rtl w:val="true"/>
        </w:rPr>
        <w:t xml:space="preserve">משך </w:t>
      </w:r>
      <w:r>
        <w:rPr/>
        <w:t>12</w:t>
      </w:r>
      <w:r>
        <w:rPr>
          <w:rtl w:val="true"/>
        </w:rPr>
        <w:t xml:space="preserve"> </w:t>
      </w:r>
      <w:r>
        <w:rPr>
          <w:rtl w:val="true"/>
        </w:rPr>
        <w:t>חודשים</w:t>
      </w:r>
      <w:r>
        <w:rPr>
          <w:rtl w:val="true"/>
        </w:rPr>
        <w:t xml:space="preserve">, </w:t>
      </w:r>
      <w:r>
        <w:rPr>
          <w:rtl w:val="true"/>
        </w:rPr>
        <w:t>במהלכו ישולב בהליך טיפולי במסגרת היחידה לטיפול בהתמכרויות תחת פיקוח</w:t>
      </w:r>
      <w:r>
        <w:rPr>
          <w:rtl w:val="true"/>
        </w:rPr>
        <w:t xml:space="preserve"> שירות המבחן</w:t>
      </w:r>
      <w:r>
        <w:rPr>
          <w:rtl w:val="true"/>
        </w:rPr>
        <w:t xml:space="preserve">. </w:t>
      </w:r>
      <w:r>
        <w:rPr>
          <w:rtl w:val="true"/>
        </w:rPr>
        <w:t xml:space="preserve">עוד </w:t>
      </w:r>
      <w:r>
        <w:rPr>
          <w:rtl w:val="true"/>
        </w:rPr>
        <w:t xml:space="preserve">המליצה כי </w:t>
      </w:r>
      <w:r>
        <w:rPr>
          <w:rtl w:val="true"/>
        </w:rPr>
        <w:t>יוטל על ה</w:t>
      </w:r>
      <w:r>
        <w:rPr>
          <w:rtl w:val="true"/>
        </w:rPr>
        <w:t xml:space="preserve">מערער </w:t>
      </w:r>
      <w:r>
        <w:rPr>
          <w:rtl w:val="true"/>
        </w:rPr>
        <w:t>עונש קצר ש</w:t>
      </w:r>
      <w:r>
        <w:rPr>
          <w:rtl w:val="true"/>
        </w:rPr>
        <w:t xml:space="preserve">ירוצה </w:t>
      </w:r>
      <w:r>
        <w:rPr>
          <w:rtl w:val="true"/>
        </w:rPr>
        <w:t>בעבודות שירות</w:t>
      </w:r>
      <w:r>
        <w:rPr>
          <w:rtl w:val="true"/>
        </w:rPr>
        <w:t>.</w:t>
      </w:r>
      <w:r>
        <w:rPr>
          <w:rtl w:val="true"/>
        </w:rPr>
        <w:t xml:space="preserve"> </w:t>
      </w:r>
      <w:r>
        <w:rPr>
          <w:rtl w:val="true"/>
        </w:rPr>
        <w:t>קצינת המבחן מצאה כי ה</w:t>
      </w:r>
      <w:r>
        <w:rPr>
          <w:rtl w:val="true"/>
        </w:rPr>
        <w:t xml:space="preserve">מערער </w:t>
      </w:r>
      <w:r>
        <w:rPr>
          <w:rtl w:val="true"/>
        </w:rPr>
        <w:t>בעל אישיות לא בשלה</w:t>
      </w:r>
      <w:r>
        <w:rPr>
          <w:rtl w:val="true"/>
        </w:rPr>
        <w:t>,</w:t>
      </w:r>
      <w:r>
        <w:rPr>
          <w:rtl w:val="true"/>
        </w:rPr>
        <w:t xml:space="preserve"> </w:t>
      </w:r>
      <w:r>
        <w:rPr>
          <w:rtl w:val="true"/>
        </w:rPr>
        <w:t>כי</w:t>
      </w:r>
      <w:r>
        <w:rPr>
          <w:rtl w:val="true"/>
        </w:rPr>
        <w:t xml:space="preserve"> לפי בדיקות שתן שנערכו לו הוא משתמש בסמים מסוג קנאביס ואינו מצליח להתחבר לסכנות הטמונות במעשיו וקיימת מסוכנות גבוהה להישנות עבירה בעתיד</w:t>
      </w:r>
      <w:r>
        <w:rPr>
          <w:rtl w:val="true"/>
        </w:rPr>
        <w:t xml:space="preserve">. </w:t>
      </w:r>
      <w:r>
        <w:rPr>
          <w:rtl w:val="true"/>
        </w:rPr>
        <w:t>בנוסף</w:t>
      </w:r>
      <w:r>
        <w:rPr>
          <w:rtl w:val="true"/>
        </w:rPr>
        <w:t>,</w:t>
      </w:r>
      <w:r>
        <w:rPr>
          <w:rtl w:val="true"/>
        </w:rPr>
        <w:t xml:space="preserve"> </w:t>
      </w:r>
      <w:r>
        <w:rPr>
          <w:rtl w:val="true"/>
        </w:rPr>
        <w:t xml:space="preserve">נסקרו בתסקיר נסיבות חייו המורכבות </w:t>
      </w:r>
      <w:r>
        <w:rPr>
          <w:rtl w:val="true"/>
        </w:rPr>
        <w:t>של המערער</w:t>
      </w:r>
      <w:r>
        <w:rPr>
          <w:rtl w:val="true"/>
        </w:rPr>
        <w:t xml:space="preserve">, </w:t>
      </w:r>
      <w:r>
        <w:rPr>
          <w:rtl w:val="true"/>
        </w:rPr>
        <w:t>כפי ש</w:t>
      </w:r>
      <w:r>
        <w:rPr>
          <w:rtl w:val="true"/>
        </w:rPr>
        <w:t xml:space="preserve">גם </w:t>
      </w:r>
      <w:r>
        <w:rPr>
          <w:rtl w:val="true"/>
        </w:rPr>
        <w:t>באו לידי ביטוי בעדות אביו</w:t>
      </w:r>
      <w:r>
        <w:rPr>
          <w:rtl w:val="true"/>
        </w:rPr>
        <w:t xml:space="preserve"> לפני בית המשפט</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יצוין עוד כי </w:t>
      </w:r>
      <w:r>
        <w:rPr>
          <w:rtl w:val="true"/>
        </w:rPr>
        <w:t xml:space="preserve">הממונה על עבודות השירות </w:t>
      </w:r>
      <w:r>
        <w:rPr>
          <w:rtl w:val="true"/>
        </w:rPr>
        <w:t xml:space="preserve">אליו הופנה המערער לבדיקת </w:t>
      </w:r>
      <w:r>
        <w:rPr>
          <w:rtl w:val="true"/>
        </w:rPr>
        <w:t>כשירותו לביצוע עבודות שירות</w:t>
      </w:r>
      <w:r>
        <w:rPr>
          <w:rtl w:val="true"/>
        </w:rPr>
        <w:t xml:space="preserve">, </w:t>
      </w:r>
      <w:r>
        <w:rPr>
          <w:rtl w:val="true"/>
        </w:rPr>
        <w:t xml:space="preserve">ציין כי </w:t>
      </w:r>
      <w:r>
        <w:rPr>
          <w:rtl w:val="true"/>
        </w:rPr>
        <w:t>מבדיקת שתן שנעשתה ל</w:t>
      </w:r>
      <w:r>
        <w:rPr>
          <w:rtl w:val="true"/>
        </w:rPr>
        <w:t xml:space="preserve">מערער </w:t>
      </w:r>
      <w:r>
        <w:rPr>
          <w:rtl w:val="true"/>
        </w:rPr>
        <w:t>עלה כי ה</w:t>
      </w:r>
      <w:r>
        <w:rPr>
          <w:rtl w:val="true"/>
        </w:rPr>
        <w:t>וא מ</w:t>
      </w:r>
      <w:r>
        <w:rPr>
          <w:rtl w:val="true"/>
        </w:rPr>
        <w:t>שתמש בסמים</w:t>
      </w:r>
      <w:r>
        <w:rPr>
          <w:rtl w:val="true"/>
        </w:rPr>
        <w:t xml:space="preserve">, </w:t>
      </w:r>
      <w:r>
        <w:rPr>
          <w:rtl w:val="true"/>
        </w:rPr>
        <w:t>ולכן אינו ניתן להשמה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eastAsia="Garamond"/>
          <w:rtl w:val="true"/>
        </w:rPr>
        <w:t xml:space="preserve"> </w:t>
      </w:r>
      <w:r>
        <w:rPr>
          <w:rtl w:val="true"/>
        </w:rPr>
        <w:t>המשיבה הדגישה בטיעוניה לעונש את חומרת העבירות וההפרה הבוטה של המערער של החוק</w:t>
      </w:r>
      <w:r>
        <w:rPr>
          <w:rtl w:val="true"/>
        </w:rPr>
        <w:t xml:space="preserve">; </w:t>
      </w:r>
      <w:r>
        <w:rPr>
          <w:rtl w:val="true"/>
        </w:rPr>
        <w:t>הנזק שהיה יכול להיגרם ממעשיו של המערער נוכח התנהלותו העבריינית והמזלזלת בחיי אדם</w:t>
      </w:r>
      <w:r>
        <w:rPr>
          <w:rtl w:val="true"/>
        </w:rPr>
        <w:t xml:space="preserve">; </w:t>
      </w:r>
      <w:r>
        <w:rPr>
          <w:rtl w:val="true"/>
        </w:rPr>
        <w:t xml:space="preserve">עברו הפלילי של המערער שלחובתו </w:t>
      </w:r>
      <w:r>
        <w:rPr>
          <w:rtl w:val="true"/>
        </w:rPr>
        <w:t>ה</w:t>
      </w:r>
      <w:r>
        <w:rPr>
          <w:rtl w:val="true"/>
        </w:rPr>
        <w:t>ר</w:t>
      </w:r>
      <w:r>
        <w:rPr>
          <w:rtl w:val="true"/>
        </w:rPr>
        <w:t xml:space="preserve">שעה בעבירת איומים מיום </w:t>
      </w:r>
      <w:r>
        <w:rPr/>
        <w:t>1.4.2019</w:t>
      </w:r>
      <w:r>
        <w:rPr>
          <w:rtl w:val="true"/>
        </w:rPr>
        <w:t xml:space="preserve"> (</w:t>
      </w:r>
      <w:r>
        <w:rPr>
          <w:rtl w:val="true"/>
        </w:rPr>
        <w:t xml:space="preserve">בגין עבירה </w:t>
      </w:r>
      <w:r>
        <w:rPr>
          <w:rtl w:val="true"/>
        </w:rPr>
        <w:t>מ</w:t>
      </w:r>
      <w:r>
        <w:rPr>
          <w:rtl w:val="true"/>
        </w:rPr>
        <w:t xml:space="preserve">יום </w:t>
      </w:r>
      <w:r>
        <w:rPr/>
        <w:t>19.1.2018</w:t>
      </w:r>
      <w:r>
        <w:rPr>
          <w:rtl w:val="true"/>
        </w:rPr>
        <w:t xml:space="preserve">) </w:t>
      </w:r>
      <w:r>
        <w:rPr>
          <w:rtl w:val="true"/>
        </w:rPr>
        <w:t>ו</w:t>
      </w:r>
      <w:r>
        <w:rPr>
          <w:rtl w:val="true"/>
        </w:rPr>
        <w:t>-</w:t>
      </w:r>
      <w:r>
        <w:rPr>
          <w:rtl w:val="true"/>
        </w:rPr>
        <w:t xml:space="preserve"> </w:t>
      </w:r>
      <w:r>
        <w:rPr/>
        <w:t>9</w:t>
      </w:r>
      <w:r>
        <w:rPr>
          <w:rtl w:val="true"/>
        </w:rPr>
        <w:t xml:space="preserve"> </w:t>
      </w:r>
      <w:r>
        <w:rPr>
          <w:rtl w:val="true"/>
        </w:rPr>
        <w:t xml:space="preserve">הרשעות בעבירות </w:t>
      </w:r>
      <w:r>
        <w:rPr>
          <w:rtl w:val="true"/>
        </w:rPr>
        <w:t xml:space="preserve">תעבורה </w:t>
      </w:r>
      <w:r>
        <w:rPr>
          <w:rtl w:val="true"/>
        </w:rPr>
        <w:t>כגון</w:t>
      </w:r>
      <w:r>
        <w:rPr>
          <w:rtl w:val="true"/>
        </w:rPr>
        <w:t>,</w:t>
      </w:r>
      <w:r>
        <w:rPr>
          <w:rtl w:val="true"/>
        </w:rPr>
        <w:t xml:space="preserve"> </w:t>
      </w:r>
      <w:r>
        <w:rPr>
          <w:rtl w:val="true"/>
        </w:rPr>
        <w:t>נסיעה במהירות מעל למותר</w:t>
      </w:r>
      <w:r>
        <w:rPr>
          <w:rtl w:val="true"/>
        </w:rPr>
        <w:t xml:space="preserve">, </w:t>
      </w:r>
      <w:r>
        <w:rPr>
          <w:rtl w:val="true"/>
        </w:rPr>
        <w:t>שימוש בטלפון נייד וסטייה מנתיב</w:t>
      </w:r>
      <w:r>
        <w:rPr>
          <w:rtl w:val="true"/>
        </w:rPr>
        <w:t>.</w:t>
      </w:r>
      <w:r>
        <w:rPr>
          <w:rtl w:val="true"/>
        </w:rPr>
        <w:t xml:space="preserve"> </w:t>
      </w:r>
      <w:r>
        <w:rPr>
          <w:rtl w:val="true"/>
        </w:rPr>
        <w:t>על כן</w:t>
      </w:r>
      <w:r>
        <w:rPr>
          <w:rtl w:val="true"/>
        </w:rPr>
        <w:t xml:space="preserve">, </w:t>
      </w:r>
      <w:r>
        <w:rPr>
          <w:rtl w:val="true"/>
        </w:rPr>
        <w:t xml:space="preserve">לדעת המשיבה מתחם העונש ההולם בנסיבות אלו נע בין </w:t>
      </w:r>
      <w:r>
        <w:rPr/>
        <w:t>30</w:t>
      </w:r>
      <w:r>
        <w:rPr>
          <w:rtl w:val="true"/>
        </w:rPr>
        <w:t xml:space="preserve"> </w:t>
      </w:r>
      <w:r>
        <w:rPr>
          <w:rtl w:val="true"/>
        </w:rPr>
        <w:t>ל</w:t>
      </w:r>
      <w:r>
        <w:rPr>
          <w:rtl w:val="true"/>
        </w:rPr>
        <w:t>-</w:t>
      </w:r>
      <w:r>
        <w:rPr/>
        <w:t>60</w:t>
      </w:r>
      <w:r>
        <w:rPr>
          <w:rtl w:val="true"/>
        </w:rPr>
        <w:t xml:space="preserve"> </w:t>
      </w:r>
      <w:r>
        <w:rPr>
          <w:rtl w:val="true"/>
        </w:rPr>
        <w:t>חודשי מאסר בפועל</w:t>
      </w:r>
      <w:r>
        <w:rPr>
          <w:rtl w:val="true"/>
        </w:rPr>
        <w:t xml:space="preserve">, </w:t>
      </w:r>
      <w:r>
        <w:rPr>
          <w:rtl w:val="true"/>
        </w:rPr>
        <w:t>כאשר יש להטיל על המערער עונש מאסר במדרג נמוך עד בינוני בתוך המתחם</w:t>
      </w:r>
      <w:r>
        <w:rPr>
          <w:rtl w:val="true"/>
        </w:rPr>
        <w:t xml:space="preserve">. </w:t>
      </w:r>
      <w:r>
        <w:rPr>
          <w:rtl w:val="true"/>
        </w:rPr>
        <w:t>כן ביקשה להטיל על המערער מאסר על תנאי</w:t>
      </w:r>
      <w:r>
        <w:rPr>
          <w:rtl w:val="true"/>
        </w:rPr>
        <w:t xml:space="preserve">, </w:t>
      </w:r>
      <w:r>
        <w:rPr>
          <w:rtl w:val="true"/>
        </w:rPr>
        <w:t>פסילה מלהחזיר רישיון נהיגה</w:t>
      </w:r>
      <w:r>
        <w:rPr>
          <w:rtl w:val="true"/>
        </w:rPr>
        <w:t xml:space="preserve">, </w:t>
      </w:r>
      <w:r>
        <w:rPr>
          <w:rtl w:val="true"/>
        </w:rPr>
        <w:t>פסילה על תנאי וכן להורות על חילוט הרכב</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1"/>
        </w:numPr>
        <w:ind w:hanging="0" w:start="0" w:end="0"/>
        <w:jc w:val="both"/>
        <w:rPr/>
      </w:pPr>
      <w:r>
        <w:rPr>
          <w:rtl w:val="true"/>
        </w:rPr>
        <w:t xml:space="preserve">מנגד </w:t>
      </w:r>
      <w:r>
        <w:rPr>
          <w:rtl w:val="true"/>
        </w:rPr>
        <w:t>הסנ</w:t>
      </w:r>
      <w:r>
        <w:rPr>
          <w:rtl w:val="true"/>
        </w:rPr>
        <w:t>י</w:t>
      </w:r>
      <w:r>
        <w:rPr>
          <w:rtl w:val="true"/>
        </w:rPr>
        <w:t>גור ביקש שלא למצות את הדין עם ה</w:t>
      </w:r>
      <w:r>
        <w:rPr>
          <w:rtl w:val="true"/>
        </w:rPr>
        <w:t xml:space="preserve">מערער </w:t>
      </w:r>
      <w:r>
        <w:rPr>
          <w:rtl w:val="true"/>
        </w:rPr>
        <w:t>ול</w:t>
      </w:r>
      <w:r>
        <w:rPr>
          <w:rtl w:val="true"/>
        </w:rPr>
        <w:t xml:space="preserve">אמץ </w:t>
      </w:r>
      <w:r>
        <w:rPr>
          <w:rtl w:val="true"/>
        </w:rPr>
        <w:t>את המלצת שירות המבחן להטיל על</w:t>
      </w:r>
      <w:r>
        <w:rPr>
          <w:rtl w:val="true"/>
        </w:rPr>
        <w:t xml:space="preserve">יו </w:t>
      </w:r>
      <w:r>
        <w:rPr>
          <w:rtl w:val="true"/>
        </w:rPr>
        <w:t>עונש מאסר שיבוצע בעבודות שירות</w:t>
      </w:r>
      <w:r>
        <w:rPr>
          <w:rtl w:val="true"/>
        </w:rPr>
        <w:t>.</w:t>
      </w:r>
      <w:r>
        <w:rPr>
          <w:rtl w:val="true"/>
        </w:rPr>
        <w:t xml:space="preserve"> </w:t>
      </w:r>
      <w:r>
        <w:rPr>
          <w:rtl w:val="true"/>
        </w:rPr>
        <w:t>הסנ</w:t>
      </w:r>
      <w:r>
        <w:rPr>
          <w:rtl w:val="true"/>
        </w:rPr>
        <w:t>י</w:t>
      </w:r>
      <w:r>
        <w:rPr>
          <w:rtl w:val="true"/>
        </w:rPr>
        <w:t xml:space="preserve">גור הדגיש כי מדובר </w:t>
      </w:r>
      <w:r>
        <w:rPr>
          <w:rtl w:val="true"/>
        </w:rPr>
        <w:t xml:space="preserve">באדם </w:t>
      </w:r>
      <w:r>
        <w:rPr>
          <w:rtl w:val="true"/>
        </w:rPr>
        <w:t>צעיר</w:t>
      </w:r>
      <w:r>
        <w:rPr>
          <w:rtl w:val="true"/>
        </w:rPr>
        <w:t>,</w:t>
      </w:r>
      <w:r>
        <w:rPr>
          <w:rtl w:val="true"/>
        </w:rPr>
        <w:t xml:space="preserve"> </w:t>
      </w:r>
      <w:r>
        <w:rPr>
          <w:rtl w:val="true"/>
        </w:rPr>
        <w:t>כמעט נעדר עבר פלילי</w:t>
      </w:r>
      <w:r>
        <w:rPr>
          <w:rtl w:val="true"/>
        </w:rPr>
        <w:t xml:space="preserve">, </w:t>
      </w:r>
      <w:r>
        <w:rPr>
          <w:rtl w:val="true"/>
        </w:rPr>
        <w:t>ו</w:t>
      </w:r>
      <w:r>
        <w:rPr>
          <w:rtl w:val="true"/>
        </w:rPr>
        <w:t>בזמן ביצ</w:t>
      </w:r>
      <w:r>
        <w:rPr>
          <w:rtl w:val="true"/>
        </w:rPr>
        <w:t xml:space="preserve">וע </w:t>
      </w:r>
      <w:r>
        <w:rPr>
          <w:rtl w:val="true"/>
        </w:rPr>
        <w:t>העבירה לא הייתה לו הרשעה קודמת</w:t>
      </w:r>
      <w:r>
        <w:rPr>
          <w:rtl w:val="true"/>
        </w:rPr>
        <w:t>.</w:t>
      </w:r>
      <w:r>
        <w:rPr>
          <w:rtl w:val="true"/>
        </w:rPr>
        <w:t xml:space="preserve"> </w:t>
      </w:r>
      <w:r>
        <w:rPr>
          <w:rtl w:val="true"/>
        </w:rPr>
        <w:t>עוד הדגיש כי ה</w:t>
      </w:r>
      <w:r>
        <w:rPr>
          <w:rtl w:val="true"/>
        </w:rPr>
        <w:t xml:space="preserve">מערער </w:t>
      </w:r>
      <w:r>
        <w:rPr>
          <w:rtl w:val="true"/>
        </w:rPr>
        <w:t xml:space="preserve">התחתן לפני </w:t>
      </w:r>
      <w:r>
        <w:rPr>
          <w:rtl w:val="true"/>
        </w:rPr>
        <w:t>מספר</w:t>
      </w:r>
      <w:r>
        <w:rPr>
          <w:rtl w:val="true"/>
        </w:rPr>
        <w:t xml:space="preserve"> חודשים</w:t>
      </w:r>
      <w:r>
        <w:rPr>
          <w:rtl w:val="true"/>
        </w:rPr>
        <w:t xml:space="preserve">, </w:t>
      </w:r>
      <w:r>
        <w:rPr>
          <w:rtl w:val="true"/>
        </w:rPr>
        <w:t>ונסיבות חייו מיוחדות</w:t>
      </w:r>
      <w:r>
        <w:rPr>
          <w:rtl w:val="true"/>
        </w:rPr>
        <w:t>.</w:t>
      </w:r>
      <w:r>
        <w:rPr>
          <w:rtl w:val="true"/>
        </w:rPr>
        <w:t xml:space="preserve"> </w:t>
      </w:r>
      <w:r>
        <w:rPr>
          <w:rtl w:val="true"/>
        </w:rPr>
        <w:t xml:space="preserve">שני אחיו שנפטרו </w:t>
      </w:r>
      <w:r>
        <w:rPr>
          <w:rtl w:val="true"/>
        </w:rPr>
        <w:t xml:space="preserve">זה מכבר </w:t>
      </w:r>
      <w:r>
        <w:rPr>
          <w:rtl w:val="true"/>
        </w:rPr>
        <w:t>סבלו מאותה מחלה ממנה סובל אח</w:t>
      </w:r>
      <w:r>
        <w:rPr>
          <w:rtl w:val="true"/>
        </w:rPr>
        <w:t xml:space="preserve"> נוסף שלו שהינו </w:t>
      </w:r>
      <w:r>
        <w:rPr>
          <w:rtl w:val="true"/>
        </w:rPr>
        <w:t>נכה</w:t>
      </w:r>
      <w:r>
        <w:rPr>
          <w:rtl w:val="true"/>
        </w:rPr>
        <w:t xml:space="preserve">, </w:t>
      </w:r>
      <w:r>
        <w:rPr>
          <w:rtl w:val="true"/>
        </w:rPr>
        <w:t>עיוור ומשותק</w:t>
      </w:r>
      <w:r>
        <w:rPr>
          <w:rtl w:val="true"/>
        </w:rPr>
        <w:t xml:space="preserve">, </w:t>
      </w:r>
      <w:r>
        <w:rPr>
          <w:rtl w:val="true"/>
        </w:rPr>
        <w:t xml:space="preserve">אשר </w:t>
      </w:r>
      <w:r>
        <w:rPr>
          <w:rtl w:val="true"/>
        </w:rPr>
        <w:t>ככל הנראה צפוי לו גורל הדומה לגורל אחיו</w:t>
      </w:r>
      <w:r>
        <w:rPr>
          <w:rtl w:val="true"/>
        </w:rPr>
        <w:t xml:space="preserve">. </w:t>
      </w:r>
      <w:r>
        <w:rPr>
          <w:rtl w:val="true"/>
        </w:rPr>
        <w:t>ה</w:t>
      </w:r>
      <w:r>
        <w:rPr>
          <w:rtl w:val="true"/>
        </w:rPr>
        <w:t xml:space="preserve">מערער </w:t>
      </w:r>
      <w:r>
        <w:rPr>
          <w:rtl w:val="true"/>
        </w:rPr>
        <w:t>הודה בביצוע העבירות</w:t>
      </w:r>
      <w:r>
        <w:rPr>
          <w:rtl w:val="true"/>
        </w:rPr>
        <w:t xml:space="preserve">, </w:t>
      </w:r>
      <w:r>
        <w:rPr>
          <w:rtl w:val="true"/>
        </w:rPr>
        <w:t>ו</w:t>
      </w:r>
      <w:r>
        <w:rPr>
          <w:rtl w:val="true"/>
        </w:rPr>
        <w:t>הודה בכתב האישום כפי שהוא</w:t>
      </w:r>
      <w:r>
        <w:rPr>
          <w:rtl w:val="true"/>
        </w:rPr>
        <w:t>;</w:t>
      </w:r>
      <w:r>
        <w:rPr>
          <w:rtl w:val="true"/>
        </w:rPr>
        <w:t xml:space="preserve"> </w:t>
      </w:r>
      <w:r>
        <w:rPr>
          <w:rtl w:val="true"/>
        </w:rPr>
        <w:t xml:space="preserve">הוא מצטער על </w:t>
      </w:r>
      <w:r>
        <w:rPr>
          <w:rtl w:val="true"/>
        </w:rPr>
        <w:t xml:space="preserve">אשר </w:t>
      </w:r>
      <w:r>
        <w:rPr>
          <w:rtl w:val="true"/>
        </w:rPr>
        <w:t>עשה והדגיש כי לא נגרם ממעשיו נזק ויש לתת תמריץ ל</w:t>
      </w:r>
      <w:r>
        <w:rPr>
          <w:rtl w:val="true"/>
        </w:rPr>
        <w:t xml:space="preserve">נאשם </w:t>
      </w:r>
      <w:r>
        <w:rPr>
          <w:rtl w:val="true"/>
        </w:rPr>
        <w:t>אשר חסך מזמנו של בית המשפט</w:t>
      </w:r>
      <w:r>
        <w:rPr>
          <w:rtl w:val="true"/>
        </w:rPr>
        <w:t>.</w:t>
      </w:r>
      <w:r>
        <w:rPr>
          <w:rtl w:val="true"/>
        </w:rPr>
        <w:t xml:space="preserve"> </w:t>
      </w:r>
      <w:r>
        <w:rPr>
          <w:rtl w:val="true"/>
        </w:rPr>
        <w:t>כן התנגד הסניגור לחילוט הרכב</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בשים לב לכל האמור ולאחר סקירת פסיקת בתי המשפט בעבירות דומות</w:t>
      </w:r>
      <w:r>
        <w:rPr>
          <w:rtl w:val="true"/>
        </w:rPr>
        <w:t xml:space="preserve">, </w:t>
      </w:r>
      <w:r>
        <w:rPr>
          <w:rtl w:val="true"/>
        </w:rPr>
        <w:t xml:space="preserve">בית המשפט המחוזי קבע כי מתחם העונש ההולם נע בין </w:t>
      </w:r>
      <w:r>
        <w:rPr/>
        <w:t>22</w:t>
      </w:r>
      <w:r>
        <w:rPr>
          <w:rtl w:val="true"/>
        </w:rPr>
        <w:t xml:space="preserve"> </w:t>
      </w:r>
      <w:r>
        <w:rPr>
          <w:rtl w:val="true"/>
        </w:rPr>
        <w:t>ל</w:t>
      </w:r>
      <w:r>
        <w:rPr>
          <w:rtl w:val="true"/>
        </w:rPr>
        <w:t>-</w:t>
      </w:r>
      <w:r>
        <w:rPr/>
        <w:t>44</w:t>
      </w:r>
      <w:r>
        <w:rPr>
          <w:rtl w:val="true"/>
        </w:rPr>
        <w:t xml:space="preserve"> </w:t>
      </w:r>
      <w:r>
        <w:rPr>
          <w:rtl w:val="true"/>
        </w:rPr>
        <w:t>חודשי מאסר בפועל</w:t>
      </w:r>
      <w:r>
        <w:rPr>
          <w:rtl w:val="true"/>
        </w:rPr>
        <w:t xml:space="preserve">, </w:t>
      </w:r>
      <w:r>
        <w:rPr>
          <w:rtl w:val="true"/>
        </w:rPr>
        <w:t xml:space="preserve">כמו גם פסילת רישיון הנהיגה לתקופה שבין </w:t>
      </w:r>
      <w:r>
        <w:rPr/>
        <w:t>2</w:t>
      </w:r>
      <w:r>
        <w:rPr>
          <w:rtl w:val="true"/>
        </w:rPr>
        <w:t xml:space="preserve"> </w:t>
      </w:r>
      <w:r>
        <w:rPr>
          <w:rtl w:val="true"/>
        </w:rPr>
        <w:t>ל</w:t>
      </w:r>
      <w:r>
        <w:rPr>
          <w:rtl w:val="true"/>
        </w:rPr>
        <w:t>-</w:t>
      </w:r>
      <w:r>
        <w:rPr/>
        <w:t>5</w:t>
      </w:r>
      <w:r>
        <w:rPr>
          <w:rtl w:val="true"/>
        </w:rPr>
        <w:t xml:space="preserve"> </w:t>
      </w:r>
      <w:r>
        <w:rPr>
          <w:rtl w:val="true"/>
        </w:rPr>
        <w:t>שנים</w:t>
      </w:r>
      <w:r>
        <w:rPr>
          <w:rtl w:val="true"/>
        </w:rPr>
        <w:t xml:space="preserve">, </w:t>
      </w:r>
      <w:r>
        <w:rPr>
          <w:rtl w:val="true"/>
        </w:rPr>
        <w:t>והשית על המערער את העונשים שפורטו לעיל</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r>
        <w:rPr>
          <w:rFonts w:ascii="Century" w:hAnsi="Century" w:eastAsia="Century" w:cs="Century"/>
          <w:b/>
          <w:b/>
          <w:spacing w:val="0"/>
          <w:sz w:val="22"/>
          <w:sz w:val="22"/>
          <w:szCs w:val="24"/>
          <w:rtl w:val="true"/>
        </w:rPr>
        <w:t xml:space="preserve">   </w:t>
      </w:r>
    </w:p>
    <w:p>
      <w:pPr>
        <w:pStyle w:val="Ruller42"/>
        <w:numPr>
          <w:ilvl w:val="0"/>
          <w:numId w:val="1"/>
        </w:numPr>
        <w:ind w:hanging="0" w:start="0" w:end="0"/>
        <w:jc w:val="both"/>
        <w:rPr/>
      </w:pPr>
      <w:r>
        <w:rPr>
          <w:rtl w:val="true"/>
        </w:rPr>
        <w:t>המערער חזר על הטענות שטען בערכאה קמא והדגיש את מצבה הרפואי של משפחתו ומה עבר עליה כתוצאה ממצב זה</w:t>
      </w:r>
      <w:r>
        <w:rPr>
          <w:rtl w:val="true"/>
        </w:rPr>
        <w:t xml:space="preserve">. </w:t>
      </w:r>
      <w:r>
        <w:rPr>
          <w:rtl w:val="true"/>
        </w:rPr>
        <w:t>לטענתו הוא מהווה משענת לכל המשפחה הנתמכת רק מקצבת הביטוח הלאומי</w:t>
      </w:r>
      <w:r>
        <w:rPr>
          <w:rtl w:val="true"/>
        </w:rPr>
        <w:t xml:space="preserve">. </w:t>
      </w:r>
      <w:r>
        <w:rPr>
          <w:rtl w:val="true"/>
        </w:rPr>
        <w:t>הוא הלין על כך שבית המשפט המחוזי לא אפשר לו להתחיל הליך טיפולי על פי המלצת שירות המבחן עוד טרם נשמעו טיעוני הצדדים לעונש</w:t>
      </w:r>
      <w:r>
        <w:rPr>
          <w:rtl w:val="true"/>
        </w:rPr>
        <w:t xml:space="preserve">. </w:t>
      </w:r>
      <w:r>
        <w:rPr>
          <w:rtl w:val="true"/>
        </w:rPr>
        <w:t>שירות המבחן גם המליץ להעמידו במבחן במהלכו יעבור במסגרת שירות המבחן הליך טיפולי ויושת עליו עונש מאסר שניתן לרצותו בעבודות שירות</w:t>
      </w:r>
      <w:r>
        <w:rPr>
          <w:rtl w:val="true"/>
        </w:rPr>
        <w:t xml:space="preserve">. </w:t>
      </w:r>
      <w:r>
        <w:rPr>
          <w:rtl w:val="true"/>
        </w:rPr>
        <w:t>לטענתו</w:t>
      </w:r>
      <w:r>
        <w:rPr>
          <w:rtl w:val="true"/>
        </w:rPr>
        <w:t xml:space="preserve">, </w:t>
      </w:r>
      <w:r>
        <w:rPr>
          <w:rtl w:val="true"/>
        </w:rPr>
        <w:t>אין הוא משתמש עוד בסמים אסורים</w:t>
      </w:r>
      <w:r>
        <w:rPr>
          <w:rtl w:val="true"/>
        </w:rPr>
        <w:t xml:space="preserve">. </w:t>
      </w:r>
      <w:r>
        <w:rPr>
          <w:rtl w:val="true"/>
        </w:rPr>
        <w:t>על כך גם צירף חוות דעת פרטית של עובד סוציאלי מטעמו</w:t>
      </w:r>
      <w:r>
        <w:rPr>
          <w:rtl w:val="true"/>
        </w:rPr>
        <w:t xml:space="preserve">. </w:t>
      </w:r>
      <w:r>
        <w:rPr>
          <w:rtl w:val="true"/>
        </w:rPr>
        <w:t>כעת אפוא</w:t>
      </w:r>
      <w:r>
        <w:rPr>
          <w:rtl w:val="true"/>
        </w:rPr>
        <w:t xml:space="preserve">, </w:t>
      </w:r>
      <w:r>
        <w:rPr>
          <w:rtl w:val="true"/>
        </w:rPr>
        <w:t>נוצר מצב שננעלו לפניו דלתות הטיפול והשיקום ושליחתו לעונש מאחורי סורג ובריח לא תקדם את שיקומו ועלולה להובילו להתדרדרות</w:t>
      </w:r>
      <w:r>
        <w:rPr>
          <w:rtl w:val="true"/>
        </w:rPr>
        <w:t xml:space="preserve">. </w:t>
      </w:r>
      <w:r>
        <w:rPr>
          <w:rtl w:val="true"/>
        </w:rPr>
        <w:t>בנוסף</w:t>
      </w:r>
      <w:r>
        <w:rPr>
          <w:rtl w:val="true"/>
        </w:rPr>
        <w:t xml:space="preserve">, </w:t>
      </w:r>
      <w:r>
        <w:rPr>
          <w:rtl w:val="true"/>
        </w:rPr>
        <w:t>לטענתו בית המשפט המחוזי לא נתן משקל לתקופה הארוכה בה שהה במעצר בית</w:t>
      </w:r>
      <w:r>
        <w:rPr>
          <w:rtl w:val="true"/>
        </w:rPr>
        <w:t xml:space="preserve">, </w:t>
      </w:r>
      <w:r>
        <w:rPr>
          <w:rtl w:val="true"/>
        </w:rPr>
        <w:t>כשנה וחודשיים</w:t>
      </w:r>
      <w:r>
        <w:rPr>
          <w:rtl w:val="true"/>
        </w:rPr>
        <w:t xml:space="preserve">. </w:t>
      </w:r>
      <w:r>
        <w:rPr>
          <w:rtl w:val="true"/>
        </w:rPr>
        <w:t>לבסוף טען המערער בעניין חילוט הרכב המשמש את משפחתו לצרכי היום יום</w:t>
      </w:r>
      <w:r>
        <w:rPr>
          <w:rtl w:val="true"/>
        </w:rPr>
        <w:t xml:space="preserve">. </w:t>
      </w:r>
      <w:r>
        <w:rPr>
          <w:rtl w:val="true"/>
        </w:rPr>
        <w:t xml:space="preserve">מה גם כי ערכו עומד מעל </w:t>
      </w:r>
      <w:r>
        <w:rPr/>
        <w:t>60,000</w:t>
      </w:r>
      <w:r>
        <w:rPr>
          <w:rtl w:val="true"/>
        </w:rPr>
        <w:t xml:space="preserve"> </w:t>
      </w:r>
      <w:r>
        <w:rPr>
          <w:rtl w:val="true"/>
        </w:rPr>
        <w:t>ש</w:t>
      </w:r>
      <w:r>
        <w:rPr>
          <w:rtl w:val="true"/>
        </w:rPr>
        <w:t>"</w:t>
      </w:r>
      <w:r>
        <w:rPr>
          <w:rtl w:val="true"/>
        </w:rPr>
        <w:t>ח</w:t>
      </w:r>
      <w:r>
        <w:rPr>
          <w:rtl w:val="true"/>
        </w:rPr>
        <w:t xml:space="preserve">, </w:t>
      </w:r>
      <w:r>
        <w:rPr>
          <w:rtl w:val="true"/>
        </w:rPr>
        <w:t>שהוא סכום משמעותי</w:t>
      </w:r>
      <w:r>
        <w:rPr>
          <w:rtl w:val="true"/>
        </w:rPr>
        <w:t xml:space="preserve">, </w:t>
      </w:r>
      <w:r>
        <w:rPr>
          <w:rtl w:val="true"/>
        </w:rPr>
        <w:t xml:space="preserve">ולא </w:t>
      </w:r>
      <w:r>
        <w:rPr>
          <w:rtl w:val="true"/>
        </w:rPr>
        <w:t>קיימת הצדקה</w:t>
      </w:r>
      <w:r>
        <w:rPr>
          <w:rtl w:val="true"/>
        </w:rPr>
        <w:t xml:space="preserve"> עניינית לחלטו בנסיבות העניין הואיל ואין המדובר בעבירה כלכלית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לטענת המשיבה</w:t>
      </w:r>
      <w:r>
        <w:rPr>
          <w:rtl w:val="true"/>
        </w:rPr>
        <w:t xml:space="preserve">, </w:t>
      </w:r>
      <w:r>
        <w:rPr>
          <w:rtl w:val="true"/>
        </w:rPr>
        <w:t>בית המשפט המחוזי בא כברת דרך לקראת המערער</w:t>
      </w:r>
      <w:r>
        <w:rPr>
          <w:rtl w:val="true"/>
        </w:rPr>
        <w:t xml:space="preserve">, </w:t>
      </w:r>
      <w:r>
        <w:rPr>
          <w:rtl w:val="true"/>
        </w:rPr>
        <w:t>שכן סטה סטייה משמעותית ממתחם העונש ההולם לצורך שיקום המערער הנמצא אך בתחילת הליך שיקומי בהעדר אותות לשינוי באורחותיו</w:t>
      </w:r>
      <w:r>
        <w:rPr>
          <w:rtl w:val="true"/>
        </w:rPr>
        <w:t xml:space="preserve">. </w:t>
      </w:r>
      <w:r>
        <w:rPr>
          <w:rtl w:val="true"/>
        </w:rPr>
        <w:t>המשיבה מודעת לנסיבות המשפחתיות הלא פשוטות של המערער ולא הקלה ראש בהן</w:t>
      </w:r>
      <w:r>
        <w:rPr>
          <w:rtl w:val="true"/>
        </w:rPr>
        <w:t xml:space="preserve">. </w:t>
      </w:r>
      <w:r>
        <w:rPr>
          <w:rtl w:val="true"/>
        </w:rPr>
        <w:t>אך לטענתה בית המשפט המחוזי בגזר דינו הביא בחשבון את מכלול הנסיבות והעובדה שהמערער מקים תא משפחתי חדש משלו</w:t>
      </w:r>
      <w:r>
        <w:rPr>
          <w:rtl w:val="true"/>
        </w:rPr>
        <w:t xml:space="preserve">. </w:t>
      </w:r>
      <w:r>
        <w:rPr>
          <w:rtl w:val="true"/>
        </w:rPr>
        <w:t>כמו כן</w:t>
      </w:r>
      <w:r>
        <w:rPr>
          <w:rtl w:val="true"/>
        </w:rPr>
        <w:t xml:space="preserve">, </w:t>
      </w:r>
      <w:r>
        <w:rPr>
          <w:rtl w:val="true"/>
        </w:rPr>
        <w:t>מדובר בעבירה של סיכון חיי אדם</w:t>
      </w:r>
      <w:r>
        <w:rPr>
          <w:rtl w:val="true"/>
        </w:rPr>
        <w:t xml:space="preserve">, </w:t>
      </w:r>
      <w:r>
        <w:rPr>
          <w:rtl w:val="true"/>
        </w:rPr>
        <w:t>התנהגות קשה וחמורה</w:t>
      </w:r>
      <w:r>
        <w:rPr>
          <w:rtl w:val="true"/>
        </w:rPr>
        <w:t xml:space="preserve">, </w:t>
      </w:r>
      <w:r>
        <w:rPr>
          <w:rtl w:val="true"/>
        </w:rPr>
        <w:t>כאשר מאז עבר משך זמן רב וניתנה למערער האפשרות לעלות על המסלול השיקומי והוא לא עשה כן</w:t>
      </w:r>
      <w:r>
        <w:rPr>
          <w:rtl w:val="true"/>
        </w:rPr>
        <w:t xml:space="preserve">. </w:t>
      </w:r>
      <w:r>
        <w:rPr>
          <w:rtl w:val="true"/>
        </w:rPr>
        <w:t>מדובר גם במי שיש לחובתו עבר פלילי ותעבורתי לא פשוט</w:t>
      </w:r>
      <w:r>
        <w:rPr>
          <w:rtl w:val="true"/>
        </w:rPr>
        <w:t xml:space="preserve">. </w:t>
      </w:r>
      <w:r>
        <w:rPr>
          <w:rtl w:val="true"/>
        </w:rPr>
        <w:t>בעניין חילוט הרכב נטען כי המבחן בעניין זה הוא מבחן הזיקה בין הרכוש לעבירה</w:t>
      </w:r>
      <w:r>
        <w:rPr>
          <w:rtl w:val="true"/>
        </w:rPr>
        <w:t xml:space="preserve">. </w:t>
      </w:r>
      <w:r>
        <w:rPr>
          <w:rtl w:val="true"/>
        </w:rPr>
        <w:t>במקרה זה אין מקום לספק כי קיימת זיקה בין ביצוע העבירה לבין הרכב הואיל והעבירה בוצעה באמצעותו</w:t>
      </w:r>
      <w:r>
        <w:rPr>
          <w:rtl w:val="true"/>
        </w:rPr>
        <w:t xml:space="preserve">. </w:t>
      </w:r>
      <w:r>
        <w:rPr>
          <w:rtl w:val="true"/>
        </w:rPr>
        <w:t>המשיבה גם סבורה שחילוט הרכב מהווה כלי ראוי ונכון להילחם בתופעות עברייניות כאלה</w:t>
      </w:r>
      <w:r>
        <w:rPr>
          <w:rtl w:val="true"/>
        </w:rPr>
        <w:t xml:space="preserve">. </w:t>
      </w:r>
      <w:r>
        <w:rPr>
          <w:rtl w:val="true"/>
        </w:rPr>
        <w:t>באשר לשווי הרכב</w:t>
      </w:r>
      <w:r>
        <w:rPr>
          <w:rtl w:val="true"/>
        </w:rPr>
        <w:t xml:space="preserve">, </w:t>
      </w:r>
      <w:r>
        <w:rPr>
          <w:rtl w:val="true"/>
        </w:rPr>
        <w:t>קשה לקבוע מידתיות בעבירה שאינה כלכלית קלאסית</w:t>
      </w:r>
      <w:r>
        <w:rPr>
          <w:rtl w:val="true"/>
        </w:rPr>
        <w:t xml:space="preserve">. </w:t>
      </w:r>
      <w:r>
        <w:rPr>
          <w:rtl w:val="true"/>
        </w:rPr>
        <w:t>עם זאת במקרה זה מדובר בערך חיי אדם וחילוט רכב בשווי כ</w:t>
      </w:r>
      <w:r>
        <w:rPr>
          <w:rtl w:val="true"/>
        </w:rPr>
        <w:t>-</w:t>
      </w:r>
      <w:r>
        <w:rPr/>
        <w:t>60,000</w:t>
      </w:r>
      <w:r>
        <w:rPr>
          <w:rtl w:val="true"/>
        </w:rPr>
        <w:t xml:space="preserve"> </w:t>
      </w:r>
      <w:r>
        <w:rPr>
          <w:rtl w:val="true"/>
        </w:rPr>
        <w:t>ש</w:t>
      </w:r>
      <w:r>
        <w:rPr>
          <w:rtl w:val="true"/>
        </w:rPr>
        <w:t>"</w:t>
      </w:r>
      <w:r>
        <w:rPr>
          <w:rtl w:val="true"/>
        </w:rPr>
        <w:t>ח בהחלט פרופורציונל</w:t>
      </w:r>
      <w:r>
        <w:rPr>
          <w:rtl w:val="true"/>
        </w:rPr>
        <w:t>י</w:t>
      </w:r>
      <w:r>
        <w:rPr>
          <w:rtl w:val="true"/>
        </w:rPr>
        <w:t xml:space="preserve">. </w:t>
      </w:r>
      <w:r>
        <w:rPr>
          <w:rtl w:val="true"/>
        </w:rPr>
        <w:t>מה גם</w:t>
      </w:r>
      <w:r>
        <w:rPr>
          <w:rtl w:val="true"/>
        </w:rPr>
        <w:t xml:space="preserve">, </w:t>
      </w:r>
      <w:r>
        <w:rPr>
          <w:rtl w:val="true"/>
        </w:rPr>
        <w:t>שנוכח חילוט הרכב</w:t>
      </w:r>
      <w:r>
        <w:rPr>
          <w:rtl w:val="true"/>
        </w:rPr>
        <w:t xml:space="preserve">, </w:t>
      </w:r>
      <w:r>
        <w:rPr>
          <w:rtl w:val="true"/>
        </w:rPr>
        <w:t>בית המשפט המחוזי נמנע מלהטיל על המערער קנס כספי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במסגרת הערעור הוגש תסקיר נוסף מטעם שירות המבחן</w:t>
      </w:r>
      <w:r>
        <w:rPr>
          <w:rtl w:val="true"/>
        </w:rPr>
        <w:t xml:space="preserve">. </w:t>
      </w:r>
      <w:r>
        <w:rPr>
          <w:rtl w:val="true"/>
        </w:rPr>
        <w:t>בתסקיר זה טענה קצינת המבחן כי התחזקה התרשמותה כי המערער עשוי להירתם להליך טיפולי ונצפים סיכויים טובים לכך</w:t>
      </w:r>
      <w:r>
        <w:rPr>
          <w:rtl w:val="true"/>
        </w:rPr>
        <w:t xml:space="preserve">. </w:t>
      </w:r>
      <w:r>
        <w:rPr>
          <w:rtl w:val="true"/>
        </w:rPr>
        <w:t>המערער מגלה כיום מוטיבציה להשתלב בהליך טיפולי בתחום ההתמכרויות</w:t>
      </w:r>
      <w:r>
        <w:rPr>
          <w:rtl w:val="true"/>
        </w:rPr>
        <w:t xml:space="preserve">, </w:t>
      </w:r>
      <w:r>
        <w:rPr>
          <w:rtl w:val="true"/>
        </w:rPr>
        <w:t>זאת לצד ניקיון עד כה משימוש בסמים</w:t>
      </w:r>
      <w:r>
        <w:rPr>
          <w:rtl w:val="true"/>
        </w:rPr>
        <w:t xml:space="preserve">. </w:t>
      </w:r>
      <w:r>
        <w:rPr>
          <w:rtl w:val="true"/>
        </w:rPr>
        <w:t>על כן</w:t>
      </w:r>
      <w:r>
        <w:rPr>
          <w:rtl w:val="true"/>
        </w:rPr>
        <w:t xml:space="preserve">, </w:t>
      </w:r>
      <w:r>
        <w:rPr>
          <w:rtl w:val="true"/>
        </w:rPr>
        <w:t>עוד טרם תינתן המלצה עונשית וטיפולית לגביו</w:t>
      </w:r>
      <w:r>
        <w:rPr>
          <w:rtl w:val="true"/>
        </w:rPr>
        <w:t xml:space="preserve">, </w:t>
      </w:r>
      <w:r>
        <w:rPr>
          <w:rtl w:val="true"/>
        </w:rPr>
        <w:t>הומלץ לדחות את הדיון בארבעה חודשים במהלכם יופנה המערער להשתלב בהליך טיפולי במסגרת היחידה להתמכרויות בעיר טמרה</w:t>
      </w:r>
      <w:r>
        <w:rPr>
          <w:rtl w:val="true"/>
        </w:rPr>
        <w:t xml:space="preserve">. </w:t>
      </w:r>
      <w:r>
        <w:rPr>
          <w:rtl w:val="true"/>
        </w:rPr>
        <w:t>בתום התקופה יוגש תסקיר משלים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המערער ביקש לאמץ את המלצת שירות המבחן וזאת כדי לאפשר לו להשתלב בהליך טיפולי</w:t>
      </w:r>
      <w:r>
        <w:rPr>
          <w:rtl w:val="true"/>
        </w:rPr>
        <w:t xml:space="preserve">. </w:t>
      </w:r>
      <w:r>
        <w:rPr>
          <w:rtl w:val="true"/>
        </w:rPr>
        <w:t>המשיבה התנגדה לכך וטעמה עימה</w:t>
      </w:r>
      <w:r>
        <w:rPr>
          <w:rtl w:val="true"/>
        </w:rPr>
        <w:t xml:space="preserve">. </w:t>
      </w:r>
      <w:r>
        <w:rPr>
          <w:rtl w:val="true"/>
        </w:rPr>
        <w:t>לטענתה</w:t>
      </w:r>
      <w:r>
        <w:rPr>
          <w:rtl w:val="true"/>
        </w:rPr>
        <w:t xml:space="preserve">, </w:t>
      </w:r>
      <w:r>
        <w:rPr>
          <w:rtl w:val="true"/>
        </w:rPr>
        <w:t>כעת קיימת שאלה אחת בלבד שיש להכריע בה</w:t>
      </w:r>
      <w:r>
        <w:rPr>
          <w:rtl w:val="true"/>
        </w:rPr>
        <w:t xml:space="preserve">, </w:t>
      </w:r>
      <w:r>
        <w:rPr>
          <w:rtl w:val="true"/>
        </w:rPr>
        <w:t>והיא האם בשל הנסיבות אישיות</w:t>
      </w:r>
      <w:r>
        <w:rPr>
          <w:rtl w:val="true"/>
        </w:rPr>
        <w:t xml:space="preserve">, </w:t>
      </w:r>
      <w:r>
        <w:rPr>
          <w:rtl w:val="true"/>
        </w:rPr>
        <w:t>הקשות</w:t>
      </w:r>
      <w:r>
        <w:rPr>
          <w:rtl w:val="true"/>
        </w:rPr>
        <w:t xml:space="preserve">, </w:t>
      </w:r>
      <w:r>
        <w:rPr>
          <w:rtl w:val="true"/>
        </w:rPr>
        <w:t>הבריאותיות של משפחת המערער</w:t>
      </w:r>
      <w:r>
        <w:rPr>
          <w:rtl w:val="true"/>
        </w:rPr>
        <w:t xml:space="preserve">, </w:t>
      </w:r>
      <w:r>
        <w:rPr>
          <w:rtl w:val="true"/>
        </w:rPr>
        <w:t>יש מקום לחרוג מהעונש הראוי בשל שיקולי שיקום ולבדוק היתכנות של הטלת עונש מאסר שניתן לרצותו בעבודות שירות</w:t>
      </w:r>
      <w:r>
        <w:rPr>
          <w:rtl w:val="true"/>
        </w:rPr>
        <w:t xml:space="preserve">. </w:t>
      </w:r>
      <w:r>
        <w:rPr>
          <w:rtl w:val="true"/>
        </w:rPr>
        <w:t>זאת שעה שרק עתה המערער מתחיל להירתם להליך טיפולי הנמצא ממש בחיתוליו</w:t>
      </w:r>
      <w:r>
        <w:rPr>
          <w:rtl w:val="true"/>
        </w:rPr>
        <w:t xml:space="preserve">. </w:t>
      </w:r>
      <w:r>
        <w:rPr>
          <w:rtl w:val="true"/>
        </w:rPr>
        <w:t>לדעת המשיבה התשובה לכך שלילית וכל דחייה בעניינו של המערער</w:t>
      </w:r>
      <w:r>
        <w:rPr>
          <w:rtl w:val="true"/>
        </w:rPr>
        <w:t xml:space="preserve">, </w:t>
      </w:r>
      <w:r>
        <w:rPr>
          <w:rtl w:val="true"/>
        </w:rPr>
        <w:t>רק תטמיע בו תקוות שווא שאין להטיל עליו מאסר בפועל</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1"/>
        </w:numPr>
        <w:ind w:hanging="0" w:start="0" w:end="0"/>
        <w:jc w:val="both"/>
        <w:rPr/>
      </w:pPr>
      <w:r>
        <w:rPr>
          <w:rtl w:val="true"/>
        </w:rPr>
        <w:t>נקדים את המאוחר ונציין כי לא ראינו מקום לדחות את מועד מתן פסק הדין כדי לאפשר לשירות המבחן להגיש תסקיר נוסף</w:t>
      </w:r>
      <w:r>
        <w:rPr>
          <w:rtl w:val="true"/>
        </w:rPr>
        <w:t xml:space="preserve">. </w:t>
      </w:r>
      <w:r>
        <w:rPr>
          <w:rtl w:val="true"/>
        </w:rPr>
        <w:t>הטעם לכך נעוץ בעובדה שקשה לראות כיצד המערער יימלט מריצוי עונש של מאסר בפועל מאחורי סורג ובריח</w:t>
      </w:r>
      <w:r>
        <w:rPr>
          <w:rtl w:val="true"/>
        </w:rPr>
        <w:t xml:space="preserve">. </w:t>
      </w:r>
      <w:r>
        <w:rPr>
          <w:rtl w:val="true"/>
        </w:rPr>
        <w:t>על כן</w:t>
      </w:r>
      <w:r>
        <w:rPr>
          <w:rtl w:val="true"/>
        </w:rPr>
        <w:t xml:space="preserve">, </w:t>
      </w:r>
      <w:r>
        <w:rPr>
          <w:rtl w:val="true"/>
        </w:rPr>
        <w:t>דחיית מועד הדיון אך תיטע בו תקוות שווא שעונש המאסר בפועל שהושת עליו בבית המשפט המחוזי יוקל באופן משמעותי ויומר לעונש שניתן לרצותו בעבודות שירות</w:t>
      </w:r>
      <w:r>
        <w:rPr>
          <w:rtl w:val="true"/>
        </w:rPr>
        <w:t xml:space="preserve">. </w:t>
      </w:r>
      <w:r>
        <w:rPr>
          <w:rtl w:val="true"/>
        </w:rPr>
        <w:t>נקודת המוצא היא כי ערכאת הערעור אינה מתערבת בגזר דינה של הערכאה הדיונית אלא במקרים חריגים שבהם על פני הדברים נפלה טעות מהותית ובולטת בגזר הדין</w:t>
      </w:r>
      <w:r>
        <w:rPr>
          <w:rtl w:val="true"/>
        </w:rPr>
        <w:t xml:space="preserve">, </w:t>
      </w:r>
      <w:r>
        <w:rPr>
          <w:rtl w:val="true"/>
        </w:rPr>
        <w:t xml:space="preserve">או במקרים שבהם ניכרת חריגה קיצונית ממדיניות הענישה הנוהגת במקרים דומים </w:t>
      </w:r>
      <w:r>
        <w:rPr>
          <w:rtl w:val="true"/>
        </w:rPr>
        <w:t>(</w:t>
      </w:r>
      <w:r>
        <w:rPr>
          <w:rtl w:val="true"/>
        </w:rPr>
        <w:t>וראו למשל לאחרונה</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8420/19</w:t>
        </w:r>
      </w:hyperlink>
      <w:r>
        <w:rPr>
          <w:rtl w:val="true"/>
        </w:rPr>
        <w:t xml:space="preserve"> </w:t>
      </w:r>
      <w:r>
        <w:rPr>
          <w:rFonts w:ascii="Century" w:hAnsi="Century" w:cs="Miriam"/>
          <w:b/>
          <w:b/>
          <w:spacing w:val="0"/>
          <w:sz w:val="22"/>
          <w:sz w:val="22"/>
          <w:szCs w:val="24"/>
          <w:rtl w:val="true"/>
        </w:rPr>
        <w:t>בורגרקאר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18.2.2020</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6122/19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13.2.2020</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3991/18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15.1.2020</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6469/19</w:t>
        </w:r>
      </w:hyperlink>
      <w:r>
        <w:rPr>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דקה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27.11.19</w:t>
      </w:r>
      <w:r>
        <w:rPr>
          <w:rtl w:val="true"/>
        </w:rPr>
        <w:t xml:space="preserve">)). </w:t>
      </w:r>
      <w:r>
        <w:rPr>
          <w:rFonts w:ascii="Century" w:hAnsi="Century" w:cs="Century"/>
          <w:sz w:val="22"/>
          <w:sz w:val="22"/>
          <w:rtl w:val="true"/>
        </w:rPr>
        <w:t>על פניו</w:t>
      </w:r>
      <w:r>
        <w:rPr>
          <w:rFonts w:cs="Century" w:ascii="Century" w:hAnsi="Century"/>
          <w:sz w:val="22"/>
          <w:rtl w:val="true"/>
        </w:rPr>
        <w:t xml:space="preserve">, </w:t>
      </w:r>
      <w:r>
        <w:rPr>
          <w:rFonts w:ascii="Century" w:hAnsi="Century" w:cs="Century"/>
          <w:sz w:val="22"/>
          <w:sz w:val="22"/>
          <w:rtl w:val="true"/>
        </w:rPr>
        <w:t>אין מקרה זה נכנס לגדרם של אותם מקרים המצדיקים התערבות</w:t>
      </w:r>
      <w:r>
        <w:rPr>
          <w:rFonts w:cs="Century" w:ascii="Century" w:hAnsi="Century"/>
          <w:sz w:val="22"/>
          <w:rtl w:val="true"/>
        </w:rPr>
        <w:t>.</w:t>
      </w:r>
      <w:r>
        <w:rPr>
          <w:rtl w:val="true"/>
        </w:rPr>
        <w:t xml:space="preserve">    </w:t>
      </w:r>
    </w:p>
    <w:p>
      <w:pPr>
        <w:pStyle w:val="Ruller42"/>
        <w:numPr>
          <w:ilvl w:val="0"/>
          <w:numId w:val="0"/>
        </w:numPr>
        <w:ind w:hanging="0" w:start="0" w:end="0"/>
        <w:jc w:val="both"/>
        <w:rPr/>
      </w:pPr>
      <w:r>
        <w:rPr>
          <w:rFonts w:eastAsia="Garamond"/>
          <w:rtl w:val="true"/>
        </w:rPr>
        <w:t xml:space="preserve"> </w:t>
      </w:r>
    </w:p>
    <w:p>
      <w:pPr>
        <w:pStyle w:val="Ruller42"/>
        <w:numPr>
          <w:ilvl w:val="0"/>
          <w:numId w:val="1"/>
        </w:numPr>
        <w:ind w:hanging="0" w:start="0" w:end="0"/>
        <w:jc w:val="both"/>
        <w:rPr/>
      </w:pPr>
      <w:r>
        <w:rPr>
          <w:rtl w:val="true"/>
        </w:rPr>
        <w:t>מדובר כאמור בנהיגה פרועה של רכב באופן שהעמיד בסכנה משמעותית את כל המשתמשים בדרך שהיו בקרבתו של המערער</w:t>
      </w:r>
      <w:r>
        <w:rPr>
          <w:rtl w:val="true"/>
        </w:rPr>
        <w:t xml:space="preserve">. </w:t>
      </w:r>
      <w:r>
        <w:rPr>
          <w:rtl w:val="true"/>
        </w:rPr>
        <w:t>המערער עוד הוסיף חטא על פשע בכך שתוך כדי זה שהוא היתל בקצין המשטרה ועצר לצדי הכביש</w:t>
      </w:r>
      <w:r>
        <w:rPr>
          <w:rtl w:val="true"/>
        </w:rPr>
        <w:t xml:space="preserve">, </w:t>
      </w:r>
      <w:r>
        <w:rPr>
          <w:rtl w:val="true"/>
        </w:rPr>
        <w:t>ברח ממנו בשנית והגדיל את הסכנה של המשתמשים האחרים בדרך בעת הימלטותו מהשוטר</w:t>
      </w:r>
      <w:r>
        <w:rPr>
          <w:rtl w:val="true"/>
        </w:rPr>
        <w:t xml:space="preserve">. </w:t>
      </w:r>
    </w:p>
    <w:p>
      <w:pPr>
        <w:pStyle w:val="Ruller41"/>
        <w:ind w:end="0"/>
        <w:jc w:val="both"/>
        <w:rPr/>
      </w:pPr>
      <w:r>
        <w:rPr>
          <w:rtl w:val="true"/>
        </w:rPr>
      </w:r>
    </w:p>
    <w:p>
      <w:pPr>
        <w:pStyle w:val="Ruller42"/>
        <w:numPr>
          <w:ilvl w:val="0"/>
          <w:numId w:val="1"/>
        </w:numPr>
        <w:ind w:hanging="0" w:start="0" w:end="0"/>
        <w:jc w:val="both"/>
        <w:rPr>
          <w:sz w:val="28"/>
        </w:rPr>
      </w:pPr>
      <w:r>
        <w:rPr>
          <w:rtl w:val="true"/>
        </w:rPr>
        <w:t xml:space="preserve">בית משפט זה עמד וחזר ועמד אין ספור פעמים על החומרה היתרה של עבירת סיכון חיי אדם בנתיב תחבורה ועל הצורך להחמיר בענישתם של נאשמים שהורשעו בנהיגה פרועה ומסוכנת במטרה להימלט מפני המשטרה </w:t>
      </w:r>
      <w:r>
        <w:rPr>
          <w:rtl w:val="true"/>
        </w:rPr>
        <w:t>(</w:t>
      </w:r>
      <w:r>
        <w:rPr>
          <w:rtl w:val="true"/>
        </w:rPr>
        <w:t>וראו לדוגמה</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4860/14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חואלד</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10.3.2015</w:t>
      </w:r>
      <w:r>
        <w:rPr>
          <w:rtl w:val="true"/>
        </w:rPr>
        <w:t>)</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1535/06</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7.6.2006</w:t>
      </w:r>
      <w:r>
        <w:rPr>
          <w:sz w:val="28"/>
          <w:rtl w:val="true"/>
        </w:rPr>
        <w:t xml:space="preserve">); </w:t>
      </w:r>
      <w:hyperlink r:id="rId2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8703/11</w:t>
        </w:r>
      </w:hyperlink>
      <w:r>
        <w:rPr>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14.8.2012</w:t>
      </w:r>
      <w:r>
        <w:rPr>
          <w:rtl w:val="true"/>
        </w:rPr>
        <w:t xml:space="preserve">)). </w:t>
      </w:r>
      <w:r>
        <w:rPr>
          <w:rtl w:val="true"/>
        </w:rPr>
        <w:t>על כן</w:t>
      </w:r>
      <w:r>
        <w:rPr>
          <w:rtl w:val="true"/>
        </w:rPr>
        <w:t xml:space="preserve">, </w:t>
      </w:r>
      <w:r>
        <w:rPr>
          <w:rtl w:val="true"/>
        </w:rPr>
        <w:t xml:space="preserve">נקבעו לעבירה מתחמי ענישה מחמירים </w:t>
      </w:r>
      <w:r>
        <w:rPr>
          <w:rtl w:val="true"/>
        </w:rPr>
        <w:t>(</w:t>
      </w:r>
      <w:r>
        <w:rPr>
          <w:rtl w:val="true"/>
        </w:rPr>
        <w:t>ראו לדוגמה</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285/13</w:t>
        </w:r>
      </w:hyperlink>
      <w:r>
        <w:rPr>
          <w:rtl w:val="true"/>
        </w:rPr>
        <w:t xml:space="preserve"> </w:t>
      </w:r>
      <w:r>
        <w:rPr>
          <w:rFonts w:ascii="Century" w:hAnsi="Century" w:cs="Miriam"/>
          <w:b/>
          <w:b/>
          <w:spacing w:val="0"/>
          <w:sz w:val="22"/>
          <w:sz w:val="22"/>
          <w:szCs w:val="24"/>
          <w:rtl w:val="true"/>
        </w:rPr>
        <w:t>מוסטפא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lang w:val="en-IL" w:eastAsia="en-IL"/>
        </w:rPr>
        <w:t>(</w:t>
      </w:r>
      <w:r>
        <w:rPr>
          <w:lang w:val="en-IL" w:eastAsia="en-IL"/>
        </w:rPr>
        <w:t>24.10.2013</w:t>
      </w:r>
      <w:r>
        <w:rPr>
          <w:rtl w:val="true"/>
          <w:lang w:val="en-IL" w:eastAsia="en-IL"/>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6099/14</w:t>
        </w:r>
      </w:hyperlink>
      <w:r>
        <w:rPr>
          <w:rtl w:val="true"/>
        </w:rPr>
        <w:t xml:space="preserve"> </w:t>
      </w:r>
      <w:r>
        <w:rPr>
          <w:rFonts w:ascii="Century" w:hAnsi="Century" w:cs="Miriam"/>
          <w:b/>
          <w:b/>
          <w:spacing w:val="0"/>
          <w:sz w:val="22"/>
          <w:sz w:val="22"/>
          <w:szCs w:val="24"/>
          <w:rtl w:val="true"/>
        </w:rPr>
        <w:t>אקריע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5.2.2015</w:t>
      </w:r>
      <w:r>
        <w:rPr>
          <w:rtl w:val="true"/>
        </w:rPr>
        <w:t>)</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7234/13</w:t>
        </w:r>
      </w:hyperlink>
      <w:r>
        <w:rPr>
          <w:rtl w:val="true"/>
        </w:rPr>
        <w:t xml:space="preserve"> </w:t>
      </w:r>
      <w:r>
        <w:rPr>
          <w:rFonts w:ascii="Century" w:hAnsi="Century" w:cs="Miriam"/>
          <w:b/>
          <w:b/>
          <w:spacing w:val="0"/>
          <w:sz w:val="22"/>
          <w:sz w:val="22"/>
          <w:szCs w:val="24"/>
          <w:rtl w:val="true"/>
        </w:rPr>
        <w:t>אימ</w:t>
      </w:r>
      <w:r>
        <w:rPr>
          <w:rFonts w:ascii="Century" w:hAnsi="Century" w:cs="Miriam"/>
          <w:b/>
          <w:b/>
          <w:spacing w:val="0"/>
          <w:sz w:val="22"/>
          <w:sz w:val="22"/>
          <w:szCs w:val="24"/>
          <w:rtl w:val="true"/>
        </w:rPr>
        <w:t>א</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13.7.2014</w:t>
      </w:r>
      <w:r>
        <w:rPr>
          <w:rtl w:val="true"/>
        </w:rPr>
        <w:t>)</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1604/13</w:t>
        </w:r>
      </w:hyperlink>
      <w:r>
        <w:rPr>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29.7.2014</w:t>
      </w:r>
      <w:r>
        <w:rPr>
          <w:rtl w:val="true"/>
        </w:rPr>
        <w:t>)</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3641/14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חסונה</w:t>
      </w:r>
      <w:r>
        <w:rPr>
          <w:rFonts w:ascii="Miriam" w:hAnsi="Miriam" w:cs="Miriam"/>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2.7.2014</w:t>
      </w:r>
      <w:r>
        <w:rPr>
          <w:rtl w:val="true"/>
        </w:rPr>
        <w:t>)</w:t>
      </w:r>
      <w:r>
        <w:rPr>
          <w:rtl w:val="true"/>
        </w:rPr>
        <w:t xml:space="preserve">). </w:t>
      </w:r>
      <w:r>
        <w:rPr>
          <w:rtl w:val="true"/>
        </w:rPr>
        <w:t xml:space="preserve">בית משפט זה אף קבע לאחרונה כי ראוי בנסיבות כאלו להטיל על עברייני תנועה מסוג זה הנוהגים בפראות והנמלטים מהמשטרה </w:t>
      </w:r>
      <w:r>
        <w:rPr/>
        <w:t>3</w:t>
      </w:r>
      <w:r>
        <w:rPr>
          <w:rtl w:val="true"/>
        </w:rPr>
        <w:t xml:space="preserve"> </w:t>
      </w:r>
      <w:r>
        <w:rPr>
          <w:rtl w:val="true"/>
        </w:rPr>
        <w:t xml:space="preserve">שנות מאסר ואף יותר </w:t>
      </w:r>
      <w:r>
        <w:rPr>
          <w:rtl w:val="true"/>
        </w:rPr>
        <w:t>(</w:t>
      </w:r>
      <w:r>
        <w:rPr>
          <w:rtl w:val="true"/>
        </w:rPr>
        <w:t>וראו</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779/19</w:t>
        </w:r>
      </w:hyperlink>
      <w:r>
        <w:rPr>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מדיעם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22.7.2019</w:t>
      </w:r>
      <w:r>
        <w:rPr>
          <w:rtl w:val="true"/>
        </w:rPr>
        <w:t xml:space="preserve">). </w:t>
      </w:r>
      <w:r>
        <w:rPr>
          <w:rtl w:val="true"/>
        </w:rPr>
        <w:t>השוו גם</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8963/17</w:t>
        </w:r>
      </w:hyperlink>
      <w:r>
        <w:rPr>
          <w:rtl w:val="true"/>
        </w:rPr>
        <w:t xml:space="preserve"> </w:t>
      </w:r>
      <w:r>
        <w:rPr>
          <w:rFonts w:ascii="Century" w:hAnsi="Century" w:cs="Miriam"/>
          <w:b/>
          <w:b/>
          <w:spacing w:val="0"/>
          <w:sz w:val="22"/>
          <w:sz w:val="22"/>
          <w:szCs w:val="24"/>
          <w:rtl w:val="true"/>
        </w:rPr>
        <w:t>ששון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23.5.2018</w:t>
      </w:r>
      <w:r>
        <w:rPr>
          <w:rtl w:val="true"/>
        </w:rPr>
        <w:t xml:space="preserve">)). </w:t>
      </w:r>
      <w:r>
        <w:rPr>
          <w:rtl w:val="true"/>
        </w:rPr>
        <w:t xml:space="preserve">וכפי שציין בית המשפט בעניין </w:t>
      </w:r>
      <w:hyperlink r:id="rId29">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3300/16</w:t>
        </w:r>
      </w:hyperlink>
      <w:r>
        <w:rPr>
          <w:sz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11.5.2017</w:t>
      </w:r>
      <w:r>
        <w:rPr>
          <w:sz w:val="28"/>
          <w:rtl w:val="true"/>
        </w:rPr>
        <w:t xml:space="preserve">): </w:t>
      </w:r>
    </w:p>
    <w:p>
      <w:pPr>
        <w:pStyle w:val="Ruller42"/>
        <w:numPr>
          <w:ilvl w:val="0"/>
          <w:numId w:val="0"/>
        </w:numPr>
        <w:ind w:hanging="0" w:start="0" w:end="0"/>
        <w:jc w:val="both"/>
        <w:rPr>
          <w:sz w:val="28"/>
        </w:rPr>
      </w:pPr>
      <w:r>
        <w:rPr>
          <w:sz w:val="28"/>
          <w:rtl w:val="true"/>
        </w:rPr>
      </w:r>
    </w:p>
    <w:p>
      <w:pPr>
        <w:pStyle w:val="Ruller5"/>
        <w:ind w:end="1282"/>
        <w:jc w:val="both"/>
        <w:rPr/>
      </w:pPr>
      <w:r>
        <w:rPr>
          <w:rtl w:val="true"/>
        </w:rPr>
        <w:t>"</w:t>
      </w:r>
      <w:r>
        <w:rPr>
          <w:rtl w:val="true"/>
        </w:rPr>
        <w:t>לדאבוננו</w:t>
      </w:r>
      <w:r>
        <w:rPr>
          <w:rtl w:val="true"/>
        </w:rPr>
        <w:t xml:space="preserve">, </w:t>
      </w:r>
      <w:r>
        <w:rPr>
          <w:rtl w:val="true"/>
        </w:rPr>
        <w:t>מקרים</w:t>
      </w:r>
      <w:r>
        <w:rPr>
          <w:rFonts w:eastAsia="Arial TUR" w:cs="Arial TUR"/>
          <w:rtl w:val="true"/>
        </w:rPr>
        <w:t xml:space="preserve"> </w:t>
      </w:r>
      <w:r>
        <w:rPr>
          <w:rtl w:val="true"/>
        </w:rPr>
        <w:t>של</w:t>
      </w:r>
      <w:r>
        <w:rPr>
          <w:rFonts w:eastAsia="Arial TUR" w:cs="Arial TUR"/>
          <w:rtl w:val="true"/>
        </w:rPr>
        <w:t xml:space="preserve"> </w:t>
      </w:r>
      <w:r>
        <w:rPr>
          <w:rtl w:val="true"/>
        </w:rPr>
        <w:t>נהיגה</w:t>
      </w:r>
      <w:r>
        <w:rPr>
          <w:rFonts w:eastAsia="Arial TUR" w:cs="Arial TUR"/>
          <w:rtl w:val="true"/>
        </w:rPr>
        <w:t xml:space="preserve"> </w:t>
      </w:r>
      <w:r>
        <w:rPr>
          <w:rtl w:val="true"/>
        </w:rPr>
        <w:t>פראית</w:t>
      </w:r>
      <w:r>
        <w:rPr>
          <w:rFonts w:eastAsia="Arial TUR" w:cs="Arial TUR"/>
          <w:rtl w:val="true"/>
        </w:rPr>
        <w:t xml:space="preserve"> </w:t>
      </w:r>
      <w:r>
        <w:rPr>
          <w:rtl w:val="true"/>
        </w:rPr>
        <w:t>ובריונית</w:t>
      </w:r>
      <w:r>
        <w:rPr>
          <w:rFonts w:eastAsia="Arial TUR" w:cs="Arial TUR"/>
          <w:rtl w:val="true"/>
        </w:rPr>
        <w:t xml:space="preserve"> </w:t>
      </w:r>
      <w:r>
        <w:rPr>
          <w:rtl w:val="true"/>
        </w:rPr>
        <w:t>בכביש</w:t>
      </w:r>
      <w:r>
        <w:rPr>
          <w:rFonts w:eastAsia="Arial TUR" w:cs="Arial TUR"/>
          <w:rtl w:val="true"/>
        </w:rPr>
        <w:t xml:space="preserve"> </w:t>
      </w:r>
      <w:r>
        <w:rPr>
          <w:rtl w:val="true"/>
        </w:rPr>
        <w:t>תוך</w:t>
      </w:r>
      <w:r>
        <w:rPr>
          <w:rFonts w:eastAsia="Arial TUR" w:cs="Arial TUR"/>
          <w:rtl w:val="true"/>
        </w:rPr>
        <w:t xml:space="preserve"> </w:t>
      </w:r>
      <w:r>
        <w:rPr>
          <w:rtl w:val="true"/>
        </w:rPr>
        <w:t>התעלמות</w:t>
      </w:r>
      <w:r>
        <w:rPr>
          <w:rFonts w:eastAsia="Arial TUR" w:cs="Arial TUR"/>
          <w:rtl w:val="true"/>
        </w:rPr>
        <w:t xml:space="preserve"> </w:t>
      </w:r>
      <w:r>
        <w:rPr>
          <w:rtl w:val="true"/>
        </w:rPr>
        <w:t>מרשויות</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tl w:val="true"/>
        </w:rPr>
        <w:t xml:space="preserve">, </w:t>
      </w:r>
      <w:r>
        <w:rPr>
          <w:rtl w:val="true"/>
        </w:rPr>
        <w:t>מגיעים</w:t>
      </w:r>
      <w:r>
        <w:rPr>
          <w:rFonts w:eastAsia="Arial TUR" w:cs="Arial TUR"/>
          <w:rtl w:val="true"/>
        </w:rPr>
        <w:t xml:space="preserve"> </w:t>
      </w:r>
      <w:r>
        <w:rPr>
          <w:rtl w:val="true"/>
        </w:rPr>
        <w:t>לפתחם</w:t>
      </w:r>
      <w:r>
        <w:rPr>
          <w:rFonts w:eastAsia="Arial TUR" w:cs="Arial TUR"/>
          <w:rtl w:val="true"/>
        </w:rPr>
        <w:t xml:space="preserve"> </w:t>
      </w:r>
      <w:r>
        <w:rPr>
          <w:rtl w:val="true"/>
        </w:rPr>
        <w:t>של</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חדשות</w:t>
      </w:r>
      <w:r>
        <w:rPr>
          <w:rFonts w:eastAsia="Arial TUR" w:cs="Arial TUR"/>
          <w:rtl w:val="true"/>
        </w:rPr>
        <w:t xml:space="preserve"> </w:t>
      </w:r>
      <w:r>
        <w:rPr>
          <w:rtl w:val="true"/>
        </w:rPr>
        <w:t>לבקרים</w:t>
      </w:r>
      <w:r>
        <w:rPr>
          <w:rtl w:val="true"/>
        </w:rPr>
        <w:t xml:space="preserve">; </w:t>
      </w:r>
      <w:r>
        <w:rPr>
          <w:rtl w:val="true"/>
        </w:rPr>
        <w:t>ולא</w:t>
      </w:r>
      <w:r>
        <w:rPr>
          <w:rFonts w:eastAsia="Arial TUR" w:cs="Arial TUR"/>
          <w:rtl w:val="true"/>
        </w:rPr>
        <w:t xml:space="preserve"> </w:t>
      </w:r>
      <w:r>
        <w:rPr>
          <w:rtl w:val="true"/>
        </w:rPr>
        <w:t>פעם</w:t>
      </w:r>
      <w:r>
        <w:rPr>
          <w:rFonts w:eastAsia="Arial TUR" w:cs="Arial TU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חומרתם</w:t>
      </w:r>
      <w:r>
        <w:rPr>
          <w:rFonts w:eastAsia="Arial TUR" w:cs="Arial TUR"/>
          <w:rtl w:val="true"/>
        </w:rPr>
        <w:t xml:space="preserve"> </w:t>
      </w:r>
      <w:r>
        <w:rPr>
          <w:rtl w:val="true"/>
        </w:rPr>
        <w:t>של</w:t>
      </w:r>
      <w:r>
        <w:rPr>
          <w:rFonts w:eastAsia="Arial TUR" w:cs="Arial TUR"/>
          <w:rtl w:val="true"/>
        </w:rPr>
        <w:t xml:space="preserve"> </w:t>
      </w:r>
      <w:r>
        <w:rPr>
          <w:rtl w:val="true"/>
        </w:rPr>
        <w:t>מעשים</w:t>
      </w:r>
      <w:r>
        <w:rPr>
          <w:rFonts w:eastAsia="Arial TUR" w:cs="Arial TUR"/>
          <w:rtl w:val="true"/>
        </w:rPr>
        <w:t xml:space="preserve"> </w:t>
      </w:r>
      <w:r>
        <w:rPr>
          <w:rtl w:val="true"/>
        </w:rPr>
        <w:t>אלה</w:t>
      </w:r>
      <w:r>
        <w:rPr>
          <w:rtl w:val="true"/>
        </w:rPr>
        <w:t xml:space="preserve">. </w:t>
      </w:r>
      <w:r>
        <w:rPr>
          <w:rtl w:val="true"/>
        </w:rPr>
        <w:t>הפסיקה</w:t>
      </w:r>
      <w:r>
        <w:rPr>
          <w:rFonts w:eastAsia="Arial TUR" w:cs="Arial TUR"/>
          <w:rtl w:val="true"/>
        </w:rPr>
        <w:t xml:space="preserve"> </w:t>
      </w:r>
      <w:r>
        <w:rPr>
          <w:rtl w:val="true"/>
        </w:rPr>
        <w:t>הדגישה</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בענישה</w:t>
      </w:r>
      <w:r>
        <w:rPr>
          <w:rFonts w:eastAsia="Arial TUR" w:cs="Arial TUR"/>
          <w:rtl w:val="true"/>
        </w:rPr>
        <w:t xml:space="preserve"> </w:t>
      </w:r>
      <w:r>
        <w:rPr>
          <w:rtl w:val="true"/>
        </w:rPr>
        <w:t>מרתיעה</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לעונשם</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שעברו</w:t>
      </w:r>
      <w:r>
        <w:rPr>
          <w:rFonts w:eastAsia="Arial TUR" w:cs="Arial TUR"/>
          <w:rtl w:val="true"/>
        </w:rPr>
        <w:t xml:space="preserve"> </w:t>
      </w:r>
      <w:r>
        <w:rPr>
          <w:rtl w:val="true"/>
        </w:rPr>
        <w:t>עבירה</w:t>
      </w:r>
      <w:r>
        <w:rPr>
          <w:rFonts w:eastAsia="Arial TUR" w:cs="Arial TUR"/>
          <w:rtl w:val="true"/>
        </w:rPr>
        <w:t xml:space="preserve"> </w:t>
      </w:r>
      <w:r>
        <w:rPr>
          <w:rtl w:val="true"/>
        </w:rPr>
        <w:t>ממין</w:t>
      </w:r>
      <w:r>
        <w:rPr>
          <w:rFonts w:eastAsia="Arial TUR" w:cs="Arial TUR"/>
          <w:rtl w:val="true"/>
        </w:rPr>
        <w:t xml:space="preserve"> </w:t>
      </w:r>
      <w:r>
        <w:rPr>
          <w:rtl w:val="true"/>
        </w:rPr>
        <w:t>זה</w:t>
      </w:r>
      <w:r>
        <w:rPr>
          <w:rFonts w:ascii="Garamond" w:hAnsi="Garamond" w:cs="Garamond"/>
          <w:sz w:val="24"/>
          <w:sz w:val="24"/>
          <w:szCs w:val="24"/>
          <w:rtl w:val="true"/>
        </w:rPr>
        <w:t xml:space="preserve"> </w:t>
      </w:r>
      <w:r>
        <w:rPr>
          <w:rtl w:val="true"/>
        </w:rPr>
        <w:t>–</w:t>
      </w:r>
      <w:r>
        <w:rPr>
          <w:rFonts w:eastAsia="Arial TUR" w:cs="Arial TUR"/>
          <w:rtl w:val="true"/>
        </w:rPr>
        <w:t xml:space="preserve"> </w:t>
      </w:r>
      <w:r>
        <w:rPr>
          <w:rtl w:val="true"/>
        </w:rPr>
        <w:t>וזאת</w:t>
      </w:r>
      <w:r>
        <w:rPr>
          <w:rFonts w:eastAsia="Arial TUR" w:cs="Arial TUR"/>
          <w:rtl w:val="true"/>
        </w:rPr>
        <w:t xml:space="preserve"> </w:t>
      </w:r>
      <w:r>
        <w:rPr>
          <w:rtl w:val="true"/>
        </w:rPr>
        <w:t>לנוכח</w:t>
      </w:r>
      <w:r>
        <w:rPr>
          <w:rFonts w:eastAsia="Arial TUR" w:cs="Arial TUR"/>
          <w:rtl w:val="true"/>
        </w:rPr>
        <w:t xml:space="preserve"> </w:t>
      </w:r>
      <w:r>
        <w:rPr>
          <w:rtl w:val="true"/>
        </w:rPr>
        <w:t>הקטל</w:t>
      </w:r>
      <w:r>
        <w:rPr>
          <w:rFonts w:eastAsia="Arial TUR" w:cs="Arial TUR"/>
          <w:rtl w:val="true"/>
        </w:rPr>
        <w:t xml:space="preserve"> </w:t>
      </w:r>
      <w:r>
        <w:rPr>
          <w:rtl w:val="true"/>
        </w:rPr>
        <w:t>המתמשך</w:t>
      </w:r>
      <w:r>
        <w:rPr>
          <w:rFonts w:eastAsia="Arial TUR" w:cs="Arial TUR"/>
          <w:rtl w:val="true"/>
        </w:rPr>
        <w:t xml:space="preserve"> </w:t>
      </w:r>
      <w:r>
        <w:rPr>
          <w:rtl w:val="true"/>
        </w:rPr>
        <w:t>בכבישים</w:t>
      </w:r>
      <w:r>
        <w:rPr>
          <w:rtl w:val="true"/>
        </w:rPr>
        <w:t>:</w:t>
      </w:r>
    </w:p>
    <w:p>
      <w:pPr>
        <w:pStyle w:val="Ruller41"/>
        <w:ind w:end="0"/>
        <w:jc w:val="both"/>
        <w:rPr/>
      </w:pPr>
      <w:r>
        <w:rPr>
          <w:rtl w:val="true"/>
        </w:rPr>
      </w:r>
    </w:p>
    <w:p>
      <w:pPr>
        <w:pStyle w:val="Normal"/>
        <w:ind w:start="2160" w:end="1814"/>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המציאות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היומיומית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בכבישים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בטוחה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להחמיר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הסיכון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בנתיב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תחבורה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התעלמות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השוטרים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לעצור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לגביהן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ומרתיעה</w:t>
      </w:r>
      <w:r>
        <w:rPr>
          <w:rFonts w:cs="FrankRuehl" w:ascii="Century" w:hAnsi="Century"/>
          <w:spacing w:val="10"/>
          <w:sz w:val="22"/>
          <w:szCs w:val="28"/>
          <w:rtl w:val="true"/>
        </w:rPr>
        <w:t>" (</w:t>
      </w:r>
      <w:hyperlink r:id="rId30">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5626/14</w:t>
        </w:r>
      </w:hyperlink>
      <w:r>
        <w:rPr>
          <w:rFonts w:cs="FrankRuehl" w:ascii="Century" w:hAnsi="Century"/>
          <w:spacing w:val="10"/>
          <w:sz w:val="22"/>
          <w:szCs w:val="28"/>
          <w:rtl w:val="true"/>
        </w:rPr>
        <w:t xml:space="preserve"> </w:t>
      </w:r>
      <w:r>
        <w:rPr>
          <w:rFonts w:ascii="Century" w:hAnsi="Century" w:cs="Miriam"/>
          <w:b/>
          <w:b/>
          <w:sz w:val="22"/>
          <w:sz w:val="22"/>
          <w:rtl w:val="true"/>
        </w:rPr>
        <w:t>לנקין</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2.8.2015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cs="FrankRuehl" w:ascii="Century" w:hAnsi="Century"/>
          <w:spacing w:val="10"/>
          <w:sz w:val="22"/>
          <w:szCs w:val="28"/>
          <w:rtl w:val="true"/>
        </w:rPr>
        <w:t xml:space="preserve">: </w:t>
      </w:r>
      <w:hyperlink r:id="rId31">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1641/13</w:t>
        </w:r>
      </w:hyperlink>
      <w:r>
        <w:rPr>
          <w:rFonts w:cs="FrankRuehl" w:ascii="Century" w:hAnsi="Century"/>
          <w:spacing w:val="10"/>
          <w:sz w:val="22"/>
          <w:szCs w:val="28"/>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r>
        <w:rPr>
          <w:rFonts w:ascii="Century" w:hAnsi="Century" w:cs="Miriam"/>
          <w:b/>
          <w:b/>
          <w:sz w:val="22"/>
          <w:sz w:val="22"/>
          <w:rtl w:val="true"/>
        </w:rPr>
        <w:t>סביח</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31.12.2014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18</w:t>
      </w:r>
      <w:r>
        <w:rPr>
          <w:rFonts w:cs="FrankRuehl" w:ascii="Century" w:hAnsi="Century"/>
          <w:spacing w:val="10"/>
          <w:sz w:val="22"/>
          <w:szCs w:val="28"/>
          <w:rtl w:val="true"/>
        </w:rPr>
        <w:t xml:space="preserve">; </w:t>
      </w:r>
      <w:hyperlink r:id="rId32">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5981/15</w:t>
        </w:r>
      </w:hyperlink>
      <w:r>
        <w:rPr>
          <w:rFonts w:cs="FrankRuehl" w:ascii="Century" w:hAnsi="Century"/>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סלוצקי</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05.07.2016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17</w:t>
      </w:r>
      <w:r>
        <w:rPr>
          <w:rFonts w:cs="FrankRuehl" w:ascii="Century" w:hAnsi="Century"/>
          <w:spacing w:val="10"/>
          <w:sz w:val="22"/>
          <w:szCs w:val="28"/>
          <w:rtl w:val="true"/>
        </w:rPr>
        <w:t>).'"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w:t>
      </w:r>
      <w:r>
        <w:rPr>
          <w:rFonts w:cs="FrankRuehl" w:ascii="Century" w:hAnsi="Century"/>
          <w:spacing w:val="10"/>
          <w:sz w:val="22"/>
          <w:szCs w:val="28"/>
          <w:rtl w:val="true"/>
        </w:rPr>
        <w:t xml:space="preserve">). </w:t>
      </w:r>
    </w:p>
    <w:p>
      <w:pPr>
        <w:pStyle w:val="Ruller42"/>
        <w:numPr>
          <w:ilvl w:val="0"/>
          <w:numId w:val="0"/>
        </w:numPr>
        <w:ind w:hanging="0" w:start="0" w:end="0"/>
        <w:jc w:val="both"/>
        <w:rPr/>
      </w:pPr>
      <w:r>
        <w:rPr>
          <w:rFonts w:eastAsia="Garamond"/>
          <w:sz w:val="28"/>
          <w:rtl w:val="true"/>
        </w:rPr>
        <w:t xml:space="preserve"> </w:t>
      </w:r>
      <w:r>
        <w:rPr>
          <w:rFonts w:eastAsia="Garamond"/>
          <w:rtl w:val="true"/>
        </w:rPr>
        <w:t xml:space="preserve"> </w:t>
      </w:r>
    </w:p>
    <w:p>
      <w:pPr>
        <w:pStyle w:val="Ruller42"/>
        <w:numPr>
          <w:ilvl w:val="0"/>
          <w:numId w:val="1"/>
        </w:numPr>
        <w:ind w:hanging="0" w:start="0" w:end="0"/>
        <w:jc w:val="both"/>
        <w:rPr/>
      </w:pPr>
      <w:r>
        <w:rPr>
          <w:rtl w:val="true"/>
        </w:rPr>
        <w:t>אכן</w:t>
      </w:r>
      <w:r>
        <w:rPr>
          <w:rtl w:val="true"/>
        </w:rPr>
        <w:t xml:space="preserve">, </w:t>
      </w:r>
      <w:r>
        <w:rPr>
          <w:rtl w:val="true"/>
        </w:rPr>
        <w:t>מצב משפחתו של המערער קשה ומצער</w:t>
      </w:r>
      <w:r>
        <w:rPr>
          <w:rtl w:val="true"/>
        </w:rPr>
        <w:t xml:space="preserve">. </w:t>
      </w:r>
      <w:r>
        <w:rPr>
          <w:rtl w:val="true"/>
        </w:rPr>
        <w:t>אלא שמצב זה</w:t>
      </w:r>
      <w:r>
        <w:rPr>
          <w:rtl w:val="true"/>
        </w:rPr>
        <w:t xml:space="preserve">, </w:t>
      </w:r>
      <w:r>
        <w:rPr>
          <w:rtl w:val="true"/>
        </w:rPr>
        <w:t>אינו כזה המאפשר להקל עם המערער כפי שהוא מבקש</w:t>
      </w:r>
      <w:r>
        <w:rPr>
          <w:rtl w:val="true"/>
        </w:rPr>
        <w:t xml:space="preserve">. </w:t>
      </w:r>
      <w:r>
        <w:rPr>
          <w:rtl w:val="true"/>
        </w:rPr>
        <w:t>בית המשפט המחוזי לקח בחשבון את מצב המשפחה ועל פניו בא לקראת המערער עד כמה שניתן והעמיד את העונש על הצד המתון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באשר לחילוט הרכב</w:t>
      </w:r>
      <w:r>
        <w:rPr>
          <w:rtl w:val="true"/>
        </w:rPr>
        <w:t xml:space="preserve">. </w:t>
      </w:r>
      <w:r>
        <w:rPr>
          <w:rtl w:val="true"/>
        </w:rPr>
        <w:t xml:space="preserve">צודקת המשיבה כי המבחן לעניין זה הוא מבחן הזיקה בין העבירה לבין הרכב </w:t>
      </w:r>
      <w:r>
        <w:rPr>
          <w:rtl w:val="true"/>
        </w:rPr>
        <w:t>(</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1000/15</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אלחווה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3.7.2015</w:t>
      </w:r>
      <w:r>
        <w:rPr>
          <w:rtl w:val="true"/>
        </w:rPr>
        <w:t xml:space="preserve">)). </w:t>
      </w:r>
      <w:r>
        <w:rPr>
          <w:rtl w:val="true"/>
        </w:rPr>
        <w:t>בהתאם לכך</w:t>
      </w:r>
      <w:r>
        <w:rPr>
          <w:rtl w:val="true"/>
        </w:rPr>
        <w:t xml:space="preserve">, </w:t>
      </w:r>
      <w:r>
        <w:rPr>
          <w:rtl w:val="true"/>
        </w:rPr>
        <w:t xml:space="preserve">בית המשפט מורה לא פעם על חילוט כלי רכב במסגרת הטלת עונשים על עבריינים שביצעו עבירות של סיכון חיי אדם בנתיב תחבורה </w:t>
      </w:r>
      <w:r>
        <w:rPr>
          <w:rtl w:val="true"/>
        </w:rPr>
        <w:t>(</w:t>
      </w:r>
      <w:r>
        <w:rPr>
          <w:rtl w:val="true"/>
        </w:rPr>
        <w:t>וראו</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8970/15</w:t>
        </w:r>
      </w:hyperlink>
      <w:r>
        <w:rPr>
          <w:rtl w:val="true"/>
        </w:rPr>
        <w:t xml:space="preserve"> </w:t>
      </w:r>
      <w:r>
        <w:rPr>
          <w:rFonts w:ascii="Century" w:hAnsi="Century" w:cs="Miriam"/>
          <w:b/>
          <w:b/>
          <w:spacing w:val="0"/>
          <w:sz w:val="22"/>
          <w:sz w:val="22"/>
          <w:szCs w:val="24"/>
          <w:rtl w:val="true"/>
        </w:rPr>
        <w:t>עיסא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7.11.2016</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8547/15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מחאג</w:t>
      </w:r>
      <w:r>
        <w:rPr>
          <w:rFonts w:cs="Miriam" w:ascii="Century" w:hAnsi="Century"/>
          <w:b/>
          <w:spacing w:val="0"/>
          <w:sz w:val="22"/>
          <w:szCs w:val="24"/>
          <w:rtl w:val="true"/>
        </w:rPr>
        <w:t>'</w:t>
      </w:r>
      <w:r>
        <w:rPr>
          <w:rFonts w:ascii="Century" w:hAnsi="Century" w:cs="Miriam"/>
          <w:b/>
          <w:b/>
          <w:spacing w:val="0"/>
          <w:sz w:val="22"/>
          <w:sz w:val="22"/>
          <w:szCs w:val="24"/>
          <w:rtl w:val="true"/>
        </w:rPr>
        <w:t>נה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5.6.2016</w:t>
      </w:r>
      <w:r>
        <w:rPr>
          <w:rtl w:val="true"/>
        </w:rPr>
        <w:t xml:space="preserve">)). </w:t>
      </w:r>
      <w:r>
        <w:rPr>
          <w:rtl w:val="true"/>
        </w:rPr>
        <w:t>מקרה זה נכנס יפה אל תוך גדרם של מקרים בהם קיימת זיקה בין העבירה לבין הרכב</w:t>
      </w:r>
      <w:r>
        <w:rPr>
          <w:rtl w:val="true"/>
        </w:rPr>
        <w:t xml:space="preserve">, </w:t>
      </w:r>
      <w:r>
        <w:rPr>
          <w:rtl w:val="true"/>
        </w:rPr>
        <w:t>שכן העבירה עצמה בוצעה בעזרתו</w:t>
      </w:r>
      <w:r>
        <w:rPr>
          <w:rtl w:val="true"/>
        </w:rPr>
        <w:t xml:space="preserve">. </w:t>
      </w:r>
      <w:r>
        <w:rPr>
          <w:rtl w:val="true"/>
        </w:rPr>
        <w:t>כמו כן</w:t>
      </w:r>
      <w:r>
        <w:rPr>
          <w:rtl w:val="true"/>
        </w:rPr>
        <w:t xml:space="preserve">, </w:t>
      </w:r>
      <w:r>
        <w:rPr>
          <w:rtl w:val="true"/>
        </w:rPr>
        <w:t>איני רואה חוסר מידתיות בין שווי הרכב לבין העונש הכספי בדמות קנס שהיה ניתן להטיל על המערער</w:t>
      </w:r>
      <w:r>
        <w:rPr>
          <w:rtl w:val="true"/>
        </w:rPr>
        <w:t xml:space="preserve">. </w:t>
      </w:r>
      <w:r>
        <w:rPr>
          <w:rtl w:val="true"/>
        </w:rPr>
        <w:t>זאת ועוד</w:t>
      </w:r>
      <w:r>
        <w:rPr>
          <w:rtl w:val="true"/>
        </w:rPr>
        <w:t xml:space="preserve">, </w:t>
      </w:r>
      <w:r>
        <w:rPr>
          <w:rtl w:val="true"/>
        </w:rPr>
        <w:t>ישנן רגליים מוצקות לסברה</w:t>
      </w:r>
      <w:r>
        <w:rPr>
          <w:rtl w:val="true"/>
        </w:rPr>
        <w:t xml:space="preserve">, </w:t>
      </w:r>
      <w:r>
        <w:rPr>
          <w:rtl w:val="true"/>
        </w:rPr>
        <w:t>כי חילוט כלי רכב לאחר ביצוע עבירת תעבורה קשה</w:t>
      </w:r>
      <w:r>
        <w:rPr>
          <w:rtl w:val="true"/>
        </w:rPr>
        <w:t xml:space="preserve">, </w:t>
      </w:r>
      <w:r>
        <w:rPr>
          <w:rtl w:val="true"/>
        </w:rPr>
        <w:t xml:space="preserve">אף אם הרכב יקר ערך </w:t>
      </w:r>
      <w:r>
        <w:rPr>
          <w:rtl w:val="true"/>
        </w:rPr>
        <w:t>(</w:t>
      </w:r>
      <w:r>
        <w:rPr>
          <w:rtl w:val="true"/>
        </w:rPr>
        <w:t>שלא כבמקרה זה</w:t>
      </w:r>
      <w:r>
        <w:rPr>
          <w:rtl w:val="true"/>
        </w:rPr>
        <w:t xml:space="preserve">), </w:t>
      </w:r>
      <w:r>
        <w:rPr>
          <w:rtl w:val="true"/>
        </w:rPr>
        <w:t>יחזק את ההרתעה כלפי עבריינים פוטנציאליים לעתיד לבוא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סופו של דבר</w:t>
      </w:r>
      <w:r>
        <w:rPr>
          <w:rtl w:val="true"/>
        </w:rPr>
        <w:t xml:space="preserve">, </w:t>
      </w:r>
      <w:r>
        <w:rPr>
          <w:rtl w:val="true"/>
        </w:rPr>
        <w:t>אציע לחבריי לדחות את הערעור</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2"/>
        <w:numPr>
          <w:ilvl w:val="0"/>
          <w:numId w:val="0"/>
        </w:numPr>
        <w:ind w:hanging="0" w:start="0"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 xml:space="preserve">המערער </w:t>
      </w:r>
      <w:r>
        <w:rPr>
          <w:rtl w:val="true"/>
        </w:rPr>
        <w:t>יתייצב</w:t>
      </w:r>
      <w:r>
        <w:rPr>
          <w:rtl w:val="true"/>
        </w:rPr>
        <w:t xml:space="preserve"> </w:t>
      </w:r>
      <w:r>
        <w:rPr>
          <w:rtl w:val="true"/>
        </w:rPr>
        <w:t>ל</w:t>
      </w:r>
      <w:r>
        <w:rPr>
          <w:rtl w:val="true"/>
        </w:rPr>
        <w:t>שאת בעונש ה</w:t>
      </w:r>
      <w:r>
        <w:rPr>
          <w:rtl w:val="true"/>
        </w:rPr>
        <w:t>מאסר</w:t>
      </w:r>
      <w:r>
        <w:rPr>
          <w:rtl w:val="true"/>
        </w:rPr>
        <w:t xml:space="preserve"> בפועל שהוטל עליו</w:t>
      </w:r>
      <w:r>
        <w:rPr>
          <w:rtl w:val="true"/>
        </w:rPr>
        <w:t xml:space="preserve"> </w:t>
      </w:r>
      <w:r>
        <w:rPr>
          <w:rtl w:val="true"/>
        </w:rPr>
        <w:t xml:space="preserve">ביום </w:t>
      </w:r>
      <w:r>
        <w:rPr/>
        <w:t>2.4.2020</w:t>
      </w:r>
      <w:r>
        <w:rPr>
          <w:rtl w:val="true"/>
        </w:rPr>
        <w:t xml:space="preserve"> </w:t>
      </w:r>
      <w:r>
        <w:rPr>
          <w:rtl w:val="true"/>
        </w:rPr>
        <w:t xml:space="preserve">עד השעה </w:t>
      </w:r>
      <w:r>
        <w:rPr/>
        <w:t>10:00</w:t>
      </w:r>
      <w:r>
        <w:rPr>
          <w:rtl w:val="true"/>
        </w:rPr>
        <w:t xml:space="preserve"> </w:t>
      </w:r>
      <w:r>
        <w:rPr>
          <w:rtl w:val="true"/>
        </w:rPr>
        <w:t>בימ</w:t>
      </w:r>
      <w:r>
        <w:rPr>
          <w:rtl w:val="true"/>
        </w:rPr>
        <w:t>"</w:t>
      </w:r>
      <w:r>
        <w:rPr>
          <w:rtl w:val="true"/>
        </w:rPr>
        <w:t>ר קישון</w:t>
      </w:r>
      <w:r>
        <w:rPr>
          <w:rtl w:val="true"/>
        </w:rPr>
        <w:t xml:space="preserve">, </w:t>
      </w:r>
      <w:r>
        <w:rPr>
          <w:rtl w:val="true"/>
        </w:rPr>
        <w:t xml:space="preserve">או </w:t>
      </w:r>
      <w:r>
        <w:rPr>
          <w:rtl w:val="true"/>
        </w:rPr>
        <w:t xml:space="preserve">במקום שייקבע </w:t>
      </w:r>
      <w:r>
        <w:rPr>
          <w:rtl w:val="true"/>
        </w:rPr>
        <w:t>על פי החלטת ש</w:t>
      </w:r>
      <w:r>
        <w:rPr>
          <w:rtl w:val="true"/>
        </w:rPr>
        <w:t>ירות בתי הסוהר</w:t>
      </w:r>
      <w:r>
        <w:rPr>
          <w:rtl w:val="true"/>
        </w:rPr>
        <w:t xml:space="preserve">, </w:t>
      </w:r>
      <w:r>
        <w:rPr>
          <w:rtl w:val="true"/>
        </w:rPr>
        <w:t>כשברשותו תעודת זהות או דרכון</w:t>
      </w:r>
      <w:r>
        <w:rPr>
          <w:rtl w:val="true"/>
        </w:rPr>
        <w:t xml:space="preserve">. </w:t>
      </w:r>
      <w:r>
        <w:rPr>
          <w:rtl w:val="true"/>
        </w:rPr>
        <w:t>על ה</w:t>
      </w:r>
      <w:r>
        <w:rPr>
          <w:rtl w:val="true"/>
        </w:rPr>
        <w:t>מערער</w:t>
      </w:r>
      <w:r>
        <w:rPr>
          <w:rtl w:val="true"/>
        </w:rPr>
        <w:t xml:space="preserve">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w:t>
      </w:r>
      <w:r>
        <w:rPr>
          <w:rtl w:val="true"/>
        </w:rPr>
        <w:t>ירות בתי הסוהר</w:t>
      </w:r>
      <w:r>
        <w:rPr>
          <w:rtl w:val="true"/>
        </w:rPr>
        <w:t xml:space="preserve">, </w:t>
      </w:r>
      <w:r>
        <w:rPr>
          <w:rtl w:val="true"/>
        </w:rPr>
        <w:t>ב</w:t>
      </w:r>
      <w:r>
        <w:rPr>
          <w:rtl w:val="true"/>
        </w:rPr>
        <w:t>טלפונים</w:t>
      </w:r>
      <w:r>
        <w:rPr>
          <w:rtl w:val="true"/>
        </w:rPr>
        <w:t xml:space="preserve">: </w:t>
      </w:r>
      <w:r>
        <w:rPr/>
        <w:t>08-9787377</w:t>
      </w:r>
      <w:r>
        <w:rPr>
          <w:rtl w:val="true"/>
        </w:rPr>
        <w:t xml:space="preserve"> </w:t>
      </w:r>
      <w:r>
        <w:rPr>
          <w:rtl w:val="true"/>
        </w:rPr>
        <w:t>או</w:t>
      </w:r>
      <w:r>
        <w:rPr>
          <w:rtl w:val="true"/>
        </w:rPr>
        <w:t xml:space="preserve">  </w:t>
      </w:r>
      <w:r>
        <w:rPr/>
        <w:t>08-9787336</w:t>
      </w:r>
      <w:r>
        <w:rPr>
          <w:rtl w:val="true"/>
        </w:rPr>
        <w:t>.</w:t>
      </w:r>
    </w:p>
    <w:p>
      <w:pPr>
        <w:pStyle w:val="Ruller41"/>
        <w:ind w:end="0"/>
        <w:jc w:val="both"/>
        <w:rPr/>
      </w:pPr>
      <w:r>
        <w:rPr>
          <w:rtl w:val="true"/>
        </w:rPr>
      </w:r>
    </w:p>
    <w:p>
      <w:pPr>
        <w:pStyle w:val="Ruller41"/>
        <w:ind w:end="0"/>
        <w:jc w:val="both"/>
        <w:rPr/>
      </w:pPr>
      <w:bookmarkStart w:id="17"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ב</w:t>
      </w:r>
      <w:r>
        <w:rPr>
          <w:rFonts w:eastAsia="Arial TUR" w:cs="Arial TUR"/>
          <w:rtl w:val="true"/>
        </w:rPr>
        <w:t xml:space="preserve"> </w:t>
      </w:r>
      <w:r>
        <w:rPr>
          <w:rtl w:val="true"/>
        </w:rPr>
        <w:t>באדר</w:t>
      </w:r>
      <w:r>
        <w:rPr>
          <w:rFonts w:eastAsia="Arial TUR" w:cs="Arial TUR"/>
          <w:rtl w:val="true"/>
        </w:rPr>
        <w:t xml:space="preserve"> </w:t>
      </w:r>
      <w:r>
        <w:rPr>
          <w:rtl w:val="true"/>
        </w:rPr>
        <w:t>התש</w:t>
      </w:r>
      <w:r>
        <w:rPr>
          <w:rtl w:val="true"/>
        </w:rPr>
        <w:t>"</w:t>
      </w:r>
      <w:r>
        <w:rPr>
          <w:rtl w:val="true"/>
        </w:rPr>
        <w:t>ף</w:t>
      </w:r>
      <w:r>
        <w:rPr>
          <w:rFonts w:eastAsia="Arial TUR" w:cs="Arial TUR"/>
          <w:rtl w:val="true"/>
        </w:rPr>
        <w:t xml:space="preserve"> </w:t>
      </w:r>
      <w:r>
        <w:rPr>
          <w:rtl w:val="true"/>
        </w:rPr>
        <w:t>(‏</w:t>
      </w:r>
      <w:r>
        <w:rPr/>
        <w:t>8.3.2020</w:t>
      </w:r>
      <w:r>
        <w:rPr>
          <w:rtl w:val="true"/>
        </w:rPr>
        <w:t xml:space="preserve">). </w:t>
      </w:r>
      <w:bookmarkEnd w:id="17"/>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1"/>
              <w:ind w:end="0"/>
              <w:jc w:val="both"/>
              <w:rPr/>
            </w:pPr>
            <w:r>
              <w:rPr>
                <w:color w:val="FFFFFF"/>
                <w:sz w:val="2"/>
                <w:szCs w:val="2"/>
              </w:rPr>
              <w:t>54678313</w:t>
            </w:r>
            <w:r>
              <w:rPr>
                <w:rtl w:val="true"/>
              </w:rPr>
              <w:t>המשנה</w:t>
            </w:r>
            <w:r>
              <w:rPr>
                <w:rFonts w:eastAsia="Arial TUR" w:cs="Arial TUR"/>
                <w:rtl w:val="true"/>
              </w:rPr>
              <w:t xml:space="preserve"> </w:t>
            </w:r>
            <w:r>
              <w:rPr>
                <w:rtl w:val="true"/>
              </w:rPr>
              <w:t>לנשיאה</w:t>
            </w:r>
          </w:p>
        </w:tc>
        <w:tc>
          <w:tcPr>
            <w:tcW w:w="278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19086640</w:t>
      </w:r>
      <w:r>
        <w:rPr>
          <w:sz w:val="16"/>
          <w:rtl w:val="true"/>
        </w:rPr>
        <w:t>_</w:t>
      </w:r>
      <w:r>
        <w:rPr>
          <w:sz w:val="16"/>
        </w:rPr>
        <w:t>N06.docx</w:t>
      </w:r>
      <w:r>
        <w:rPr>
          <w:sz w:val="16"/>
          <w:rtl w:val="true"/>
        </w:rPr>
        <w:t xml:space="preserve">   </w:t>
      </w:r>
      <w:r>
        <w:rPr>
          <w:sz w:val="16"/>
          <w:sz w:val="16"/>
          <w:rtl w:val="true"/>
        </w:rPr>
        <w:t>רד</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6">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54678313-8664/19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8"/>
      <w:footerReference w:type="default" r:id="rId3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8664/19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מוחמד בכר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311">
    <w:name w:val="ruller 31"/>
    <w:basedOn w:val="Casenameintextbody"/>
    <w:qFormat/>
    <w:pPr>
      <w:jc w:val="start"/>
    </w:pPr>
    <w:rPr>
      <w:rFonts w:cs="David"/>
      <w:b w:val="false"/>
      <w:bCs w:val="false"/>
      <w:sz w:val="22"/>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06506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75" TargetMode="External"/><Relationship Id="rId5" Type="http://schemas.openxmlformats.org/officeDocument/2006/relationships/hyperlink" Target="http://www.nevo.co.il/law/70301/332" TargetMode="External"/><Relationship Id="rId6" Type="http://schemas.openxmlformats.org/officeDocument/2006/relationships/hyperlink" Target="http://www.nevo.co.il/law/74274" TargetMode="External"/><Relationship Id="rId7" Type="http://schemas.openxmlformats.org/officeDocument/2006/relationships/hyperlink" Target="http://www.nevo.co.il/law/74274/22" TargetMode="External"/><Relationship Id="rId8" Type="http://schemas.openxmlformats.org/officeDocument/2006/relationships/hyperlink" Target="http://www.nevo.co.il/case/25065062" TargetMode="External"/><Relationship Id="rId9" Type="http://schemas.openxmlformats.org/officeDocument/2006/relationships/hyperlink" Target="http://www.nevo.co.il/law/70301/33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332" TargetMode="External"/><Relationship Id="rId12" Type="http://schemas.openxmlformats.org/officeDocument/2006/relationships/hyperlink" Target="http://www.nevo.co.il/law/70301/275" TargetMode="External"/><Relationship Id="rId13" Type="http://schemas.openxmlformats.org/officeDocument/2006/relationships/hyperlink" Target="http://www.nevo.co.il/law/74274/22" TargetMode="External"/><Relationship Id="rId14" Type="http://schemas.openxmlformats.org/officeDocument/2006/relationships/hyperlink" Target="http://www.nevo.co.il/law/74274" TargetMode="External"/><Relationship Id="rId15" Type="http://schemas.openxmlformats.org/officeDocument/2006/relationships/hyperlink" Target="http://www.nevo.co.il/case/26287879" TargetMode="External"/><Relationship Id="rId16" Type="http://schemas.openxmlformats.org/officeDocument/2006/relationships/hyperlink" Target="http://www.nevo.co.il/case/26051088" TargetMode="External"/><Relationship Id="rId17" Type="http://schemas.openxmlformats.org/officeDocument/2006/relationships/hyperlink" Target="http://www.nevo.co.il/case/24263344" TargetMode="External"/><Relationship Id="rId18" Type="http://schemas.openxmlformats.org/officeDocument/2006/relationships/hyperlink" Target="http://www.nevo.co.il/case/26082398" TargetMode="External"/><Relationship Id="rId19" Type="http://schemas.openxmlformats.org/officeDocument/2006/relationships/hyperlink" Target="http://www.nevo.co.il/case/17089475" TargetMode="External"/><Relationship Id="rId20" Type="http://schemas.openxmlformats.org/officeDocument/2006/relationships/hyperlink" Target="http://www.nevo.co.il/case/5775235" TargetMode="External"/><Relationship Id="rId21" Type="http://schemas.openxmlformats.org/officeDocument/2006/relationships/hyperlink" Target="http://www.nevo.co.il/case/5608725" TargetMode="External"/><Relationship Id="rId22" Type="http://schemas.openxmlformats.org/officeDocument/2006/relationships/hyperlink" Target="http://www.nevo.co.il/case/5568792" TargetMode="External"/><Relationship Id="rId23" Type="http://schemas.openxmlformats.org/officeDocument/2006/relationships/hyperlink" Target="http://www.nevo.co.il/case/17947770" TargetMode="External"/><Relationship Id="rId24" Type="http://schemas.openxmlformats.org/officeDocument/2006/relationships/hyperlink" Target="http://www.nevo.co.il/case/8463223" TargetMode="External"/><Relationship Id="rId25" Type="http://schemas.openxmlformats.org/officeDocument/2006/relationships/hyperlink" Target="http://www.nevo.co.il/case/6708587" TargetMode="External"/><Relationship Id="rId26" Type="http://schemas.openxmlformats.org/officeDocument/2006/relationships/hyperlink" Target="http://www.nevo.co.il/case/16944932" TargetMode="External"/><Relationship Id="rId27" Type="http://schemas.openxmlformats.org/officeDocument/2006/relationships/hyperlink" Target="http://www.nevo.co.il/case/25388533" TargetMode="External"/><Relationship Id="rId28" Type="http://schemas.openxmlformats.org/officeDocument/2006/relationships/hyperlink" Target="http://www.nevo.co.il/case/23506654" TargetMode="External"/><Relationship Id="rId29" Type="http://schemas.openxmlformats.org/officeDocument/2006/relationships/hyperlink" Target="http://www.nevo.co.il/case/21473454" TargetMode="External"/><Relationship Id="rId30" Type="http://schemas.openxmlformats.org/officeDocument/2006/relationships/hyperlink" Target="http://www.nevo.co.il/case/17954253" TargetMode="External"/><Relationship Id="rId31" Type="http://schemas.openxmlformats.org/officeDocument/2006/relationships/hyperlink" Target="http://www.nevo.co.il/case/6712750" TargetMode="External"/><Relationship Id="rId32" Type="http://schemas.openxmlformats.org/officeDocument/2006/relationships/hyperlink" Target="http://www.nevo.co.il/case/20622805" TargetMode="External"/><Relationship Id="rId33" Type="http://schemas.openxmlformats.org/officeDocument/2006/relationships/hyperlink" Target="http://www.nevo.co.il/case/20138359" TargetMode="External"/><Relationship Id="rId34" Type="http://schemas.openxmlformats.org/officeDocument/2006/relationships/hyperlink" Target="http://www.nevo.co.il/case/20828988" TargetMode="External"/><Relationship Id="rId35" Type="http://schemas.openxmlformats.org/officeDocument/2006/relationships/hyperlink" Target="http://www.nevo.co.il/case/20791756" TargetMode="External"/><Relationship Id="rId36" Type="http://schemas.openxmlformats.org/officeDocument/2006/relationships/hyperlink" Target="http://supreme.court.gov.il/" TargetMode="External"/><Relationship Id="rId37" Type="http://schemas.openxmlformats.org/officeDocument/2006/relationships/hyperlink" Target="http://www.nevo.co.il/advertisements/nevo-100.doc"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2020-03-12T08:22:00Z</dcterms:created>
  <dc:creator>h4</dc:creator>
  <dc:description/>
  <cp:keywords/>
  <dc:language>en-IL</dc:language>
  <cp:lastModifiedBy>hofit</cp:lastModifiedBy>
  <cp:lastPrinted>2020-03-08T12:07:00Z</cp:lastPrinted>
  <dcterms:modified xsi:type="dcterms:W3CDTF">2020-03-12T08:22:00Z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מוחמד בכר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25065062:2;26287879;26051088;24263344;26082398;17089475;5775235;5608725;5568792;17947770;8463223;6708587;16944932;25388533;23506654;21473454;17954253;6712750;20622805;20138359;20828988;20791756</vt:lpwstr>
  </property>
  <property fmtid="{D5CDD505-2E9C-101B-9397-08002B2CF9AE}" pid="9" name="CITY">
    <vt:lpwstr/>
  </property>
  <property fmtid="{D5CDD505-2E9C-101B-9397-08002B2CF9AE}" pid="10" name="DATE">
    <vt:lpwstr>20200308</vt:lpwstr>
  </property>
  <property fmtid="{D5CDD505-2E9C-101B-9397-08002B2CF9AE}" pid="11" name="DELEMATA">
    <vt:lpwstr/>
  </property>
  <property fmtid="{D5CDD505-2E9C-101B-9397-08002B2CF9AE}" pid="12" name="ISABSTRACT">
    <vt:lpwstr>Y</vt:lpwstr>
  </property>
  <property fmtid="{D5CDD505-2E9C-101B-9397-08002B2CF9AE}" pid="13" name="JUDGE">
    <vt:lpwstr>ד' מינץ;א' שטיין;ח' מלצר</vt:lpwstr>
  </property>
  <property fmtid="{D5CDD505-2E9C-101B-9397-08002B2CF9AE}" pid="14" name="LAWLISTTMP1">
    <vt:lpwstr>70301/332:2;275</vt:lpwstr>
  </property>
  <property fmtid="{D5CDD505-2E9C-101B-9397-08002B2CF9AE}" pid="15" name="LAWLISTTMP2">
    <vt:lpwstr>74274/022</vt:lpwstr>
  </property>
  <property fmtid="{D5CDD505-2E9C-101B-9397-08002B2CF9AE}" pid="16" name="LAWYER">
    <vt:lpwstr>אושרה פטל רוזנברג;משה גלעד;ולנטין זברוב</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תעבורה</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77;77;77;104</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ענישה</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1446;1446;1446;1831</vt:lpwstr>
  </property>
  <property fmtid="{D5CDD505-2E9C-101B-9397-08002B2CF9AE}" pid="49" name="NOSE31">
    <vt:lpwstr>מדיניות ענישה: סיכון חיי אדם בנתיב תחבורה</vt:lpwstr>
  </property>
  <property fmtid="{D5CDD505-2E9C-101B-9397-08002B2CF9AE}" pid="50" name="NOSE310">
    <vt:lpwstr/>
  </property>
  <property fmtid="{D5CDD505-2E9C-101B-9397-08002B2CF9AE}" pid="51" name="NOSE32">
    <vt:lpwstr>מדיניות ענישה: התערבות ערכאת ערעור</vt:lpwstr>
  </property>
  <property fmtid="{D5CDD505-2E9C-101B-9397-08002B2CF9AE}" pid="52" name="NOSE33">
    <vt:lpwstr>דרכי ענישה: חילוט</vt:lpwstr>
  </property>
  <property fmtid="{D5CDD505-2E9C-101B-9397-08002B2CF9AE}" pid="53" name="NOSE34">
    <vt:lpwstr>מדיניות ענישה</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15127;8982;8957;11263</vt:lpwstr>
  </property>
  <property fmtid="{D5CDD505-2E9C-101B-9397-08002B2CF9AE}" pid="60" name="PADIDATE">
    <vt:lpwstr>20200309</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8664</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410120200308</vt:lpwstr>
  </property>
  <property fmtid="{D5CDD505-2E9C-101B-9397-08002B2CF9AE}" pid="70" name="TYPE_N_DATE">
    <vt:lpwstr>41020200308</vt:lpwstr>
  </property>
  <property fmtid="{D5CDD505-2E9C-101B-9397-08002B2CF9AE}" pid="71" name="VOLUME">
    <vt:lpwstr/>
  </property>
  <property fmtid="{D5CDD505-2E9C-101B-9397-08002B2CF9AE}" pid="72" name="WORDNUMPAGES">
    <vt:lpwstr>9</vt:lpwstr>
  </property>
</Properties>
</file>