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8671/17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61394-09-16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27.09.2017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>' (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כנעאן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סייף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חינאווי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כראם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עתידיות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נלמדת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ומניסיונותיו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22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ולצידם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חציו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הנתעבים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ברחוב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המתפרסות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נלמדת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ומניסיונותיו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וידידותי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עתידיות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לפנינו ערעור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טפרברג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61394-09-16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27.9.2017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בעבירה של מעשה מגונה בקטין שטרם מלאו לו ארבע עשרה שנים ושלא בהסכמתו החופשית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ובהפרת צו פיקוח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הגנה על הציבור מפני עברייני מין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7.12.2015</w:t>
      </w:r>
      <w:r>
        <w:rPr>
          <w:rtl w:val="true"/>
        </w:rPr>
        <w:t xml:space="preserve"> </w:t>
      </w:r>
      <w:r>
        <w:rPr>
          <w:rtl w:val="true"/>
        </w:rPr>
        <w:t>הוצא צו פיקוח נגד המערער למשך חמש שנים</w:t>
      </w:r>
      <w:r>
        <w:rPr>
          <w:rtl w:val="true"/>
        </w:rPr>
        <w:t xml:space="preserve">, </w:t>
      </w:r>
      <w:r>
        <w:rPr>
          <w:rtl w:val="true"/>
        </w:rPr>
        <w:t>בעקבות הרשעתו בעבירות של מעשה סדום בקטין</w:t>
      </w:r>
      <w:r>
        <w:rPr>
          <w:rtl w:val="true"/>
        </w:rPr>
        <w:t xml:space="preserve">, </w:t>
      </w:r>
      <w:r>
        <w:rPr>
          <w:rtl w:val="true"/>
        </w:rPr>
        <w:t>ניסיון למעשה סדום בקטין והפרת צו פיקוח 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16839-03-13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במסגרת צו הפיקוח נאסר על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להתחבר עם קטינים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19.9.2016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בעודו יושב על ספסל ברחוב הנביאים בירושלים</w:t>
      </w:r>
      <w:r>
        <w:rPr>
          <w:rtl w:val="true"/>
        </w:rPr>
        <w:t xml:space="preserve">, </w:t>
      </w:r>
      <w:r>
        <w:rPr>
          <w:rtl w:val="true"/>
        </w:rPr>
        <w:t>פגש המערער בש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קטין יליד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המערער קרא למתלונן</w:t>
      </w:r>
      <w:r>
        <w:rPr>
          <w:rtl w:val="true"/>
        </w:rPr>
        <w:t xml:space="preserve">, </w:t>
      </w:r>
      <w:r>
        <w:rPr>
          <w:rtl w:val="true"/>
        </w:rPr>
        <w:t>הושיבו לידו בעודו נצמד אליו עם גופו וביקש לחבקו ולנשקו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הציע המערער למתלונן לבצע בו מין אוראלי</w:t>
      </w:r>
      <w:r>
        <w:rPr>
          <w:rtl w:val="true"/>
        </w:rPr>
        <w:t xml:space="preserve">. </w:t>
      </w:r>
      <w:r>
        <w:rPr>
          <w:rtl w:val="true"/>
        </w:rPr>
        <w:t>במטרה להתרחק מהמערער</w:t>
      </w:r>
      <w:r>
        <w:rPr>
          <w:rtl w:val="true"/>
        </w:rPr>
        <w:t xml:space="preserve">, </w:t>
      </w:r>
      <w:r>
        <w:rPr>
          <w:rtl w:val="true"/>
        </w:rPr>
        <w:t>אמר המתלונן כי הוא מאחר לחוג ספורט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נגע המערער בשרירי ידו של המתלונן וביְרכו</w:t>
      </w:r>
      <w:r>
        <w:rPr>
          <w:rtl w:val="true"/>
        </w:rPr>
        <w:t xml:space="preserve">, </w:t>
      </w:r>
      <w:r>
        <w:rPr>
          <w:rtl w:val="true"/>
        </w:rPr>
        <w:t>ובאמצעות אגודלו מישש את איבר מינו של המתלונן מעל לבגדיו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אף אמר למתלונן כי </w:t>
      </w:r>
      <w:r>
        <w:rPr>
          <w:rtl w:val="true"/>
        </w:rPr>
        <w:t>"</w:t>
      </w:r>
      <w:r>
        <w:rPr>
          <w:rtl w:val="true"/>
        </w:rPr>
        <w:t>הוא יכול להביא לו כסף ומה שירצה</w:t>
      </w:r>
      <w:r>
        <w:rPr>
          <w:rtl w:val="true"/>
        </w:rPr>
        <w:t xml:space="preserve">", </w:t>
      </w:r>
      <w:r>
        <w:rPr>
          <w:rtl w:val="true"/>
        </w:rPr>
        <w:t xml:space="preserve">והוסיף כי </w:t>
      </w:r>
      <w:r>
        <w:rPr>
          <w:rtl w:val="true"/>
        </w:rPr>
        <w:t>"</w:t>
      </w:r>
      <w:r>
        <w:rPr>
          <w:rtl w:val="true"/>
        </w:rPr>
        <w:t>זה ייקח רק דקה</w:t>
      </w:r>
      <w:r>
        <w:rPr>
          <w:rtl w:val="true"/>
        </w:rPr>
        <w:t xml:space="preserve">". </w:t>
      </w:r>
      <w:r>
        <w:rPr>
          <w:rtl w:val="true"/>
        </w:rPr>
        <w:t>בכדי להתחמק מהמערער</w:t>
      </w:r>
      <w:r>
        <w:rPr>
          <w:rtl w:val="true"/>
        </w:rPr>
        <w:t xml:space="preserve">, </w:t>
      </w:r>
      <w:r>
        <w:rPr>
          <w:rtl w:val="true"/>
        </w:rPr>
        <w:t>הציע המתלונן כי ייגש למורה לספורט</w:t>
      </w:r>
      <w:r>
        <w:rPr>
          <w:rtl w:val="true"/>
        </w:rPr>
        <w:t xml:space="preserve">, </w:t>
      </w:r>
      <w:r>
        <w:rPr>
          <w:rtl w:val="true"/>
        </w:rPr>
        <w:t>יבקש ממנו רשות לאחר החוג</w:t>
      </w:r>
      <w:r>
        <w:rPr>
          <w:rtl w:val="true"/>
        </w:rPr>
        <w:t xml:space="preserve">, </w:t>
      </w:r>
      <w:r>
        <w:rPr>
          <w:rtl w:val="true"/>
        </w:rPr>
        <w:t>וישוב אליו</w:t>
      </w:r>
      <w:r>
        <w:rPr>
          <w:rtl w:val="true"/>
        </w:rPr>
        <w:t xml:space="preserve">. </w:t>
      </w:r>
      <w:r>
        <w:rPr>
          <w:rtl w:val="true"/>
        </w:rPr>
        <w:t>המערער הסכים להצעה והמתלונן עזב את המקום ולא שב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בתסקיר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שהוגש בשלב הטיעונים לעונש</w:t>
      </w:r>
      <w:r>
        <w:rPr>
          <w:rtl w:val="true"/>
        </w:rPr>
        <w:t xml:space="preserve">, </w:t>
      </w:r>
      <w:r>
        <w:rPr>
          <w:rtl w:val="true"/>
        </w:rPr>
        <w:t>נכתב כי לפי התרשמותו של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למערער </w:t>
      </w:r>
      <w:r>
        <w:rPr>
          <w:rtl w:val="true"/>
        </w:rPr>
        <w:t>"</w:t>
      </w:r>
      <w:r>
        <w:rPr>
          <w:rtl w:val="true"/>
        </w:rPr>
        <w:t>עיוותי חשיבה</w:t>
      </w:r>
      <w:r>
        <w:rPr>
          <w:rtl w:val="true"/>
        </w:rPr>
        <w:t xml:space="preserve">" </w:t>
      </w:r>
      <w:r>
        <w:rPr>
          <w:rtl w:val="true"/>
        </w:rPr>
        <w:t>ביחס למעשיו</w:t>
      </w:r>
      <w:r>
        <w:rPr>
          <w:rtl w:val="true"/>
        </w:rPr>
        <w:t xml:space="preserve">, </w:t>
      </w:r>
      <w:r>
        <w:rPr>
          <w:rtl w:val="true"/>
        </w:rPr>
        <w:t>הוא מתקשה להכיר בקיומה של משיכה מינית סוטה אצלו ותופס קטינים כאובייקטים מיניים</w:t>
      </w:r>
      <w:r>
        <w:rPr>
          <w:rtl w:val="true"/>
        </w:rPr>
        <w:t xml:space="preserve">, </w:t>
      </w:r>
      <w:r>
        <w:rPr>
          <w:rtl w:val="true"/>
        </w:rPr>
        <w:t>ומשכך קיימת רמת סיכון משמעותית להישנות ביצוע עבירות מין נוספות על ידו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שיקומית 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עמד בית משפט קמא על נסיבות ביצוע העבירה וקבע את מתחם הענישה בעניינו של המערער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בעת גזירת העונש</w:t>
      </w:r>
      <w:r>
        <w:rPr>
          <w:rtl w:val="true"/>
        </w:rPr>
        <w:t xml:space="preserve">, </w:t>
      </w:r>
      <w:r>
        <w:rPr>
          <w:rtl w:val="true"/>
        </w:rPr>
        <w:t>שקל בית משפט קמא לקולא את הודאת המערער בעבירה</w:t>
      </w:r>
      <w:r>
        <w:rPr>
          <w:rtl w:val="true"/>
        </w:rPr>
        <w:t xml:space="preserve">, </w:t>
      </w:r>
      <w:r>
        <w:rPr>
          <w:rtl w:val="true"/>
        </w:rPr>
        <w:t>אשר הביאה לחסכון בזמן שיפוטי וייתרה את העדת המתלונן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נשקלה לחומרא העובדה שהמערער מתקשה ליטול אחריות על מעשיו</w:t>
      </w:r>
      <w:r>
        <w:rPr>
          <w:rtl w:val="true"/>
        </w:rPr>
        <w:t xml:space="preserve">, </w:t>
      </w:r>
      <w:r>
        <w:rPr>
          <w:rtl w:val="true"/>
        </w:rPr>
        <w:t>כעולה מתסקיר שירות המבחן</w:t>
      </w:r>
      <w:r>
        <w:rPr>
          <w:rtl w:val="true"/>
        </w:rPr>
        <w:t xml:space="preserve">, </w:t>
      </w:r>
      <w:r>
        <w:rPr>
          <w:rtl w:val="true"/>
        </w:rPr>
        <w:t>כמו גם העובדה כי המעשים בוצעו על ידי המערער תוך הפרת צו הפיקוח 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למרחוק</w:t>
      </w:r>
      <w:r>
        <w:rPr>
          <w:rtl w:val="true"/>
        </w:rPr>
        <w:t xml:space="preserve">",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הרצידיביסטית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גזר בית משפט קמא על המערער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לצידם הופעל עונש מאסר על תנאי בן שמונה חודשים שהיה תלוי נגד המערער</w:t>
      </w:r>
      <w:r>
        <w:rPr>
          <w:rtl w:val="true"/>
        </w:rPr>
        <w:t xml:space="preserve">, </w:t>
      </w:r>
      <w:r>
        <w:rPr>
          <w:rtl w:val="true"/>
        </w:rPr>
        <w:t>אשר חציו ירוצה בחופף וחציו במצטבר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שבסך הכל נגזרו על המערער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כן הושת על המערער עונש 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למשך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לבל יורשע בעבירות לפי </w:t>
      </w:r>
      <w:hyperlink r:id="rId1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ופיצוי למתלונן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 כוח המערער טוען כי מתחם הענישה שקבע בית משפט קמא</w:t>
      </w:r>
      <w:r>
        <w:rPr>
          <w:rtl w:val="true"/>
        </w:rPr>
        <w:t xml:space="preserve">, </w:t>
      </w:r>
      <w:r>
        <w:rPr>
          <w:rtl w:val="true"/>
        </w:rPr>
        <w:t>כמו העונש שהושת עליו בתוך מתחם זה</w:t>
      </w:r>
      <w:r>
        <w:rPr>
          <w:rtl w:val="true"/>
        </w:rPr>
        <w:t xml:space="preserve">, </w:t>
      </w:r>
      <w:r>
        <w:rPr>
          <w:rtl w:val="true"/>
        </w:rPr>
        <w:t>גבוהים שניהם מן המקובל בעבירות מסוג זו שהורשע בה המערער</w:t>
      </w:r>
      <w:r>
        <w:rPr>
          <w:rtl w:val="true"/>
        </w:rPr>
        <w:t xml:space="preserve">. </w:t>
      </w:r>
      <w:r>
        <w:rPr>
          <w:rtl w:val="true"/>
        </w:rPr>
        <w:t>כן משיג המערער על גובה הפיצוי הכספי שבו חוייב לשלם למתלונן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 כוח המערער מוסיף וטוען כי בעת גזירת העונש לא ניתן משקל מספיק לנסיבות לקולא המתקיימות בענייננו</w:t>
      </w:r>
      <w:r>
        <w:rPr>
          <w:rtl w:val="true"/>
        </w:rPr>
        <w:t xml:space="preserve">, </w:t>
      </w:r>
      <w:r>
        <w:rPr>
          <w:rtl w:val="true"/>
        </w:rPr>
        <w:t>ובכללן הודאת המערער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נסיבותיו האישיות ואינטרס השיקום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>שגה בית משפט קמא כשקבע כי המערער מתקשה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עצם הודאתו במיוחס לו בכתב האישום מהווה </w:t>
      </w:r>
      <w:r>
        <w:rPr>
          <w:rtl w:val="true"/>
        </w:rPr>
        <w:t>"</w:t>
      </w:r>
      <w:r>
        <w:rPr>
          <w:rtl w:val="true"/>
        </w:rPr>
        <w:t>קבלת אחריות אולטימטיבית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 של בא כוח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 נטען כי בית משפט קמא לא התחשב בעובדה כי לא נגרם</w:t>
      </w:r>
      <w:r>
        <w:rPr>
          <w:rtl w:val="true"/>
        </w:rPr>
        <w:t xml:space="preserve">, </w:t>
      </w:r>
      <w:r>
        <w:rPr>
          <w:rtl w:val="true"/>
        </w:rPr>
        <w:t>לטענתו של בא כוח המערער</w:t>
      </w:r>
      <w:r>
        <w:rPr>
          <w:rtl w:val="true"/>
        </w:rPr>
        <w:t xml:space="preserve">, </w:t>
      </w:r>
      <w:r>
        <w:rPr>
          <w:rtl w:val="true"/>
        </w:rPr>
        <w:t>נזק למתלונן</w:t>
      </w:r>
      <w:r>
        <w:rPr>
          <w:rtl w:val="true"/>
        </w:rPr>
        <w:t xml:space="preserve">, </w:t>
      </w:r>
      <w:r>
        <w:rPr>
          <w:rtl w:val="true"/>
        </w:rPr>
        <w:t>ולראיה מצביע בא כוח המערער על כך שלא הוגש תסקיר נפגע עבירה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בתסקיר שירות המבחן המשלים שהוגש בעניינו של המערער</w:t>
      </w:r>
      <w:r>
        <w:rPr>
          <w:rtl w:val="true"/>
        </w:rPr>
        <w:t xml:space="preserve">, </w:t>
      </w:r>
      <w:r>
        <w:rPr>
          <w:rtl w:val="true"/>
        </w:rPr>
        <w:t>צויין כי המערער אינו מודה בביצוע העבירות בפני גורמי הטיפול</w:t>
      </w:r>
      <w:r>
        <w:rPr>
          <w:rtl w:val="true"/>
        </w:rPr>
        <w:t xml:space="preserve">. </w:t>
      </w:r>
      <w:r>
        <w:rPr>
          <w:rtl w:val="true"/>
        </w:rPr>
        <w:t>כן נכתב כי לאחרונה הביע המערער מוטיבציה ראשונית להשתלב בקבוצה טיפולית בתחום עבריינות המין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שהתקיים בפנינו ביום </w:t>
      </w:r>
      <w:r>
        <w:rPr/>
        <w:t>15.4.2018</w:t>
      </w:r>
      <w:r>
        <w:rPr>
          <w:rtl w:val="true"/>
        </w:rPr>
        <w:t xml:space="preserve">, </w:t>
      </w:r>
      <w:r>
        <w:rPr>
          <w:rtl w:val="true"/>
        </w:rPr>
        <w:t xml:space="preserve">לא התבקשה 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להשיב לטענות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שבחנו את נימוקי הערעור ואת טיעוני בא כוח המערער בפנינו</w:t>
      </w:r>
      <w:r>
        <w:rPr>
          <w:rtl w:val="true"/>
        </w:rPr>
        <w:t xml:space="preserve">, </w:t>
      </w:r>
      <w:r>
        <w:rPr>
          <w:rtl w:val="true"/>
        </w:rPr>
        <w:t>אנו סבורים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 כי אין ערכאת הערעור מתערבת בחומרת העונש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חריגות בהן נפלה טעות מהותית בגזר הדין או מקום בו העונש שהוטל חורג באופן קיצוני מהענישה המקובלת במקרים דומים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)). </w:t>
      </w:r>
      <w:r>
        <w:rPr>
          <w:rtl w:val="true"/>
        </w:rPr>
        <w:t>איננו סבורים כי זה המקרה בענייננו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עומד על הצורך בענישה מחמירה בגין עבירות מין</w:t>
      </w:r>
      <w:r>
        <w:rPr>
          <w:rtl w:val="true"/>
        </w:rPr>
        <w:t xml:space="preserve">, </w:t>
      </w:r>
      <w:r>
        <w:rPr>
          <w:rtl w:val="true"/>
        </w:rPr>
        <w:t>ובפרט בעבירות מין בקטינים</w:t>
      </w:r>
      <w:r>
        <w:rPr>
          <w:rtl w:val="true"/>
        </w:rPr>
        <w:t xml:space="preserve">, </w:t>
      </w:r>
      <w:r>
        <w:rPr>
          <w:rtl w:val="true"/>
        </w:rPr>
        <w:t>שכן עבירות אלה חותרות תחת עיקרון היסוד בבסיס דיני העונשין</w:t>
      </w:r>
      <w:r>
        <w:rPr>
          <w:rtl w:val="true"/>
        </w:rPr>
        <w:t xml:space="preserve">, </w:t>
      </w:r>
      <w:r>
        <w:rPr>
          <w:rtl w:val="true"/>
        </w:rPr>
        <w:t>שעניינו הגנה על שלום הציבור בכלל ועל חסרי ישע בפרט</w:t>
      </w:r>
      <w:r>
        <w:rPr>
          <w:rtl w:val="true"/>
        </w:rPr>
        <w:t xml:space="preserve">. </w:t>
      </w:r>
      <w:r>
        <w:rPr>
          <w:rtl w:val="true"/>
        </w:rPr>
        <w:t>כן נקבע כי על העונש המושת על מי שהורשע בביצוע עבירות מין בקטינים לבטא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סלידתה של החברה ממעשים מעין אלו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18.04.2007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והאסמכתאות שם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הכלל הנוהג בבית משפט זה הוא נקיטת יד קשה במקרים של עבירות מין בקטינים</w:t>
      </w:r>
      <w:r>
        <w:rPr>
          <w:rtl w:val="true"/>
        </w:rPr>
        <w:t xml:space="preserve">, </w:t>
      </w:r>
      <w:r>
        <w:rPr>
          <w:rtl w:val="true"/>
        </w:rPr>
        <w:t xml:space="preserve">זאת על מנת להרתיע עברייני מין פוטנציאליים נוספים מביצוע מעשיהם הנתעבים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3196/16</w:t>
        </w:r>
      </w:hyperlink>
      <w:r>
        <w:rPr>
          <w:rtl w:val="true"/>
        </w:rPr>
        <w:t xml:space="preserve"> 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טספאנס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21.12.2016</w:t>
      </w:r>
      <w:r>
        <w:rPr>
          <w:sz w:val="28"/>
          <w:rtl w:val="true"/>
        </w:rPr>
        <w:t>))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פגע המערער מינית בקטין בן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שעבר לתומו ברחוב</w:t>
      </w:r>
      <w:r>
        <w:rPr>
          <w:rtl w:val="true"/>
        </w:rPr>
        <w:t xml:space="preserve">, </w:t>
      </w:r>
      <w:r>
        <w:rPr>
          <w:rtl w:val="true"/>
        </w:rPr>
        <w:t>כל זאת במקום מרכזי ולאור היום בעוד המתלונן מבקש מהמערער שיאפשר לו להמשיך בדרכו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 המערער ונסיבותיהם חמורים מאד</w:t>
      </w:r>
      <w:r>
        <w:rPr>
          <w:rtl w:val="true"/>
        </w:rPr>
        <w:t xml:space="preserve">, </w:t>
      </w:r>
      <w:r>
        <w:rPr>
          <w:rtl w:val="true"/>
        </w:rPr>
        <w:t>ואין צורך להכביר מילים בפגיעה שגרמו למתלונן</w:t>
      </w:r>
      <w:r>
        <w:rPr>
          <w:rtl w:val="true"/>
        </w:rPr>
        <w:t xml:space="preserve">. </w:t>
      </w: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>חומרה יתרה יש לייחס לעובדה שהמעשים בוצעו תוך הפרת צו פיקוח שהוצא נגד המערער</w:t>
      </w:r>
      <w:r>
        <w:rPr>
          <w:rtl w:val="true"/>
        </w:rPr>
        <w:t xml:space="preserve">, </w:t>
      </w:r>
      <w:r>
        <w:rPr>
          <w:rtl w:val="true"/>
        </w:rPr>
        <w:t>אשר תכליתו היתה למנוע הישנות פגיעות דומות בגופם ובנפשם של קטינים</w:t>
      </w:r>
      <w:r>
        <w:rPr>
          <w:rtl w:val="true"/>
        </w:rPr>
        <w:t xml:space="preserve">, </w:t>
      </w:r>
      <w:r>
        <w:rPr>
          <w:rtl w:val="true"/>
        </w:rPr>
        <w:t>ובעוד תלוי ועומד נגדו עונש מאסר מותנה בר הפעלה בגין עבירות דומות שהורשע בהן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 xml:space="preserve">לחובת המערער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בין היתר בעבירות מין בקטינים והפרת צווי פיקוח</w:t>
      </w:r>
      <w:r>
        <w:rPr>
          <w:rtl w:val="true"/>
        </w:rPr>
        <w:t xml:space="preserve">. </w:t>
      </w:r>
      <w:r>
        <w:rPr>
          <w:rtl w:val="true"/>
        </w:rPr>
        <w:t>הרשעות אלו</w:t>
      </w:r>
      <w:r>
        <w:rPr>
          <w:rtl w:val="true"/>
        </w:rPr>
        <w:t xml:space="preserve">, </w:t>
      </w:r>
      <w:r>
        <w:rPr>
          <w:rtl w:val="true"/>
        </w:rPr>
        <w:t>המתפרסות על פני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מלמדות כי העונשים שנגזרו בעבר על המערער אינם מרתיעים אותו</w:t>
      </w:r>
      <w:r>
        <w:rPr>
          <w:rtl w:val="true"/>
        </w:rPr>
        <w:t xml:space="preserve">, </w:t>
      </w:r>
      <w:r>
        <w:rPr>
          <w:rtl w:val="true"/>
        </w:rPr>
        <w:t>ולא היה בהם כדי למנוע ממנו לנסות ולבצע את זממו במתלונן לשם סיפוקו המיני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איננו מקבלים את טענת בא כוח המערער לפיה יש לפרש את הודאתו כקבלת אחריות על מעשיו</w:t>
      </w:r>
      <w:r>
        <w:rPr>
          <w:rtl w:val="true"/>
        </w:rPr>
        <w:t xml:space="preserve">. </w:t>
      </w:r>
      <w:r>
        <w:rPr>
          <w:rtl w:val="true"/>
        </w:rPr>
        <w:t>כעולה מתסקיר שירות המבחן שהוגש בעניינו של המערער בפני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על אף שהמערער </w:t>
      </w:r>
      <w:r>
        <w:rPr>
          <w:rtl w:val="true"/>
        </w:rPr>
        <w:t>"</w:t>
      </w:r>
      <w:r>
        <w:rPr>
          <w:rtl w:val="true"/>
        </w:rPr>
        <w:t xml:space="preserve">מסר באופן מילולי כי </w:t>
      </w:r>
      <w:r>
        <w:rPr>
          <w:rtl w:val="true"/>
        </w:rPr>
        <w:t>[</w:t>
      </w:r>
      <w:r>
        <w:rPr>
          <w:rtl w:val="true"/>
        </w:rPr>
        <w:t xml:space="preserve">הוא </w:t>
      </w:r>
      <w:r>
        <w:rPr>
          <w:rtl w:val="true"/>
        </w:rPr>
        <w:t>–</w:t>
      </w:r>
      <w:r>
        <w:rPr>
          <w:rtl w:val="true"/>
        </w:rPr>
        <w:t xml:space="preserve"> 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מבין שמעשיו אלו מהווים פגיעה</w:t>
      </w:r>
      <w:r>
        <w:rPr>
          <w:rtl w:val="true"/>
        </w:rPr>
        <w:t xml:space="preserve">", </w:t>
      </w:r>
      <w:r>
        <w:rPr>
          <w:rtl w:val="true"/>
        </w:rPr>
        <w:t>הוא מרחיק עצמו מרוב פרטי המעשה שיוחסו לו</w:t>
      </w:r>
      <w:r>
        <w:rPr>
          <w:rtl w:val="true"/>
        </w:rPr>
        <w:t xml:space="preserve">, </w:t>
      </w:r>
      <w:r>
        <w:rPr>
          <w:rtl w:val="true"/>
        </w:rPr>
        <w:t xml:space="preserve">מתקשה להבין את הפוגענות במעשיו וסבור כי התנהג באופן </w:t>
      </w:r>
      <w:r>
        <w:rPr>
          <w:rtl w:val="true"/>
        </w:rPr>
        <w:t>"</w:t>
      </w:r>
      <w:r>
        <w:rPr>
          <w:rtl w:val="true"/>
        </w:rPr>
        <w:t>נעים וידידותי</w:t>
      </w:r>
      <w:r>
        <w:rPr>
          <w:rtl w:val="true"/>
        </w:rPr>
        <w:t xml:space="preserve">" </w:t>
      </w:r>
      <w:r>
        <w:rPr>
          <w:rtl w:val="true"/>
        </w:rPr>
        <w:t>עם המתלונן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צויין כי המערער התקשה להתמיד בהליכים טיפוליים בעבר</w:t>
      </w:r>
      <w:r>
        <w:rPr>
          <w:rtl w:val="true"/>
        </w:rPr>
        <w:t xml:space="preserve">, </w:t>
      </w:r>
      <w:r>
        <w:rPr>
          <w:rtl w:val="true"/>
        </w:rPr>
        <w:t>אף שדיווח כי אלה סייעו לו להתמודד עם דחפיו המיניים כלפי קטינים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קבלת אחריות נלמדת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מהתנהגותו של העבריין שהורשע בדינו ומניסיונותי</w:t>
      </w:r>
      <w:r>
        <w:rPr>
          <w:rtl w:val="true"/>
        </w:rPr>
        <w:t>ו</w:t>
      </w:r>
      <w:r>
        <w:rPr>
          <w:rtl w:val="true"/>
        </w:rPr>
        <w:t xml:space="preserve"> להשתקם ולשוב מדרכיו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בהודאתו המילולית של המערער כדי ללמדנו על קבלת אחריות על 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 כוח המערער טוען כי אי הגשת תסקיר נפגע עבירה בעניינו של המתלונן מלמד כי לא נגרם לו כל נזק</w:t>
      </w:r>
      <w:r>
        <w:rPr>
          <w:rtl w:val="true"/>
        </w:rPr>
        <w:t xml:space="preserve">, </w:t>
      </w:r>
      <w:r>
        <w:rPr>
          <w:rtl w:val="true"/>
        </w:rPr>
        <w:t>ומוטב היה לטענה זו שלא תבוא לעולם</w:t>
      </w:r>
      <w:r>
        <w:rPr>
          <w:rtl w:val="true"/>
        </w:rPr>
        <w:t xml:space="preserve">. </w:t>
      </w:r>
      <w:r>
        <w:rPr>
          <w:rtl w:val="true"/>
        </w:rPr>
        <w:t>אין ספק כי מעשיו של המערער גרמו נזק למתלונן</w:t>
      </w:r>
      <w:r>
        <w:rPr>
          <w:rtl w:val="true"/>
        </w:rPr>
        <w:t xml:space="preserve">, </w:t>
      </w:r>
      <w:r>
        <w:rPr>
          <w:rtl w:val="true"/>
        </w:rPr>
        <w:t>ואף טמנו בחובם פוטנציאל נזק חמור הרבה יותר</w:t>
      </w:r>
      <w:r>
        <w:rPr>
          <w:rtl w:val="true"/>
        </w:rPr>
        <w:t xml:space="preserve">, </w:t>
      </w:r>
      <w:r>
        <w:rPr>
          <w:rtl w:val="true"/>
        </w:rPr>
        <w:t>לו היה המערער מצליח לבצע במתלונן את זממו</w:t>
      </w:r>
      <w:r>
        <w:rPr>
          <w:rtl w:val="true"/>
        </w:rPr>
        <w:t xml:space="preserve">, </w:t>
      </w:r>
      <w:r>
        <w:rPr>
          <w:rtl w:val="true"/>
        </w:rPr>
        <w:t>תוצאה אשר נמנעה בזכות תושיית</w:t>
      </w:r>
      <w:r>
        <w:rPr>
          <w:rtl w:val="true"/>
        </w:rPr>
        <w:t>ו</w:t>
      </w:r>
      <w:r>
        <w:rPr>
          <w:rtl w:val="true"/>
        </w:rPr>
        <w:t xml:space="preserve"> של 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איננו מקבלים אף את טענת בא כוח המערער לפיה לא ניתן משקל מספיק לנסיבות לקולא המתקיימות בענייננו</w:t>
      </w:r>
      <w:r>
        <w:rPr>
          <w:rtl w:val="true"/>
        </w:rPr>
        <w:t xml:space="preserve">. </w:t>
      </w:r>
      <w:r>
        <w:rPr>
          <w:rtl w:val="true"/>
        </w:rPr>
        <w:t>בית משפט קמא ביסס את מסקנתו היטב וניכר כי נשקלו כלל הנסיבות</w:t>
      </w:r>
      <w:r>
        <w:rPr>
          <w:rtl w:val="true"/>
        </w:rPr>
        <w:t xml:space="preserve">, </w:t>
      </w:r>
      <w:r>
        <w:rPr>
          <w:rtl w:val="true"/>
        </w:rPr>
        <w:t>לחומרא ולקולא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חסד עשה בית משפט קמא עם המערער כשהורה כי מחצית מעונש המאסר על תנאי שהיה תלוי נגדו ירוצה בחופף לעונש שהושת עליו בגין העבירות שהורשע בהן בהליך זה</w:t>
      </w:r>
      <w:r>
        <w:rPr>
          <w:rtl w:val="true"/>
        </w:rPr>
        <w:t xml:space="preserve">, </w:t>
      </w:r>
      <w:r>
        <w:rPr>
          <w:rtl w:val="true"/>
        </w:rPr>
        <w:t>ולא במצטבר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>לא מצאנו כי גזר דינו של בית משפט קמא חרג לחומרא ממדיניות הענישה המקובלת במקרים מעין אלו</w:t>
      </w:r>
      <w:r>
        <w:rPr>
          <w:rtl w:val="true"/>
        </w:rPr>
        <w:t xml:space="preserve">, </w:t>
      </w:r>
      <w:r>
        <w:rPr>
          <w:rtl w:val="true"/>
        </w:rPr>
        <w:t>ומשכך אין מקום להתערבותנו בעונש שהוטל על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מצאנו לנכון להתערב בפיצוי הכספי שבו חוייב המערער לשלם למתלונן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17086710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color w:val="000000"/>
            <w:sz w:val="16"/>
            <w:u w:val="none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>ג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54678313-8671/17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Malgun Gothic Semilight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8671/17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929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jCeS" TargetMode="External"/><Relationship Id="rId7" Type="http://schemas.openxmlformats.org/officeDocument/2006/relationships/hyperlink" Target="http://www.nevo.co.il/law/90730" TargetMode="External"/><Relationship Id="rId8" Type="http://schemas.openxmlformats.org/officeDocument/2006/relationships/hyperlink" Target="http://www.nevo.co.il/law/90730/22.a" TargetMode="External"/><Relationship Id="rId9" Type="http://schemas.openxmlformats.org/officeDocument/2006/relationships/hyperlink" Target="http://www.nevo.co.il/law/90730/22.a" TargetMode="External"/><Relationship Id="rId10" Type="http://schemas.openxmlformats.org/officeDocument/2006/relationships/hyperlink" Target="http://www.nevo.co.il/case/21792904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5.a.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90730/22.a" TargetMode="External"/><Relationship Id="rId15" Type="http://schemas.openxmlformats.org/officeDocument/2006/relationships/hyperlink" Target="http://www.nevo.co.il/case/6732369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1946424" TargetMode="External"/><Relationship Id="rId19" Type="http://schemas.openxmlformats.org/officeDocument/2006/relationships/hyperlink" Target="http://www.nevo.co.il/case/6208363" TargetMode="External"/><Relationship Id="rId20" Type="http://schemas.openxmlformats.org/officeDocument/2006/relationships/hyperlink" Target="http://www.nevo.co.il/case/21473373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2018-04-30T10:37:00Z</dcterms:created>
  <dc:creator> </dc:creator>
  <dc:description/>
  <cp:keywords/>
  <dc:language>en-IL</dc:language>
  <cp:lastModifiedBy>orly</cp:lastModifiedBy>
  <cp:lastPrinted>2018-04-26T13:10:00Z</cp:lastPrinted>
  <dcterms:modified xsi:type="dcterms:W3CDTF">2018-04-30T10:37:00Z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21792904:2;6732369;21946424;6208363;21473373</vt:lpwstr>
  </property>
  <property fmtid="{D5CDD505-2E9C-101B-9397-08002B2CF9AE}" pid="9" name="CITY">
    <vt:lpwstr/>
  </property>
  <property fmtid="{D5CDD505-2E9C-101B-9397-08002B2CF9AE}" pid="10" name="DATE">
    <vt:lpwstr>20180429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אלרון;ה ח' מלצר</vt:lpwstr>
  </property>
  <property fmtid="{D5CDD505-2E9C-101B-9397-08002B2CF9AE}" pid="14" name="LAWLISTTMP1">
    <vt:lpwstr>70301/348.a;345.a.3;jCeS</vt:lpwstr>
  </property>
  <property fmtid="{D5CDD505-2E9C-101B-9397-08002B2CF9AE}" pid="15" name="LAWLISTTMP2">
    <vt:lpwstr>90730/022.a</vt:lpwstr>
  </property>
  <property fmtid="{D5CDD505-2E9C-101B-9397-08002B2CF9AE}" pid="16" name="LAWYER">
    <vt:lpwstr>נעימה חינאווי כראם;שאול עזרא;כנעאן סייף;שירות המבחן גב' 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>שיקולי ענישה</vt:lpwstr>
  </property>
  <property fmtid="{D5CDD505-2E9C-101B-9397-08002B2CF9AE}" pid="53" name="NOSE34">
    <vt:lpwstr>תסקיר נפגע עבירה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17039;16970;15506;17747</vt:lpwstr>
  </property>
  <property fmtid="{D5CDD505-2E9C-101B-9397-08002B2CF9AE}" pid="60" name="PADIDATE">
    <vt:lpwstr>20180430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8671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410120180429</vt:lpwstr>
  </property>
  <property fmtid="{D5CDD505-2E9C-101B-9397-08002B2CF9AE}" pid="70" name="TYPE_N_DATE">
    <vt:lpwstr>41020180429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