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8700/18</w:t>
            </w:r>
          </w:p>
        </w:tc>
      </w:tr>
    </w:tbl>
    <w:p>
      <w:pPr>
        <w:pStyle w:val="Normal"/>
        <w:spacing w:lineRule="auto" w:line="432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spacing w:lineRule="auto" w:line="432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432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432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432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פורת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44767-02-17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432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581"/>
        <w:gridCol w:w="2552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58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552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1.4.2019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432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רינגר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חוזה</w:t>
            </w:r>
          </w:p>
        </w:tc>
      </w:tr>
    </w:tbl>
    <w:p>
      <w:pPr>
        <w:pStyle w:val="Ruller31"/>
        <w:spacing w:lineRule="auto" w:line="432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32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  <w:bookmarkStart w:id="5" w:name="LawTable"/>
      <w:bookmarkStart w:id="6" w:name="BeginProtocol"/>
      <w:bookmarkStart w:id="7" w:name="secretary"/>
      <w:bookmarkStart w:id="8" w:name="LawTable"/>
      <w:bookmarkStart w:id="9" w:name="BeginProtocol"/>
      <w:bookmarkStart w:id="10" w:name="secretary"/>
      <w:bookmarkEnd w:id="8"/>
      <w:bookmarkEnd w:id="9"/>
      <w:bookmarkEnd w:id="10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34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345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345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348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355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.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.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355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.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10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1998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5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6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14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 xml:space="preserve">פקודת בתי הסוהר 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1971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68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ג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1" w:name="ABSTRACT_START"/>
      <w:bookmarkEnd w:id="11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>*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הרשעה במעשה מגונה בקטינה בנסיבות דנן מחייבת הטלת עונש מאסר מינימלי של שנתיים וחצי שאי אפשר שכולו יהיה על תנאי אלא בהתקיים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טעמים מיוחדים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העונש הכולל שהוטל על המערער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חרג מרף מינימום זה ו לא נמצא כי מצבו הנפשי לבדו הוא בבחינת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טעמים מיוחדים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 נדחו טענות המערער כי היה מקום לסטות ממתחם הענישה לקולא משיקולי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ולאפשר לו להשתלב באפיקים טיפוליים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שיקומיים חלף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עונשי מינימום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שיקום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מחוזי בגדרו הוטלו על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בעקבות הרשעתו עפ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הודאתו בביצוע עבירות של מעשה מגונה והטרדה מינית בקטינה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חברתה של ביתו 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על תנאי ופיצויים בסך </w:t>
      </w:r>
      <w:r>
        <w:rPr>
          <w:rFonts w:cs="Times New Roman" w:ascii="Times New Roman" w:hAnsi="Times New Roman"/>
          <w:spacing w:val="0"/>
          <w:szCs w:val="26"/>
        </w:rPr>
        <w:t>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 למתלוננת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סבור כי מצבו הנפשי עולה כדי טעמים מיוחדים המאפשרים לקבוע עונש מאסר שכולו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לחילופין נטען כי היה מקום לסטות מן המתחם לקולא משיקולי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ולהטיל עונש שאינו כולל רכיב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פוגלמן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הערעור לא תיטה להתערב בחומרת העונש שהטילה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חריגים שבהם ניכרת סטייה ברורה ממדיניות הענישה הנהוגה בנסיבות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אם נפלה בגזר הדין טעות מהותית או במקרים שבהם מתקיימות נסיבות חריגות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 כך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נקודת המוצא לגזירת עונשו של המערער היא כי הרשעה במעשה מגונה בקטינה בנסיבות דנן מחייבת הטלת עונש מאסר מינימלי של שנתיים וחצי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והעונש הכולל שהוטל על המערער לא חרג מרף מינימום זה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שאי אפשר שכולו יהיה על תנאי אלא בהתקיים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טעמים מיוחדים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לא נמצא כי עונשו של המערער סוטה ממדיניות הענישה 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עמד לא אחת על חומרתן של עבירות מין ועל האינטרס הציבורי שבהרתעת עברייני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בייחוד כשמדובר בקטינים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פערי הכוחות המוגברים בין הפוגע לבין הקטין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גילם הצעיר ותמימותם של אלה ההופכת אותם לפגיעים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והחשש מפני ההשלכות ארוכות הטווח על חייהם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מחייבת ענישה הולמת ומרתיעה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 המערער בוצעו בקטינה צעירה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תחת מצג שווא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ותוך ניצול מעמדו כאבי חברתה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ניסתה המתלוננת לחמוק ממנו מנע זאת ממנה תחילה בכח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ואיפשר לה לצאת מתא השירותים ברגע האחרון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זו אף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לאחר 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וחרף הזדמנויות רבות שניתנו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הביע המערער חרטה או אשמה על מעשיו ולא נטל אחריות למעשיו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עדיין מצהיר כי אינו תופס עצמו כמסוכן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הגם שהערכת המסוכנות הנשקפת ממנו עודנה בינונית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גבוהה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בקשר לקטינות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מצבו הנפשי של המערער הוא שיקול רלוונטי בגזירת 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נתן משקל ממשי לנתון זה לאחר שאיזן בין מכלול השיקולים הצריכים לעניין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זה לא שוכנע כי ישנם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טעמים מיוחדים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כאמור </w:t>
      </w:r>
      <w:hyperlink r:id="rId1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355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להשית על המערער עונש שכולו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כי מצבו הנפשי לבדו הוא בבחינת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טעמים מיוחדים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כן נדחו טענות המערער כי יש לסטות ממתחם הענישה בענייננו לקולא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לקבוע את עונשו לפי שיקולי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ולאפשר לו להשתלב באפיקים טיפוליים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שיקומיים חלף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בהתאם </w:t>
      </w:r>
      <w:hyperlink r:id="rId1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לסעיף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40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ד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דחה את מתן גזר הדין בעניינו של המערער ואפשר תקופה ממשית לצורך בחינת היתכנותה של חלופה מעין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לאורך התהליך כולו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ההתרשמות הכוללת של גורמי האבחון והטיפול מהמערער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שהתבססה על סדרת מפגשים והערכות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הייתה כי המוטיבציה של המערער בטיפול אינה שלמה ומכוונת בעיקר להקלה בגזר דינו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צוין כי ספק אם יש למערער את משאבי הנפש לעבור תהליך טיפולי הולם ומפחית מסוכנות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כך בין אחרת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בהיעדר חלופה טיפולית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שיקומית קונקרטית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הגם שמקובלת 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טענת המערער כי מצב זה נובע במידת מה גם מנסיבות חיצוניות שאינן תלויות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בסיס להתערב בקביעת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שבחן לעומק את מכלול החומר שנפרש לפניו בהקשר זה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יש להשית על המערער עונש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DocumentHead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bCs w:val="false"/>
          <w:spacing w:val="0"/>
          <w:sz w:val="24"/>
          <w:szCs w:val="26"/>
          <w:u w:val="none"/>
        </w:rPr>
      </w:pPr>
      <w:r>
        <w:rPr>
          <w:rFonts w:cs="FrankRuehl"/>
          <w:bCs w:val="false"/>
          <w:spacing w:val="0"/>
          <w:sz w:val="24"/>
          <w:sz w:val="24"/>
          <w:szCs w:val="26"/>
          <w:u w:val="none"/>
          <w:rtl w:val="true"/>
        </w:rPr>
        <w:t>לבקשת</w:t>
      </w:r>
      <w:r>
        <w:rPr>
          <w:rFonts w:cs="Times New Roman"/>
          <w:bCs w:val="false"/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pacing w:val="0"/>
          <w:sz w:val="24"/>
          <w:sz w:val="24"/>
          <w:szCs w:val="26"/>
          <w:u w:val="none"/>
          <w:rtl w:val="true"/>
        </w:rPr>
        <w:t>המערער</w:t>
      </w:r>
      <w:r>
        <w:rPr>
          <w:rFonts w:cs="Times New Roman"/>
          <w:bCs w:val="false"/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pacing w:val="0"/>
          <w:sz w:val="24"/>
          <w:sz w:val="24"/>
          <w:szCs w:val="26"/>
          <w:u w:val="none"/>
          <w:rtl w:val="true"/>
        </w:rPr>
        <w:t>ובהסכמת</w:t>
      </w:r>
      <w:r>
        <w:rPr>
          <w:rFonts w:cs="Times New Roman"/>
          <w:bCs w:val="false"/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pacing w:val="0"/>
          <w:sz w:val="24"/>
          <w:sz w:val="24"/>
          <w:szCs w:val="26"/>
          <w:u w:val="none"/>
          <w:rtl w:val="true"/>
        </w:rPr>
        <w:t>המשיבה</w:t>
      </w:r>
      <w:r>
        <w:rPr>
          <w:rFonts w:cs="FrankRuehl"/>
          <w:bCs w:val="false"/>
          <w:spacing w:val="0"/>
          <w:sz w:val="24"/>
          <w:szCs w:val="26"/>
          <w:u w:val="none"/>
          <w:rtl w:val="true"/>
        </w:rPr>
        <w:t xml:space="preserve">, </w:t>
      </w:r>
      <w:r>
        <w:rPr>
          <w:rFonts w:cs="FrankRuehl"/>
          <w:bCs w:val="false"/>
          <w:spacing w:val="0"/>
          <w:sz w:val="24"/>
          <w:sz w:val="24"/>
          <w:szCs w:val="26"/>
          <w:u w:val="none"/>
          <w:rtl w:val="true"/>
        </w:rPr>
        <w:t>יתווסף</w:t>
      </w:r>
      <w:r>
        <w:rPr>
          <w:rFonts w:cs="Times New Roman"/>
          <w:bCs w:val="false"/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pacing w:val="0"/>
          <w:sz w:val="24"/>
          <w:sz w:val="24"/>
          <w:szCs w:val="26"/>
          <w:u w:val="none"/>
          <w:rtl w:val="true"/>
        </w:rPr>
        <w:t>לעונש</w:t>
      </w:r>
      <w:r>
        <w:rPr>
          <w:rFonts w:cs="Times New Roman"/>
          <w:bCs w:val="false"/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pacing w:val="0"/>
          <w:sz w:val="24"/>
          <w:sz w:val="24"/>
          <w:szCs w:val="26"/>
          <w:u w:val="none"/>
          <w:rtl w:val="true"/>
        </w:rPr>
        <w:t>המאסר</w:t>
      </w:r>
      <w:r>
        <w:rPr>
          <w:rFonts w:cs="Times New Roman"/>
          <w:bCs w:val="false"/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pacing w:val="0"/>
          <w:sz w:val="24"/>
          <w:sz w:val="24"/>
          <w:szCs w:val="26"/>
          <w:u w:val="none"/>
          <w:rtl w:val="true"/>
        </w:rPr>
        <w:t>בפועל</w:t>
      </w:r>
      <w:r>
        <w:rPr>
          <w:rFonts w:cs="Times New Roman"/>
          <w:bCs w:val="false"/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pacing w:val="0"/>
          <w:sz w:val="24"/>
          <w:sz w:val="24"/>
          <w:szCs w:val="26"/>
          <w:u w:val="none"/>
          <w:rtl w:val="true"/>
        </w:rPr>
        <w:t>שהושת</w:t>
      </w:r>
      <w:r>
        <w:rPr>
          <w:rFonts w:cs="Times New Roman"/>
          <w:bCs w:val="false"/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pacing w:val="0"/>
          <w:sz w:val="24"/>
          <w:sz w:val="24"/>
          <w:szCs w:val="26"/>
          <w:u w:val="none"/>
          <w:rtl w:val="true"/>
        </w:rPr>
        <w:t>עליו</w:t>
      </w:r>
      <w:r>
        <w:rPr>
          <w:rFonts w:cs="Times New Roman"/>
          <w:bCs w:val="false"/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pacing w:val="0"/>
          <w:sz w:val="24"/>
          <w:sz w:val="24"/>
          <w:szCs w:val="26"/>
          <w:u w:val="none"/>
          <w:rtl w:val="true"/>
        </w:rPr>
        <w:t>יום</w:t>
      </w:r>
      <w:r>
        <w:rPr>
          <w:rFonts w:cs="Times New Roman"/>
          <w:bCs w:val="false"/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pacing w:val="0"/>
          <w:sz w:val="24"/>
          <w:sz w:val="24"/>
          <w:szCs w:val="26"/>
          <w:u w:val="none"/>
          <w:rtl w:val="true"/>
        </w:rPr>
        <w:t>אחד</w:t>
      </w:r>
      <w:r>
        <w:rPr>
          <w:rFonts w:cs="FrankRuehl"/>
          <w:bCs w:val="false"/>
          <w:spacing w:val="0"/>
          <w:sz w:val="24"/>
          <w:szCs w:val="26"/>
          <w:u w:val="none"/>
          <w:rtl w:val="true"/>
        </w:rPr>
        <w:t xml:space="preserve">, </w:t>
      </w:r>
      <w:r>
        <w:rPr>
          <w:rFonts w:cs="FrankRuehl"/>
          <w:bCs w:val="false"/>
          <w:spacing w:val="0"/>
          <w:sz w:val="24"/>
          <w:sz w:val="24"/>
          <w:szCs w:val="26"/>
          <w:u w:val="none"/>
          <w:rtl w:val="true"/>
        </w:rPr>
        <w:t>מטעמי</w:t>
      </w:r>
      <w:r>
        <w:rPr>
          <w:rFonts w:cs="Times New Roman"/>
          <w:bCs w:val="false"/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pacing w:val="0"/>
          <w:sz w:val="24"/>
          <w:sz w:val="24"/>
          <w:szCs w:val="26"/>
          <w:u w:val="none"/>
          <w:rtl w:val="true"/>
        </w:rPr>
        <w:t>שחרור</w:t>
      </w:r>
      <w:r>
        <w:rPr>
          <w:rFonts w:cs="Times New Roman"/>
          <w:bCs w:val="false"/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pacing w:val="0"/>
          <w:sz w:val="24"/>
          <w:sz w:val="24"/>
          <w:szCs w:val="26"/>
          <w:u w:val="none"/>
          <w:rtl w:val="true"/>
        </w:rPr>
        <w:t>מנהלי</w:t>
      </w:r>
      <w:r>
        <w:rPr>
          <w:rFonts w:cs="FrankRuehl"/>
          <w:bCs w:val="false"/>
          <w:spacing w:val="0"/>
          <w:sz w:val="24"/>
          <w:szCs w:val="26"/>
          <w:u w:val="none"/>
          <w:rtl w:val="true"/>
        </w:rPr>
        <w:t>.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12" w:name="ABSTRACT_END"/>
      <w:bookmarkStart w:id="13" w:name="ABSTRACT_END"/>
      <w:bookmarkEnd w:id="13"/>
    </w:p>
    <w:p>
      <w:pPr>
        <w:pStyle w:val="DocumentHead"/>
        <w:ind w:end="0"/>
        <w:jc w:val="center"/>
        <w:rPr/>
      </w:pPr>
      <w:bookmarkStart w:id="14" w:name="PsakDin"/>
      <w:bookmarkStart w:id="15" w:name="LawTable_End"/>
      <w:bookmarkEnd w:id="14"/>
      <w:bookmarkEnd w:id="15"/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BODYVERDICT"/>
        <w:ind w:end="0"/>
        <w:jc w:val="start"/>
        <w:rPr/>
      </w:pPr>
      <w:r>
        <w:rPr>
          <w:rtl w:val="true"/>
        </w:rPr>
      </w:r>
      <w:bookmarkStart w:id="16" w:name="PsakDin"/>
      <w:bookmarkStart w:id="17" w:name="PsakDin"/>
      <w:bookmarkEnd w:id="17"/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sz w:val="22"/>
        </w:rPr>
      </w:pPr>
      <w:bookmarkStart w:id="18" w:name="Start_Write"/>
      <w:bookmarkStart w:id="19" w:name="Writer_Name"/>
      <w:bookmarkEnd w:id="18"/>
      <w:bookmarkEnd w:id="19"/>
      <w:r>
        <w:rPr>
          <w:rtl w:val="true"/>
        </w:rPr>
        <w:t xml:space="preserve">המערער </w:t>
      </w:r>
      <w:r>
        <w:rPr>
          <w:rtl w:val="true"/>
        </w:rPr>
        <w:t>הורשע</w:t>
      </w:r>
      <w:r>
        <w:rPr>
          <w:rtl w:val="true"/>
        </w:rPr>
        <w:t xml:space="preserve"> בביצוע עבירות מין בקטינה שבגינן השית עליו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חיפה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פורת</w:t>
      </w:r>
      <w:r>
        <w:rPr>
          <w:rtl w:val="true"/>
        </w:rPr>
        <w:t xml:space="preserve">),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 מאסר על תנאי בתנאים שפורטו בגזר הדין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 xml:space="preserve">ופיצויים בסך </w:t>
      </w:r>
      <w:r>
        <w:rPr>
          <w:sz w:val="22"/>
        </w:rPr>
        <w:t>5,000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 למתלוננת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ערעור זה מופנה אל חומרת גזר הדין</w:t>
      </w:r>
      <w:r>
        <w:rPr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במהלך חודש יוני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 xml:space="preserve">הסיע המערער ברכבו את בתו ואת חברתה הקטינה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למסעדה בחדרה</w:t>
      </w:r>
      <w:r>
        <w:rPr>
          <w:rtl w:val="true"/>
        </w:rPr>
        <w:t xml:space="preserve">. </w:t>
      </w:r>
      <w:r>
        <w:rPr>
          <w:rtl w:val="true"/>
        </w:rPr>
        <w:t xml:space="preserve">במהלך הנסיעה החמיא המערער למתלוננת על יופייה ואמר לה כי היא </w:t>
      </w:r>
      <w:r>
        <w:rPr>
          <w:rtl w:val="true"/>
        </w:rPr>
        <w:t>"</w:t>
      </w:r>
      <w:r>
        <w:rPr>
          <w:rtl w:val="true"/>
        </w:rPr>
        <w:t>חברה שלו</w:t>
      </w:r>
      <w:r>
        <w:rPr>
          <w:rtl w:val="true"/>
        </w:rPr>
        <w:t xml:space="preserve">". </w:t>
      </w:r>
      <w:r>
        <w:rPr>
          <w:rtl w:val="true"/>
        </w:rPr>
        <w:t xml:space="preserve">עת שהו השלושה </w:t>
      </w:r>
      <w:r>
        <w:rPr>
          <w:rtl w:val="true"/>
        </w:rPr>
        <w:t>במ</w:t>
      </w:r>
      <w:r>
        <w:rPr>
          <w:rtl w:val="true"/>
        </w:rPr>
        <w:t>סעדה</w:t>
      </w:r>
      <w:r>
        <w:rPr>
          <w:rtl w:val="true"/>
        </w:rPr>
        <w:t xml:space="preserve">, </w:t>
      </w:r>
      <w:r>
        <w:rPr>
          <w:rtl w:val="true"/>
        </w:rPr>
        <w:t>הציע המערער למתלוננת הצעות בעלות אופי מיני וכן הציע לה לראות את איבר מינו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הציע המערער למתלוננת להתלוות עמו לשירותים</w:t>
      </w:r>
      <w:r>
        <w:rPr>
          <w:rtl w:val="true"/>
        </w:rPr>
        <w:t xml:space="preserve">. </w:t>
      </w:r>
      <w:r>
        <w:rPr>
          <w:rtl w:val="true"/>
        </w:rPr>
        <w:t>בהגיעם לשירותים</w:t>
      </w:r>
      <w:r>
        <w:rPr>
          <w:rtl w:val="true"/>
        </w:rPr>
        <w:t xml:space="preserve">, </w:t>
      </w:r>
      <w:r>
        <w:rPr>
          <w:rtl w:val="true"/>
        </w:rPr>
        <w:t>אמר המערער למתלוננת להיכנס עמו לתא</w:t>
      </w:r>
      <w:r>
        <w:rPr>
          <w:rtl w:val="true"/>
        </w:rPr>
        <w:t xml:space="preserve">, </w:t>
      </w:r>
      <w:r>
        <w:rPr>
          <w:rtl w:val="true"/>
        </w:rPr>
        <w:t xml:space="preserve">וכשסירבה </w:t>
      </w:r>
      <w:r>
        <w:rPr>
          <w:rtl w:val="true"/>
        </w:rPr>
        <w:t>–</w:t>
      </w:r>
      <w:r>
        <w:rPr>
          <w:rtl w:val="true"/>
        </w:rPr>
        <w:t xml:space="preserve"> הכניס אותה לתא ונגע בה ברגליים</w:t>
      </w:r>
      <w:r>
        <w:rPr>
          <w:rtl w:val="true"/>
        </w:rPr>
        <w:t xml:space="preserve">, </w:t>
      </w:r>
      <w:r>
        <w:rPr>
          <w:rtl w:val="true"/>
        </w:rPr>
        <w:t>בגב ובבטן לשם גירוי</w:t>
      </w:r>
      <w:r>
        <w:rPr>
          <w:rtl w:val="true"/>
        </w:rPr>
        <w:t xml:space="preserve">, </w:t>
      </w:r>
      <w:r>
        <w:rPr>
          <w:rtl w:val="true"/>
        </w:rPr>
        <w:t>סיפוק או ביזוי מיניים</w:t>
      </w:r>
      <w:r>
        <w:rPr>
          <w:rtl w:val="true"/>
        </w:rPr>
        <w:t xml:space="preserve">. </w:t>
      </w:r>
      <w:r>
        <w:rPr>
          <w:rtl w:val="true"/>
        </w:rPr>
        <w:t>המערער חסם את דלת התא</w:t>
      </w:r>
      <w:r>
        <w:rPr>
          <w:rtl w:val="true"/>
        </w:rPr>
        <w:t xml:space="preserve">, </w:t>
      </w:r>
      <w:r>
        <w:rPr>
          <w:rtl w:val="true"/>
        </w:rPr>
        <w:t>מנע מהמתלוננת לצאת</w:t>
      </w:r>
      <w:r>
        <w:rPr>
          <w:rtl w:val="true"/>
        </w:rPr>
        <w:t xml:space="preserve">, </w:t>
      </w:r>
      <w:r>
        <w:rPr>
          <w:rtl w:val="true"/>
        </w:rPr>
        <w:t>וכשניסתה לפתוח את הדלת הכה קלות בידה</w:t>
      </w:r>
      <w:r>
        <w:rPr>
          <w:rtl w:val="true"/>
        </w:rPr>
        <w:t xml:space="preserve">. </w:t>
      </w:r>
      <w:r>
        <w:rPr>
          <w:rtl w:val="true"/>
        </w:rPr>
        <w:t xml:space="preserve">אז פתח המערער את חגורת מכנסיו כדי להפשילם וציין בפני המתלוננת כי הוא מתפשט וכי היא </w:t>
      </w:r>
      <w:r>
        <w:rPr>
          <w:rtl w:val="true"/>
        </w:rPr>
        <w:t>"</w:t>
      </w:r>
      <w:r>
        <w:rPr>
          <w:rtl w:val="true"/>
        </w:rPr>
        <w:t>חייבת לראות</w:t>
      </w:r>
      <w:r>
        <w:rPr>
          <w:rtl w:val="true"/>
        </w:rPr>
        <w:t xml:space="preserve">". </w:t>
      </w:r>
      <w:r>
        <w:rPr>
          <w:rtl w:val="true"/>
        </w:rPr>
        <w:t>כל זאת לשם גירוי</w:t>
      </w:r>
      <w:r>
        <w:rPr>
          <w:rtl w:val="true"/>
        </w:rPr>
        <w:t xml:space="preserve">, </w:t>
      </w:r>
      <w:r>
        <w:rPr>
          <w:rtl w:val="true"/>
        </w:rPr>
        <w:t>סיפוק או ביזוי מיניים</w:t>
      </w:r>
      <w:r>
        <w:rPr>
          <w:rtl w:val="true"/>
        </w:rPr>
        <w:t xml:space="preserve">. </w:t>
      </w:r>
      <w:r>
        <w:rPr>
          <w:rtl w:val="true"/>
        </w:rPr>
        <w:t>המתלוננת עצמה עיניה</w:t>
      </w:r>
      <w:r>
        <w:rPr>
          <w:rtl w:val="true"/>
        </w:rPr>
        <w:t xml:space="preserve">, </w:t>
      </w:r>
      <w:r>
        <w:rPr>
          <w:rtl w:val="true"/>
        </w:rPr>
        <w:t>אמרה שאינה רוצה לראות</w:t>
      </w:r>
      <w:r>
        <w:rPr>
          <w:rtl w:val="true"/>
        </w:rPr>
        <w:t xml:space="preserve">, </w:t>
      </w:r>
      <w:r>
        <w:rPr>
          <w:rtl w:val="true"/>
        </w:rPr>
        <w:t>ושאלה את המערער אם הוא מעוניין שהיא תתקשר למשטרה</w:t>
      </w:r>
      <w:r>
        <w:rPr>
          <w:rtl w:val="true"/>
        </w:rPr>
        <w:t xml:space="preserve">. </w:t>
      </w:r>
      <w:r>
        <w:rPr>
          <w:rtl w:val="true"/>
        </w:rPr>
        <w:t>משאמרה זאת</w:t>
      </w:r>
      <w:r>
        <w:rPr>
          <w:rtl w:val="true"/>
        </w:rPr>
        <w:t xml:space="preserve">, </w:t>
      </w:r>
      <w:r>
        <w:rPr>
          <w:rtl w:val="true"/>
        </w:rPr>
        <w:t>פתח לה המערער את דלת התא ואיפשר לה לצאת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בגין מעשיו אלה יוחסו למערער בכתב האישום המתוקן עבירות של מעשה מגונה לפי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  <w:lang w:eastAsia="he-IL"/>
        </w:rPr>
        <w:t>התשל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>-</w:t>
      </w:r>
      <w:r>
        <w:rPr>
          <w:lang w:eastAsia="he-IL"/>
        </w:rPr>
        <w:t>1977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העונשין</w:t>
      </w:r>
      <w:r>
        <w:rPr>
          <w:rtl w:val="true"/>
          <w:lang w:eastAsia="he-IL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זה</w:t>
      </w:r>
      <w:r>
        <w:rPr>
          <w:rtl w:val="true"/>
        </w:rPr>
        <w:t xml:space="preserve">; </w:t>
      </w:r>
      <w:r>
        <w:rPr>
          <w:rtl w:val="true"/>
        </w:rPr>
        <w:t xml:space="preserve">ועבירות של הטרדה מינית לפי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4"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) </w:t>
      </w:r>
      <w:r>
        <w:rPr>
          <w:rtl w:val="true"/>
        </w:rPr>
        <w:t xml:space="preserve">וסעיף </w:t>
      </w:r>
      <w:hyperlink r:id="rId25"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1998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22.6.2017</w:t>
      </w:r>
      <w:r>
        <w:rPr>
          <w:rtl w:val="true"/>
        </w:rPr>
        <w:t xml:space="preserve">, </w:t>
      </w:r>
      <w:r>
        <w:rPr>
          <w:rtl w:val="true"/>
        </w:rPr>
        <w:t>הורשע המערער לפי הודאתו במסגרת הסדר טיעון בעבירות האמורות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עובר לגזירת דינו של המערער</w:t>
      </w:r>
      <w:r>
        <w:rPr>
          <w:rtl w:val="true"/>
        </w:rPr>
        <w:t xml:space="preserve">, </w:t>
      </w:r>
      <w:r>
        <w:rPr>
          <w:rtl w:val="true"/>
        </w:rPr>
        <w:t>הורה בית המשפט על הכנת תסקיר שירות מבחן והערכת מסוכנות</w:t>
      </w:r>
      <w:r>
        <w:rPr>
          <w:rtl w:val="true"/>
        </w:rPr>
        <w:t xml:space="preserve">. </w:t>
      </w:r>
      <w:r>
        <w:rPr>
          <w:rtl w:val="true"/>
        </w:rPr>
        <w:t>בצד אלו הוגשה גם הערכת מסוכנות פרטית מטעם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בהערכת המסוכנות מחודש אוקטובר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הצטייר המערער כאדם לא אמין</w:t>
      </w:r>
      <w:r>
        <w:rPr>
          <w:rtl w:val="true"/>
        </w:rPr>
        <w:t xml:space="preserve">, </w:t>
      </w:r>
      <w:r>
        <w:rPr>
          <w:rtl w:val="true"/>
        </w:rPr>
        <w:t>אימפולסיבי</w:t>
      </w:r>
      <w:r>
        <w:rPr>
          <w:rtl w:val="true"/>
        </w:rPr>
        <w:t xml:space="preserve">, </w:t>
      </w:r>
      <w:r>
        <w:rPr>
          <w:rtl w:val="true"/>
        </w:rPr>
        <w:t>שלא מכיר במצבו הנפשי לאשורו</w:t>
      </w:r>
      <w:r>
        <w:rPr>
          <w:rtl w:val="true"/>
        </w:rPr>
        <w:t xml:space="preserve">, </w:t>
      </w:r>
      <w:r>
        <w:rPr>
          <w:rtl w:val="true"/>
        </w:rPr>
        <w:t>ומתקשה לנהל אורח חיים תקין</w:t>
      </w:r>
      <w:r>
        <w:rPr>
          <w:rtl w:val="true"/>
        </w:rPr>
        <w:t xml:space="preserve">. </w:t>
      </w:r>
      <w:r>
        <w:rPr>
          <w:rtl w:val="true"/>
        </w:rPr>
        <w:t>ברקע הדברים צוין עברו הכולל אשפוזים פסיכיאטריים ושימוש בחומרים פסיכואקטיביים</w:t>
      </w:r>
      <w:r>
        <w:rPr>
          <w:rtl w:val="true"/>
        </w:rPr>
        <w:t xml:space="preserve">. </w:t>
      </w:r>
      <w:r>
        <w:rPr>
          <w:rtl w:val="true"/>
        </w:rPr>
        <w:t>אשר לעבירות המין נושא ההליך</w:t>
      </w:r>
      <w:r>
        <w:rPr>
          <w:rtl w:val="true"/>
        </w:rPr>
        <w:t xml:space="preserve">, </w:t>
      </w:r>
      <w:r>
        <w:rPr>
          <w:rtl w:val="true"/>
        </w:rPr>
        <w:t>צוין כי המערער לא הביע חרטה</w:t>
      </w:r>
      <w:r>
        <w:rPr>
          <w:rtl w:val="true"/>
        </w:rPr>
        <w:t xml:space="preserve">, </w:t>
      </w:r>
      <w:r>
        <w:rPr>
          <w:rtl w:val="true"/>
        </w:rPr>
        <w:t>בושה או אשמה</w:t>
      </w:r>
      <w:r>
        <w:rPr>
          <w:rtl w:val="true"/>
        </w:rPr>
        <w:t xml:space="preserve">, </w:t>
      </w:r>
      <w:r>
        <w:rPr>
          <w:rtl w:val="true"/>
        </w:rPr>
        <w:t>וכי הפחית מחומרת מעשיו ומהשפעותיהם על המתלוננת</w:t>
      </w:r>
      <w:r>
        <w:rPr>
          <w:rtl w:val="true"/>
        </w:rPr>
        <w:t xml:space="preserve">. </w:t>
      </w:r>
      <w:r>
        <w:rPr>
          <w:rtl w:val="true"/>
        </w:rPr>
        <w:t>לבסוף צוין כי המערער לא טופל בעבר בתחום עבירות המין</w:t>
      </w:r>
      <w:r>
        <w:rPr>
          <w:rtl w:val="true"/>
        </w:rPr>
        <w:t xml:space="preserve">, </w:t>
      </w:r>
      <w:r>
        <w:rPr>
          <w:rtl w:val="true"/>
        </w:rPr>
        <w:t>לא הביע נזקקות טיפולית וכי הוא לא רואה עצמו כמסוכן בהקשר זה</w:t>
      </w:r>
      <w:r>
        <w:rPr>
          <w:rtl w:val="true"/>
        </w:rPr>
        <w:t xml:space="preserve">. </w:t>
      </w:r>
      <w:r>
        <w:rPr>
          <w:rtl w:val="true"/>
        </w:rPr>
        <w:t>על רקע כל אלה הוערכה המסוכנות המינית הנשקפת מן המערער כגבוהה</w:t>
      </w:r>
      <w:r>
        <w:rPr>
          <w:rtl w:val="true"/>
        </w:rPr>
        <w:t xml:space="preserve">, </w:t>
      </w:r>
      <w:r>
        <w:rPr>
          <w:rtl w:val="true"/>
        </w:rPr>
        <w:t>ובפרט ביחס להימצאות עם קטינות ללא נוכחות מבוגר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בהערכת המסוכנות הפרטית צוין כי ייתכן שהדברים שמסר המערער בהערכת המסוכנות היו דברי רהב מופרזים</w:t>
      </w:r>
      <w:r>
        <w:rPr>
          <w:rtl w:val="true"/>
        </w:rPr>
        <w:t xml:space="preserve">; </w:t>
      </w:r>
      <w:r>
        <w:rPr>
          <w:rtl w:val="true"/>
        </w:rPr>
        <w:t>וכי אפשר שמצבו הנפשי</w:t>
      </w:r>
      <w:r>
        <w:rPr>
          <w:rtl w:val="true"/>
        </w:rPr>
        <w:t>-</w:t>
      </w:r>
      <w:r>
        <w:rPr>
          <w:rtl w:val="true"/>
        </w:rPr>
        <w:t>רפואי של המערער</w:t>
      </w:r>
      <w:r>
        <w:rPr>
          <w:rtl w:val="true"/>
        </w:rPr>
        <w:t xml:space="preserve">, </w:t>
      </w:r>
      <w:r>
        <w:rPr>
          <w:rtl w:val="true"/>
        </w:rPr>
        <w:t>ולא התנהלותו ודפוסיו המיניים</w:t>
      </w:r>
      <w:r>
        <w:rPr>
          <w:rtl w:val="true"/>
        </w:rPr>
        <w:t xml:space="preserve">, </w:t>
      </w:r>
      <w:r>
        <w:rPr>
          <w:rtl w:val="true"/>
        </w:rPr>
        <w:t>הוא הגורם המרכזי בביצוע העבירות</w:t>
      </w:r>
      <w:r>
        <w:rPr>
          <w:rtl w:val="true"/>
        </w:rPr>
        <w:t xml:space="preserve">. </w:t>
      </w:r>
      <w:r>
        <w:rPr>
          <w:rtl w:val="true"/>
        </w:rPr>
        <w:t>לפיכך סבר המעריך כי ישנה אפשרות שטיפול פסיכיאטרי מתאים וייעודי למניעת חזרתיות בתחום עבירות מין יתרום להפחתת המסוכנות העתידית הנשקפת מהמערער</w:t>
      </w:r>
      <w:r>
        <w:rPr>
          <w:rtl w:val="true"/>
        </w:rPr>
        <w:t xml:space="preserve">. </w:t>
      </w:r>
      <w:r>
        <w:rPr>
          <w:rtl w:val="true"/>
        </w:rPr>
        <w:t>עוד צוין כי המערער שב והביע את נכונותו לקבל טיפול כאמור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תסקירי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תכליתם של אלה הייתה לבחון את אפשרות שילוב המערער במסגרת טיפולית מטעם שירות מבחן</w:t>
      </w:r>
      <w:r>
        <w:rPr>
          <w:rtl w:val="true"/>
        </w:rPr>
        <w:t xml:space="preserve">, </w:t>
      </w:r>
      <w:r>
        <w:rPr>
          <w:rtl w:val="true"/>
        </w:rPr>
        <w:t>ומטעם זה אף נדחה הדיון בגזר הדין מעת לעת</w:t>
      </w:r>
      <w:r>
        <w:rPr>
          <w:rtl w:val="true"/>
        </w:rPr>
        <w:t xml:space="preserve">. </w:t>
      </w:r>
      <w:r>
        <w:rPr>
          <w:rtl w:val="true"/>
        </w:rPr>
        <w:t xml:space="preserve">בתסקיר הראשון מיום </w:t>
      </w:r>
      <w:r>
        <w:rPr/>
        <w:t>24.12.2017</w:t>
      </w:r>
      <w:r>
        <w:rPr>
          <w:rtl w:val="true"/>
        </w:rPr>
        <w:t xml:space="preserve"> </w:t>
      </w:r>
      <w:r>
        <w:rPr>
          <w:rtl w:val="true"/>
        </w:rPr>
        <w:t>חזר שירות המבחן על עיקרי הרקע האישי של המערער כפי שהופיע בהערכת המסוכנות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למערער אישיות חסרת גבולות</w:t>
      </w:r>
      <w:r>
        <w:rPr>
          <w:rtl w:val="true"/>
        </w:rPr>
        <w:t xml:space="preserve">; </w:t>
      </w:r>
      <w:r>
        <w:rPr>
          <w:rtl w:val="true"/>
        </w:rPr>
        <w:t>כי הוא מתאפיין בדחפים מיניים מוגברים</w:t>
      </w:r>
      <w:r>
        <w:rPr>
          <w:rtl w:val="true"/>
        </w:rPr>
        <w:t xml:space="preserve">; </w:t>
      </w:r>
      <w:r>
        <w:rPr>
          <w:rtl w:val="true"/>
        </w:rPr>
        <w:t>וכי מצבו הנפשי הירוד גורר יכולת שיפוט לקויה לגבי מעשיו</w:t>
      </w:r>
      <w:r>
        <w:rPr>
          <w:rtl w:val="true"/>
        </w:rPr>
        <w:t xml:space="preserve">. </w:t>
      </w:r>
      <w:r>
        <w:rPr>
          <w:rtl w:val="true"/>
        </w:rPr>
        <w:t xml:space="preserve">בכל הנוגע לאפיקים טיפוליים צוין כי בעבר דחה המערער אפשרות להשתלב בדיור מוגן במסגרת </w:t>
      </w:r>
      <w:r>
        <w:rPr>
          <w:rtl w:val="true"/>
        </w:rPr>
        <w:t>"</w:t>
      </w:r>
      <w:r>
        <w:rPr>
          <w:rtl w:val="true"/>
        </w:rPr>
        <w:t>סל שיקום</w:t>
      </w:r>
      <w:r>
        <w:rPr>
          <w:rtl w:val="true"/>
        </w:rPr>
        <w:t xml:space="preserve">"; </w:t>
      </w:r>
      <w:r>
        <w:rPr>
          <w:rtl w:val="true"/>
        </w:rPr>
        <w:t>כי נכונותו בעת הזו להשתלב בטיפול נראית כמונעת בעיקר מהרצון להשפיע לטובה על תוצאות ההליך המשפטי</w:t>
      </w:r>
      <w:r>
        <w:rPr>
          <w:rtl w:val="true"/>
        </w:rPr>
        <w:t xml:space="preserve">; </w:t>
      </w:r>
      <w:r>
        <w:rPr>
          <w:rtl w:val="true"/>
        </w:rPr>
        <w:t>וכי לפיכך גם אינו נוטה להתחייב לממסגרת טיפולית אינטנסיבית</w:t>
      </w:r>
      <w:r>
        <w:rPr>
          <w:rtl w:val="true"/>
        </w:rPr>
        <w:t xml:space="preserve">. </w:t>
      </w:r>
      <w:r>
        <w:rPr>
          <w:rtl w:val="true"/>
        </w:rPr>
        <w:t>עוד צוין כי הפחתת המסוכנות הנשקפת מן המערער מחייבת טיפול הן בתחום בריאות הנפש</w:t>
      </w:r>
      <w:r>
        <w:rPr>
          <w:rtl w:val="true"/>
        </w:rPr>
        <w:t xml:space="preserve">, </w:t>
      </w:r>
      <w:r>
        <w:rPr>
          <w:rtl w:val="true"/>
        </w:rPr>
        <w:t>הן בתחום עבריינות המין</w:t>
      </w:r>
      <w:r>
        <w:rPr>
          <w:rtl w:val="true"/>
        </w:rPr>
        <w:t xml:space="preserve">. </w:t>
      </w:r>
      <w:r>
        <w:rPr>
          <w:rtl w:val="true"/>
        </w:rPr>
        <w:t>על אף האמור</w:t>
      </w:r>
      <w:r>
        <w:rPr>
          <w:rtl w:val="true"/>
        </w:rPr>
        <w:t xml:space="preserve">, </w:t>
      </w:r>
      <w:r>
        <w:rPr>
          <w:rtl w:val="true"/>
        </w:rPr>
        <w:t>וחרף הספקנות בנוגע לסיכויי המערער להשתלב בהצלחה בטיפול</w:t>
      </w:r>
      <w:r>
        <w:rPr>
          <w:rtl w:val="true"/>
        </w:rPr>
        <w:t xml:space="preserve">, </w:t>
      </w:r>
      <w:r>
        <w:rPr>
          <w:rtl w:val="true"/>
        </w:rPr>
        <w:t>הפנה שירות המבחן את המערער לבחינת אפיק טיפולי בקהילה באופן שיאפשר השתלבות במסגרת טיפולית של שירות המבחן לאחר מכן</w:t>
      </w:r>
      <w:r>
        <w:rPr>
          <w:rtl w:val="true"/>
        </w:rPr>
        <w:t xml:space="preserve">. </w:t>
      </w:r>
      <w:r>
        <w:rPr>
          <w:rtl w:val="true"/>
        </w:rPr>
        <w:t>לשם כך הומלץ על דחיית הדיון בעניינו בשלושה חודשים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בחלוף התקופה האמורה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7.3.2018</w:t>
      </w:r>
      <w:r>
        <w:rPr>
          <w:rtl w:val="true"/>
        </w:rPr>
        <w:t xml:space="preserve"> </w:t>
      </w:r>
      <w:r>
        <w:rPr>
          <w:rtl w:val="true"/>
        </w:rPr>
        <w:t>הוגש תסקיר משלים שממנו עלה כי המערער נוטל את תרופותיו</w:t>
      </w:r>
      <w:r>
        <w:rPr>
          <w:rtl w:val="true"/>
        </w:rPr>
        <w:t xml:space="preserve">, </w:t>
      </w:r>
      <w:r>
        <w:rPr>
          <w:rtl w:val="true"/>
        </w:rPr>
        <w:t>כי הוא חווה תקופה של יציבות</w:t>
      </w:r>
      <w:r>
        <w:rPr>
          <w:rtl w:val="true"/>
        </w:rPr>
        <w:t xml:space="preserve">, </w:t>
      </w:r>
      <w:r>
        <w:rPr>
          <w:rtl w:val="true"/>
        </w:rPr>
        <w:t>כי הוא אינו מצוי במצב פסיכוטי וכי אין עדות למסוכנות מיידית</w:t>
      </w:r>
      <w:r>
        <w:rPr>
          <w:rtl w:val="true"/>
        </w:rPr>
        <w:t xml:space="preserve">. </w:t>
      </w:r>
      <w:r>
        <w:rPr>
          <w:rtl w:val="true"/>
        </w:rPr>
        <w:t>על רקע זה הופנה המערער לבדיקת התאמה לטיפול ייעודי בעברייני מין</w:t>
      </w:r>
      <w:r>
        <w:rPr>
          <w:rtl w:val="true"/>
        </w:rPr>
        <w:t xml:space="preserve">. </w:t>
      </w:r>
      <w:r>
        <w:rPr>
          <w:rtl w:val="true"/>
        </w:rPr>
        <w:t>המערער נמצא מתאים אך לא שולב בטיפול עקב רשימת המתנה</w:t>
      </w:r>
      <w:r>
        <w:rPr>
          <w:rtl w:val="true"/>
        </w:rPr>
        <w:t xml:space="preserve">. </w:t>
      </w:r>
      <w:r>
        <w:rPr>
          <w:rtl w:val="true"/>
        </w:rPr>
        <w:t>עקב כך</w:t>
      </w:r>
      <w:r>
        <w:rPr>
          <w:rtl w:val="true"/>
        </w:rPr>
        <w:t xml:space="preserve">, </w:t>
      </w:r>
      <w:r>
        <w:rPr>
          <w:rtl w:val="true"/>
        </w:rPr>
        <w:t>ולמרות שיתוף הפעולה מצדו של המערער עם שירות המבחן בתקופה זו</w:t>
      </w:r>
      <w:r>
        <w:rPr>
          <w:rtl w:val="true"/>
        </w:rPr>
        <w:t xml:space="preserve">, </w:t>
      </w:r>
      <w:r>
        <w:rPr>
          <w:rtl w:val="true"/>
        </w:rPr>
        <w:t>לא עלה בידי שירות המבחן לבוא בהמלצה בעניינו של המערער</w:t>
      </w:r>
      <w:r>
        <w:rPr>
          <w:rtl w:val="true"/>
        </w:rPr>
        <w:t xml:space="preserve">. </w:t>
      </w:r>
      <w:r>
        <w:rPr>
          <w:rtl w:val="true"/>
        </w:rPr>
        <w:t>הומלץ אפוא לדחות את הדיון 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 נוספים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כעולה מגזר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תסקיר נוסף  הוגש ביולי </w:t>
      </w:r>
      <w:r>
        <w:rPr/>
        <w:t>2018</w:t>
      </w:r>
      <w:r>
        <w:rPr>
          <w:rtl w:val="true"/>
        </w:rPr>
        <w:t xml:space="preserve">. </w:t>
      </w:r>
      <w:r>
        <w:rPr>
          <w:rtl w:val="true"/>
        </w:rPr>
        <w:t>מתסקיר זה עלה כי המערער התאשפז באשפוז פסיכיאטרי למשך שלושה חודשים</w:t>
      </w:r>
      <w:r>
        <w:rPr>
          <w:rtl w:val="true"/>
        </w:rPr>
        <w:t xml:space="preserve">, </w:t>
      </w:r>
      <w:r>
        <w:rPr>
          <w:rtl w:val="true"/>
        </w:rPr>
        <w:t>שבמהלכם הוצא לו צו אשפוז כפוי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גם בפעם זו לא השתלב המערער במסגרת טיפולית ולא עלה בידי שירות המבחן לגבש המלצתו בעניין זה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מתסקיר משלים נוסף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22.10.2018</w:t>
      </w:r>
      <w:r>
        <w:rPr>
          <w:rtl w:val="true"/>
        </w:rPr>
        <w:t xml:space="preserve"> (</w:t>
      </w:r>
      <w:r>
        <w:rPr>
          <w:rtl w:val="true"/>
        </w:rPr>
        <w:t>שאינו נזכר מפורשות בגזר הדין</w:t>
      </w:r>
      <w:r>
        <w:rPr>
          <w:rtl w:val="true"/>
        </w:rPr>
        <w:t xml:space="preserve">), </w:t>
      </w:r>
      <w:r>
        <w:rPr>
          <w:rtl w:val="true"/>
        </w:rPr>
        <w:t xml:space="preserve">עולה כי במועד עריכת התסקיר היה המערער מאושפז בבית החולים </w:t>
      </w:r>
      <w:r>
        <w:rPr>
          <w:rtl w:val="true"/>
        </w:rPr>
        <w:t>"</w:t>
      </w:r>
      <w:r>
        <w:rPr>
          <w:rtl w:val="true"/>
        </w:rPr>
        <w:t>שלוותה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 שחלה הדרדרות במצבו הנפשי לאחר פטירתה של גרושתו</w:t>
      </w:r>
      <w:r>
        <w:rPr>
          <w:rtl w:val="true"/>
        </w:rPr>
        <w:t xml:space="preserve">. </w:t>
      </w:r>
      <w:r>
        <w:rPr>
          <w:rtl w:val="true"/>
        </w:rPr>
        <w:t>עוד צוין כי המערער ממתין לקבלת החלטה בעניין בדבר זכאותו ל</w:t>
      </w:r>
      <w:r>
        <w:rPr>
          <w:rtl w:val="true"/>
        </w:rPr>
        <w:t>"</w:t>
      </w:r>
      <w:r>
        <w:rPr>
          <w:rtl w:val="true"/>
        </w:rPr>
        <w:t>סל שיקום</w:t>
      </w:r>
      <w:r>
        <w:rPr>
          <w:rtl w:val="true"/>
        </w:rPr>
        <w:t xml:space="preserve">" </w:t>
      </w:r>
      <w:r>
        <w:rPr>
          <w:rtl w:val="true"/>
        </w:rPr>
        <w:t>ולדיור מוגן בקהילה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גם באותה עת המערער טרם שולב בטיפול ייעודי לעברייני מין</w:t>
      </w:r>
      <w:r>
        <w:rPr>
          <w:rtl w:val="true"/>
        </w:rPr>
        <w:t xml:space="preserve">, </w:t>
      </w:r>
      <w:r>
        <w:rPr>
          <w:rtl w:val="true"/>
        </w:rPr>
        <w:t>וצוין כי מצבו הנפשי אינו מאפשר שילובו בהליך טיפולי כאמור</w:t>
      </w:r>
      <w:r>
        <w:rPr>
          <w:rtl w:val="true"/>
        </w:rPr>
        <w:t xml:space="preserve">, </w:t>
      </w:r>
      <w:r>
        <w:rPr>
          <w:rtl w:val="true"/>
        </w:rPr>
        <w:t>שהיה עשוי להפחית את המסוכנות הנשקפת ממנו</w:t>
      </w:r>
      <w:r>
        <w:rPr>
          <w:rtl w:val="true"/>
        </w:rPr>
        <w:t xml:space="preserve">. </w:t>
      </w: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גם הפעם הוצעה דחייה של הדיון בגזר דינו של המערער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הפעם</w:t>
      </w:r>
      <w:r>
        <w:rPr>
          <w:rtl w:val="true"/>
        </w:rPr>
        <w:t xml:space="preserve">, </w:t>
      </w:r>
      <w:r>
        <w:rPr>
          <w:rtl w:val="true"/>
        </w:rPr>
        <w:t>נוכח ההשתלשלות האמורה</w:t>
      </w:r>
      <w:r>
        <w:rPr>
          <w:rtl w:val="true"/>
        </w:rPr>
        <w:t xml:space="preserve">, </w:t>
      </w:r>
      <w:r>
        <w:rPr>
          <w:rtl w:val="true"/>
        </w:rPr>
        <w:t>דחה בית המשפט את הבקשה</w:t>
      </w:r>
      <w:r>
        <w:rPr>
          <w:rtl w:val="true"/>
        </w:rPr>
        <w:t xml:space="preserve">. </w:t>
      </w:r>
      <w:r>
        <w:rPr>
          <w:rtl w:val="true"/>
        </w:rPr>
        <w:t>נקבע כי בשלב זה</w:t>
      </w:r>
      <w:r>
        <w:rPr>
          <w:rtl w:val="true"/>
        </w:rPr>
        <w:t xml:space="preserve">, </w:t>
      </w:r>
      <w:r>
        <w:rPr>
          <w:rtl w:val="true"/>
        </w:rPr>
        <w:t xml:space="preserve">נוכח התארכות התקופה </w:t>
      </w:r>
      <w:r>
        <w:rPr>
          <w:rtl w:val="true"/>
        </w:rPr>
        <w:t>מעת</w:t>
      </w:r>
      <w:r>
        <w:rPr>
          <w:rtl w:val="true"/>
        </w:rPr>
        <w:t xml:space="preserve"> </w:t>
      </w:r>
      <w:r>
        <w:rPr>
          <w:rtl w:val="true"/>
        </w:rPr>
        <w:t>הרשעת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בשים לב להיעדרו של אופק טיפולי ממשי</w:t>
      </w:r>
      <w:r>
        <w:rPr>
          <w:rtl w:val="true"/>
        </w:rPr>
        <w:t xml:space="preserve">, </w:t>
      </w:r>
      <w:r>
        <w:rPr>
          <w:rtl w:val="true"/>
        </w:rPr>
        <w:t>ונוכח ההתרשמות כי רצונו להשתלב בטיפול נועד להשיג הקלה במשפטו</w:t>
      </w:r>
      <w:r>
        <w:rPr>
          <w:rtl w:val="true"/>
        </w:rPr>
        <w:t xml:space="preserve">, </w:t>
      </w:r>
      <w:r>
        <w:rPr>
          <w:rtl w:val="true"/>
        </w:rPr>
        <w:t>בשלה העת לגזור את דינו של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בקבעו את מתחם הענישה ציין בית המשפט כי העבירות שבהן הורשע המערער פוגעות בערכים המוגנים של שלמות הגוף והנפש והאוטונומיה של הפרט</w:t>
      </w:r>
      <w:r>
        <w:rPr>
          <w:rtl w:val="true"/>
        </w:rPr>
        <w:t xml:space="preserve">; </w:t>
      </w:r>
      <w:r>
        <w:rPr>
          <w:rtl w:val="true"/>
        </w:rPr>
        <w:t>וכי כאשר מדובר בעבירות מין בקטינים יש לתת דגש לשיקולי גמול והרתעה על פני נסיבותיו הפרטניות של המערער</w:t>
      </w:r>
      <w:r>
        <w:rPr>
          <w:rtl w:val="true"/>
        </w:rPr>
        <w:t xml:space="preserve">. </w:t>
      </w:r>
      <w:r>
        <w:rPr>
          <w:rtl w:val="true"/>
        </w:rPr>
        <w:t>בנתון לאמור</w:t>
      </w:r>
      <w:r>
        <w:rPr>
          <w:rtl w:val="true"/>
        </w:rPr>
        <w:t xml:space="preserve">, </w:t>
      </w:r>
      <w:r>
        <w:rPr>
          <w:rtl w:val="true"/>
        </w:rPr>
        <w:t>בשים לב למדיניות הענישה הנוהגת ולנסיבות המקרה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המשפט את מתחם הענישה בטווח שבין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בצד עונש מאסר מותנה ופיצוי הולם למתלוננת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>הדגיש בית המשפט את הצורך בעונש ההולם את חומרת המעשים</w:t>
      </w:r>
      <w:r>
        <w:rPr>
          <w:rtl w:val="true"/>
        </w:rPr>
        <w:t xml:space="preserve">, </w:t>
      </w:r>
      <w:r>
        <w:rPr>
          <w:rtl w:val="true"/>
        </w:rPr>
        <w:t>שבצדו מסר מרתיע דיו</w:t>
      </w:r>
      <w:r>
        <w:rPr>
          <w:rtl w:val="true"/>
        </w:rPr>
        <w:t xml:space="preserve">. </w:t>
      </w:r>
      <w:r>
        <w:rPr>
          <w:rtl w:val="true"/>
        </w:rPr>
        <w:t>לחובת המערער נשקלה בעיקר העובדה שלא ניסה לחזור למוטב על ידי השתלבות בתהליך טיפולי</w:t>
      </w:r>
      <w:r>
        <w:rPr>
          <w:rtl w:val="true"/>
        </w:rPr>
        <w:t xml:space="preserve">, </w:t>
      </w:r>
      <w:r>
        <w:rPr>
          <w:rtl w:val="true"/>
        </w:rPr>
        <w:t>ואף דחה הזדמנויות ממשיות לעשות כן בעבר</w:t>
      </w:r>
      <w:r>
        <w:rPr>
          <w:rtl w:val="true"/>
        </w:rPr>
        <w:t xml:space="preserve">. </w:t>
      </w:r>
      <w:r>
        <w:rPr>
          <w:rtl w:val="true"/>
        </w:rPr>
        <w:t>לזכותו נשקלו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הודאתו במיוחס לו</w:t>
      </w:r>
      <w:r>
        <w:rPr>
          <w:rtl w:val="true"/>
        </w:rPr>
        <w:t xml:space="preserve">, </w:t>
      </w:r>
      <w:r>
        <w:rPr>
          <w:rtl w:val="true"/>
        </w:rPr>
        <w:t>אשר בין היתר חסכה את הצורך בהעדת המתלוננת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גזר בית המשפט על המערער את העונשים המפורטים 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המכוון</w:t>
      </w:r>
      <w:r>
        <w:rPr>
          <w:rtl w:val="true"/>
        </w:rPr>
        <w:t xml:space="preserve"> </w:t>
      </w:r>
      <w:r>
        <w:rPr>
          <w:rtl w:val="true"/>
        </w:rPr>
        <w:t xml:space="preserve">כאמור </w:t>
      </w:r>
      <w:r>
        <w:rPr>
          <w:rtl w:val="true"/>
        </w:rPr>
        <w:t>לחומרת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1.1.2019</w:t>
      </w:r>
      <w:r>
        <w:rPr>
          <w:rtl w:val="true"/>
        </w:rPr>
        <w:t xml:space="preserve"> </w:t>
      </w:r>
      <w:r>
        <w:rPr>
          <w:rtl w:val="true"/>
        </w:rPr>
        <w:t>הורה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בהסכמת המשיבה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עיכוב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להכרעה בערעור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בית המשפט לא נתן משקל הולם למצבו הנפשי</w:t>
      </w:r>
      <w:r>
        <w:rPr>
          <w:rtl w:val="true"/>
        </w:rPr>
        <w:t xml:space="preserve">. </w:t>
      </w:r>
      <w:r>
        <w:rPr>
          <w:rtl w:val="true"/>
        </w:rPr>
        <w:t>הגם שזה אינו עולה כדי סייג מאחריות פלילית</w:t>
      </w:r>
      <w:r>
        <w:rPr>
          <w:rtl w:val="true"/>
        </w:rPr>
        <w:t xml:space="preserve">, </w:t>
      </w:r>
      <w:r>
        <w:rPr>
          <w:rtl w:val="true"/>
        </w:rPr>
        <w:t>מדובר במצב נפשי מורכב ומעורער</w:t>
      </w:r>
      <w:r>
        <w:rPr>
          <w:rtl w:val="true"/>
        </w:rPr>
        <w:t xml:space="preserve">, </w:t>
      </w:r>
      <w:r>
        <w:rPr>
          <w:rtl w:val="true"/>
        </w:rPr>
        <w:t>שהוא בבחינת נסיבה רלוונטית לביצוע העבירה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שהיה מקום להנמיך את הרף התחתון של מתחם הענישה כך שלא יכלול עונש מאסר בפועל</w:t>
      </w:r>
      <w:r>
        <w:rPr>
          <w:rtl w:val="true"/>
        </w:rPr>
        <w:t xml:space="preserve">. </w:t>
      </w:r>
      <w:r>
        <w:rPr>
          <w:rtl w:val="true"/>
        </w:rPr>
        <w:t>המערער אמנם מודע לכך שהעבירה שבה הורשע מחייבת עונש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אך סבור כי בנסיבות העניין מתקיימים </w:t>
      </w:r>
      <w:r>
        <w:rPr>
          <w:rtl w:val="true"/>
        </w:rPr>
        <w:t>"</w:t>
      </w:r>
      <w:r>
        <w:rPr>
          <w:rtl w:val="true"/>
        </w:rPr>
        <w:t>טעמים מיוחדים</w:t>
      </w:r>
      <w:r>
        <w:rPr>
          <w:rtl w:val="true"/>
        </w:rPr>
        <w:t xml:space="preserve">" </w:t>
      </w:r>
      <w:r>
        <w:rPr>
          <w:rtl w:val="true"/>
        </w:rPr>
        <w:t>המאפשרים לסטות מכך ולקבוע עונש מאסר שכולו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ובכל האמור לקביעת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>נטען כי היה מקום לסטות מן המתחם לקולא משיקולי שיקום</w:t>
      </w:r>
      <w:r>
        <w:rPr>
          <w:rtl w:val="true"/>
        </w:rPr>
        <w:t xml:space="preserve">, </w:t>
      </w:r>
      <w:r>
        <w:rPr>
          <w:rtl w:val="true"/>
        </w:rPr>
        <w:t>ולהטיל עונש שאינו כולל רכיב מאסר בפועל</w:t>
      </w:r>
      <w:r>
        <w:rPr>
          <w:rtl w:val="true"/>
        </w:rPr>
        <w:t xml:space="preserve">. </w:t>
      </w:r>
      <w:r>
        <w:rPr>
          <w:rtl w:val="true"/>
        </w:rPr>
        <w:t>נטען כי בית המשפט שגה בקביעתו כי המוטיבציה של המערער להשתלב בטיפול אינה כנה ונובעת מרצון להקלה בעונשו</w:t>
      </w:r>
      <w:r>
        <w:rPr>
          <w:rtl w:val="true"/>
        </w:rPr>
        <w:t xml:space="preserve">. </w:t>
      </w:r>
      <w:r>
        <w:rPr>
          <w:rtl w:val="true"/>
        </w:rPr>
        <w:t>נטען כי מן התסקירים עולה כי המערער מעוניין בטיפול</w:t>
      </w:r>
      <w:r>
        <w:rPr>
          <w:rtl w:val="true"/>
        </w:rPr>
        <w:t xml:space="preserve">; </w:t>
      </w:r>
      <w:r>
        <w:rPr>
          <w:rtl w:val="true"/>
        </w:rPr>
        <w:t>כי בצמתים הרלוונטיים שיתף פעולה עם שירות המבחן וגורמי בריאות הנפש</w:t>
      </w:r>
      <w:r>
        <w:rPr>
          <w:rtl w:val="true"/>
        </w:rPr>
        <w:t xml:space="preserve">; </w:t>
      </w:r>
      <w:r>
        <w:rPr>
          <w:rtl w:val="true"/>
        </w:rPr>
        <w:t>וכי הוא מכיר בחומרת מצבו</w:t>
      </w:r>
      <w:r>
        <w:rPr>
          <w:rtl w:val="true"/>
        </w:rPr>
        <w:t xml:space="preserve">. </w:t>
      </w:r>
      <w:r>
        <w:rPr>
          <w:rtl w:val="true"/>
        </w:rPr>
        <w:t>הודגש כי לאורך כל תקופת הדחיות המערער לא קיבל טיפול בגלל נסיבות שאינן תלויות בו</w:t>
      </w:r>
      <w:r>
        <w:rPr>
          <w:rtl w:val="true"/>
        </w:rPr>
        <w:t xml:space="preserve">: </w:t>
      </w:r>
      <w:r>
        <w:rPr>
          <w:rtl w:val="true"/>
        </w:rPr>
        <w:t>רשימת ההמתנה במרכז לטיפול ייעודי בעברייני מין</w:t>
      </w:r>
      <w:r>
        <w:rPr>
          <w:rtl w:val="true"/>
        </w:rPr>
        <w:t xml:space="preserve">, </w:t>
      </w:r>
      <w:r>
        <w:rPr>
          <w:rtl w:val="true"/>
        </w:rPr>
        <w:t>וההידרדרות במצבו הנפשי ואישפוזו הממושך עקב כך</w:t>
      </w:r>
      <w:r>
        <w:rPr>
          <w:rtl w:val="true"/>
        </w:rPr>
        <w:t xml:space="preserve">. </w:t>
      </w:r>
      <w:r>
        <w:rPr>
          <w:rtl w:val="true"/>
        </w:rPr>
        <w:t xml:space="preserve">עוד הודגש כי הסירוב הנזכר בגזר הדין להשתלב במסגרת טיפולית אינו רלוונטי שכן הוא משנת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לפני הגשת כתב האישום</w:t>
      </w:r>
      <w:r>
        <w:rPr>
          <w:rtl w:val="true"/>
        </w:rPr>
        <w:t xml:space="preserve">; </w:t>
      </w:r>
      <w:r>
        <w:rPr>
          <w:rtl w:val="true"/>
        </w:rPr>
        <w:t>וכי סמוך למתן גזר הדין נקבע בוועדת סל השיקום כי המערער ייכנס למסגרת של דיור מוגן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לבסוף נטען כי לא </w:t>
      </w:r>
      <w:r>
        <w:rPr>
          <w:rtl w:val="true"/>
        </w:rPr>
        <w:t>נ</w:t>
      </w:r>
      <w:r>
        <w:rPr>
          <w:rtl w:val="true"/>
        </w:rPr>
        <w:t>יתן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מספיק</w:t>
      </w:r>
      <w:r>
        <w:rPr>
          <w:rtl w:val="true"/>
        </w:rPr>
        <w:t xml:space="preserve"> להיעדר עבר פלילי של המערער</w:t>
      </w:r>
      <w:r>
        <w:rPr>
          <w:rtl w:val="true"/>
        </w:rPr>
        <w:t xml:space="preserve">, </w:t>
      </w:r>
      <w:r>
        <w:rPr>
          <w:rtl w:val="true"/>
        </w:rPr>
        <w:t>ולהערכת המסוכנות הפרטית שהוגשה מטעמו המציגה את המסוכנות המינית הנשקפת מהמערער באור מתון יותר</w:t>
      </w:r>
      <w:r>
        <w:rPr>
          <w:rtl w:val="true"/>
        </w:rPr>
        <w:t xml:space="preserve">, </w:t>
      </w:r>
      <w:r>
        <w:rPr>
          <w:rtl w:val="true"/>
        </w:rPr>
        <w:t>ומעידה גם על מידת הגוזמה והרברבנות בדברים שמסר בהערכת המסוכנות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סומכת ידיה על פסק הדין של בית המשפט המחוזי וסבורה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 xml:space="preserve">המשיבה מדגישה כי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המגונה</w:t>
      </w:r>
      <w:r>
        <w:rPr>
          <w:rtl w:val="true"/>
        </w:rPr>
        <w:t xml:space="preserve"> בנסיבות העניין מחייבת עונש מינימום הכולל מאסר בפועל</w:t>
      </w:r>
      <w:r>
        <w:rPr>
          <w:rtl w:val="true"/>
        </w:rPr>
        <w:t xml:space="preserve">, </w:t>
      </w:r>
      <w:r>
        <w:rPr>
          <w:rtl w:val="true"/>
        </w:rPr>
        <w:t>וכי אין בנמצא טעמים מיוחדים שיצדיקו סטייה מכך</w:t>
      </w:r>
      <w:r>
        <w:rPr>
          <w:rtl w:val="true"/>
        </w:rPr>
        <w:t xml:space="preserve">. </w:t>
      </w:r>
      <w:r>
        <w:rPr>
          <w:rtl w:val="true"/>
        </w:rPr>
        <w:t>המשיבה חזרה והדגישה את חומרת נסיבות המקרה</w:t>
      </w:r>
      <w:r>
        <w:rPr>
          <w:rtl w:val="true"/>
        </w:rPr>
        <w:t xml:space="preserve">, </w:t>
      </w:r>
      <w:r>
        <w:rPr>
          <w:rtl w:val="true"/>
        </w:rPr>
        <w:t>וציינה כי העובדה שהדברים לא התפתחו לכדי אירוע חמור יותר היא במידה רבה מקרית</w:t>
      </w:r>
      <w:r>
        <w:rPr>
          <w:rtl w:val="true"/>
        </w:rPr>
        <w:t xml:space="preserve">. </w:t>
      </w:r>
      <w:r>
        <w:rPr>
          <w:rtl w:val="true"/>
        </w:rPr>
        <w:t>עוד נסמכת המשיבה על הערכת המסוכנות והתסקיר המשלים שנערכו לקראת דיון זה</w:t>
      </w:r>
      <w:r>
        <w:rPr>
          <w:rtl w:val="true"/>
        </w:rPr>
        <w:t xml:space="preserve">, </w:t>
      </w:r>
      <w:r>
        <w:rPr>
          <w:rtl w:val="true"/>
        </w:rPr>
        <w:t>ומדגישה כי מהם עולה כי אין אפיק שיקומי וטיפולי ממשי</w:t>
      </w:r>
      <w:r>
        <w:rPr>
          <w:rtl w:val="true"/>
        </w:rPr>
        <w:t xml:space="preserve">. </w:t>
      </w:r>
      <w:r>
        <w:rPr>
          <w:rtl w:val="true"/>
        </w:rPr>
        <w:t xml:space="preserve">לבסוף טוענת </w:t>
      </w: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 </w:t>
      </w:r>
      <w:r>
        <w:rPr>
          <w:rtl w:val="true"/>
        </w:rPr>
        <w:t>מפסקי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שהציג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עוסקים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 xml:space="preserve"> </w:t>
      </w:r>
      <w:r>
        <w:rPr>
          <w:rtl w:val="true"/>
        </w:rPr>
        <w:t>בסייג</w:t>
      </w:r>
      <w:r>
        <w:rPr>
          <w:rtl w:val="true"/>
        </w:rPr>
        <w:t xml:space="preserve"> </w:t>
      </w:r>
      <w:r>
        <w:rPr>
          <w:rtl w:val="true"/>
        </w:rPr>
        <w:t>לאחריות</w:t>
      </w:r>
      <w:r>
        <w:rPr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התעוררה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כנזכר לעיל</w:t>
      </w:r>
      <w:r>
        <w:rPr>
          <w:rtl w:val="true"/>
        </w:rPr>
        <w:t xml:space="preserve">, </w:t>
      </w:r>
      <w:r>
        <w:rPr>
          <w:rtl w:val="true"/>
        </w:rPr>
        <w:t xml:space="preserve">הונחו לפנינו תסקיר משלים מטעם שירות המבחן מיום </w:t>
      </w:r>
      <w:r>
        <w:rPr/>
        <w:t>30.3.2019</w:t>
      </w:r>
      <w:r>
        <w:rPr>
          <w:rtl w:val="true"/>
        </w:rPr>
        <w:t xml:space="preserve"> </w:t>
      </w:r>
      <w:r>
        <w:rPr>
          <w:rtl w:val="true"/>
        </w:rPr>
        <w:t>והערכת מסוכנות</w:t>
      </w:r>
      <w:r>
        <w:rPr>
          <w:rtl w:val="true"/>
        </w:rPr>
        <w:t xml:space="preserve">. </w:t>
      </w:r>
      <w:r>
        <w:rPr>
          <w:rtl w:val="true"/>
        </w:rPr>
        <w:t xml:space="preserve">בתסקיר צוין כי בשלהי שנת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לאחר סיום אשפוזו האחרון</w:t>
      </w:r>
      <w:r>
        <w:rPr>
          <w:rtl w:val="true"/>
        </w:rPr>
        <w:t xml:space="preserve">, </w:t>
      </w:r>
      <w:r>
        <w:rPr>
          <w:rtl w:val="true"/>
        </w:rPr>
        <w:t>אושר עבור המערער סל שיקום שכלל שילוב בדיור מוגן</w:t>
      </w:r>
      <w:r>
        <w:rPr>
          <w:rtl w:val="true"/>
        </w:rPr>
        <w:t xml:space="preserve">, </w:t>
      </w:r>
      <w:r>
        <w:rPr>
          <w:rtl w:val="true"/>
        </w:rPr>
        <w:t>אך המערער דחה אותו משום שלא רצה להתגורר עם אנשים נוספים</w:t>
      </w:r>
      <w:r>
        <w:rPr>
          <w:rtl w:val="true"/>
        </w:rPr>
        <w:t xml:space="preserve">. </w:t>
      </w:r>
      <w:r>
        <w:rPr>
          <w:rtl w:val="true"/>
        </w:rPr>
        <w:t>צוין כי נסיבות חייו של המערער מורכבות</w:t>
      </w:r>
      <w:r>
        <w:rPr>
          <w:rtl w:val="true"/>
        </w:rPr>
        <w:t xml:space="preserve">, </w:t>
      </w:r>
      <w:r>
        <w:rPr>
          <w:rtl w:val="true"/>
        </w:rPr>
        <w:t>כי הוא מתקשה לתפקד ולשמור על יציבות</w:t>
      </w:r>
      <w:r>
        <w:rPr>
          <w:rtl w:val="true"/>
        </w:rPr>
        <w:t xml:space="preserve">, </w:t>
      </w:r>
      <w:r>
        <w:rPr>
          <w:rtl w:val="true"/>
        </w:rPr>
        <w:t>וכי אין לו מערכות תמיכה של ממש</w:t>
      </w:r>
      <w:r>
        <w:rPr>
          <w:rtl w:val="true"/>
        </w:rPr>
        <w:t xml:space="preserve">. </w:t>
      </w:r>
      <w:r>
        <w:rPr>
          <w:rtl w:val="true"/>
        </w:rPr>
        <w:t>ביחס לעבירות שביצע ניכר כי המערער עדיין מטשטש וממזער את חומרת מעשיו ואת השפעתם על המתלוננת</w:t>
      </w:r>
      <w:r>
        <w:rPr>
          <w:rtl w:val="true"/>
        </w:rPr>
        <w:t xml:space="preserve">. </w:t>
      </w:r>
      <w:r>
        <w:rPr>
          <w:rtl w:val="true"/>
        </w:rPr>
        <w:t>גם הפעם התרשם שירות המבחן כי רצון המערער להשתתף בהליכי טיפול אינו אותנטי אלא מכוון להקלה בגזר דינו</w:t>
      </w:r>
      <w:r>
        <w:rPr>
          <w:rtl w:val="true"/>
        </w:rPr>
        <w:t xml:space="preserve">. </w:t>
      </w:r>
      <w:r>
        <w:rPr>
          <w:rtl w:val="true"/>
        </w:rPr>
        <w:t>בסיכום הדברים ציין שירות המבחן כי לא ניתן להעריך עד כמה יתמיד המערער בטיפול התרופתי</w:t>
      </w:r>
      <w:r>
        <w:rPr>
          <w:rtl w:val="true"/>
        </w:rPr>
        <w:t xml:space="preserve">; </w:t>
      </w:r>
      <w:r>
        <w:rPr>
          <w:rtl w:val="true"/>
        </w:rPr>
        <w:t>כי אין מוטיבציה כנה להשתלבות בהליך טיפולי ייעודי לעברייני מין</w:t>
      </w:r>
      <w:r>
        <w:rPr>
          <w:rtl w:val="true"/>
        </w:rPr>
        <w:t xml:space="preserve">; </w:t>
      </w:r>
      <w:r>
        <w:rPr>
          <w:rtl w:val="true"/>
        </w:rPr>
        <w:t>וכי ממילא ספק רב אם יש בידי המערער את היכולת לעשות כן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המרכז להערכת מסוכנות הגיש גם הוא חוות דעת נוספת ביום </w:t>
      </w:r>
      <w:r>
        <w:rPr/>
        <w:t>18.3.2019</w:t>
      </w:r>
      <w:r>
        <w:rPr>
          <w:rtl w:val="true"/>
        </w:rPr>
        <w:t xml:space="preserve">. </w:t>
      </w:r>
      <w:r>
        <w:rPr>
          <w:rtl w:val="true"/>
        </w:rPr>
        <w:t>נמסר כי ההתרשמות מהמערער היא של אדם לא אמין</w:t>
      </w:r>
      <w:r>
        <w:rPr>
          <w:rtl w:val="true"/>
        </w:rPr>
        <w:t xml:space="preserve">, </w:t>
      </w:r>
      <w:r>
        <w:rPr>
          <w:rtl w:val="true"/>
        </w:rPr>
        <w:t>בעל קווי אישיות אימפולסיביים ומניפולטיביים</w:t>
      </w:r>
      <w:r>
        <w:rPr>
          <w:rtl w:val="true"/>
        </w:rPr>
        <w:t xml:space="preserve">. </w:t>
      </w:r>
      <w:r>
        <w:rPr>
          <w:rtl w:val="true"/>
        </w:rPr>
        <w:t>צוין כי חרף ניסיונו של המערער להותיר רושם שונה מכפי שהותיר בהערכת המסוכנות הראשונה</w:t>
      </w:r>
      <w:r>
        <w:rPr>
          <w:rtl w:val="true"/>
        </w:rPr>
        <w:t xml:space="preserve">, </w:t>
      </w:r>
      <w:r>
        <w:rPr>
          <w:rtl w:val="true"/>
        </w:rPr>
        <w:t>במהותם של דברים התמונה המצטיירת זהה</w:t>
      </w:r>
      <w:r>
        <w:rPr>
          <w:rtl w:val="true"/>
        </w:rPr>
        <w:t xml:space="preserve">, </w:t>
      </w:r>
      <w:r>
        <w:rPr>
          <w:rtl w:val="true"/>
        </w:rPr>
        <w:t>לרבות היעדרו של רצון כן להשתלבות בהליך טיפולי</w:t>
      </w:r>
      <w:r>
        <w:rPr>
          <w:rtl w:val="true"/>
        </w:rPr>
        <w:t xml:space="preserve">. </w:t>
      </w:r>
      <w:r>
        <w:rPr>
          <w:rtl w:val="true"/>
        </w:rPr>
        <w:t>על רקע זה הוערכה מסוכנות המערער כבינונית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 xml:space="preserve">תוך שצוין כי ישנו סיכון מיוחד בהימצאות לבד עם קטינות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). </w:t>
      </w:r>
      <w:bookmarkStart w:id="20" w:name="Carmel"/>
      <w:bookmarkEnd w:id="20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ששקלנו את טענות הצדדים בכתב ובדיון לפנינו</w:t>
      </w:r>
      <w:r>
        <w:rPr>
          <w:rtl w:val="true"/>
        </w:rPr>
        <w:t xml:space="preserve">, </w:t>
      </w:r>
      <w:r>
        <w:rPr>
          <w:rtl w:val="true"/>
        </w:rPr>
        <w:t>הגענו למסקנה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 הערעור לא תיטה להתערב בחומרת העונש שהטילה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שבהם ניכרת סטייה ברורה ממדיניות הענישה הנהוגה בנסיבות דומות</w:t>
      </w:r>
      <w:r>
        <w:rPr>
          <w:rtl w:val="true"/>
        </w:rPr>
        <w:t xml:space="preserve">, </w:t>
      </w:r>
      <w:r>
        <w:rPr>
          <w:rtl w:val="true"/>
        </w:rPr>
        <w:t xml:space="preserve">או אם נפלה בגזר הדין טעות מהותית או במקרים שבהם מתקיימות נסיבות חריגות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שהאב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(</w:t>
      </w:r>
      <w:r>
        <w:rPr/>
        <w:t>1.12.2016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7661/14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4.1.2016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5847/15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(</w:t>
      </w:r>
      <w:r>
        <w:rPr>
          <w:sz w:val="28"/>
        </w:rPr>
        <w:t>7.6.2016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לא כך בענייננו</w:t>
      </w:r>
      <w:r>
        <w:rPr>
          <w:rtl w:val="true"/>
        </w:rPr>
        <w:t xml:space="preserve">. </w:t>
      </w:r>
      <w:r>
        <w:rPr>
          <w:rtl w:val="true"/>
        </w:rPr>
        <w:t xml:space="preserve">ראשית יצוין כי נקודת המוצא לגזירת עונשו של המערער היא כי הרשעה במעשה מגונה בקטינה בנסיבות דנן מחייבת הטלת עונש מאסר מינימלי של שנתיים וחצי </w:t>
      </w:r>
      <w:r>
        <w:rPr>
          <w:rtl w:val="true"/>
        </w:rPr>
        <w:t>–</w:t>
      </w:r>
      <w:r>
        <w:rPr>
          <w:rtl w:val="true"/>
        </w:rPr>
        <w:t xml:space="preserve"> והעונש הכולל שהוטל על המערער לא חרג מרף מינימום זה </w:t>
      </w:r>
      <w:r>
        <w:rPr>
          <w:rtl w:val="true"/>
        </w:rPr>
        <w:t>–</w:t>
      </w:r>
      <w:r>
        <w:rPr>
          <w:rtl w:val="true"/>
        </w:rPr>
        <w:t xml:space="preserve"> שאי אפשר שכולו יהיה על תנאי אלא בהתקיים </w:t>
      </w:r>
      <w:r>
        <w:rPr>
          <w:rtl w:val="true"/>
        </w:rPr>
        <w:t>"</w:t>
      </w:r>
      <w:r>
        <w:rPr>
          <w:rtl w:val="true"/>
        </w:rPr>
        <w:t>טעמים מיוחדים</w:t>
      </w:r>
      <w:r>
        <w:rPr>
          <w:rtl w:val="true"/>
        </w:rPr>
        <w:t>" (</w:t>
      </w:r>
      <w:r>
        <w:rPr>
          <w:rtl w:val="true"/>
        </w:rPr>
        <w:t xml:space="preserve">ראו </w:t>
      </w:r>
      <w:hyperlink r:id="rId3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3">
        <w:r>
          <w:rPr>
            <w:rStyle w:val="Hyperlink"/>
            <w:color w:val="0000FF"/>
            <w:u w:val="single"/>
          </w:rPr>
          <w:t>355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)-(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שמואל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>
          <w:sz w:val="28"/>
        </w:rPr>
        <w:t>27.9.2016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מצאנו כי עונשו של המערער סוטה ממדיניות הענישה הראויה</w:t>
      </w:r>
      <w:r>
        <w:rPr>
          <w:rtl w:val="true"/>
        </w:rPr>
        <w:t xml:space="preserve">. </w:t>
      </w:r>
      <w:r>
        <w:rPr>
          <w:rtl w:val="true"/>
        </w:rPr>
        <w:t>בית משפט זה עמד לא אחת על חומרתן של עבירות מין ועל האינטרס הציבורי שבהרתעת עברייני מין</w:t>
      </w:r>
      <w:r>
        <w:rPr>
          <w:rtl w:val="true"/>
        </w:rPr>
        <w:t xml:space="preserve">, </w:t>
      </w:r>
      <w:r>
        <w:rPr>
          <w:rtl w:val="true"/>
        </w:rPr>
        <w:t>בייחוד כשמדובר בקטינים</w:t>
      </w:r>
      <w:r>
        <w:rPr>
          <w:rtl w:val="true"/>
        </w:rPr>
        <w:t xml:space="preserve">. </w:t>
      </w:r>
      <w:r>
        <w:rPr>
          <w:rtl w:val="true"/>
        </w:rPr>
        <w:t>פערי הכוחות המוגברים בין הפוגע לבין הקטין</w:t>
      </w:r>
      <w:r>
        <w:rPr>
          <w:rtl w:val="true"/>
        </w:rPr>
        <w:t xml:space="preserve">; </w:t>
      </w:r>
      <w:r>
        <w:rPr>
          <w:rtl w:val="true"/>
        </w:rPr>
        <w:t>גילם הצעיר ותמימותם של אלה ההופכת אותם לפגיעים במיוחד</w:t>
      </w:r>
      <w:r>
        <w:rPr>
          <w:rtl w:val="true"/>
        </w:rPr>
        <w:t xml:space="preserve">; </w:t>
      </w:r>
      <w:r>
        <w:rPr>
          <w:rtl w:val="true"/>
        </w:rPr>
        <w:t>והחשש מפני ההשלכות ארוכות הטווח על חייהם</w:t>
      </w:r>
      <w:r>
        <w:rPr>
          <w:rtl w:val="true"/>
        </w:rPr>
        <w:t xml:space="preserve">, </w:t>
      </w:r>
      <w:r>
        <w:rPr>
          <w:rtl w:val="true"/>
        </w:rPr>
        <w:t xml:space="preserve">מחייבת ענישה הולמת ומרתיעה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6882/14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11.11.2015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מעשי המערער בוצעו בקטינה צעירה</w:t>
      </w:r>
      <w:r>
        <w:rPr>
          <w:rtl w:val="true"/>
        </w:rPr>
        <w:t xml:space="preserve">, </w:t>
      </w:r>
      <w:r>
        <w:rPr>
          <w:rtl w:val="true"/>
        </w:rPr>
        <w:t>תחת מצג שווא</w:t>
      </w:r>
      <w:r>
        <w:rPr>
          <w:rtl w:val="true"/>
        </w:rPr>
        <w:t xml:space="preserve">, </w:t>
      </w:r>
      <w:r>
        <w:rPr>
          <w:rtl w:val="true"/>
        </w:rPr>
        <w:t>ותוך ניצול מעמדו כאבי חברתה</w:t>
      </w:r>
      <w:r>
        <w:rPr>
          <w:rtl w:val="true"/>
        </w:rPr>
        <w:t xml:space="preserve">. </w:t>
      </w:r>
      <w:r>
        <w:rPr>
          <w:rtl w:val="true"/>
        </w:rPr>
        <w:t>כאשר ניסתה המתלוננת לחמוק ממנו מנע זאת ממנה תחילה בכח</w:t>
      </w:r>
      <w:r>
        <w:rPr>
          <w:rtl w:val="true"/>
        </w:rPr>
        <w:t xml:space="preserve">, </w:t>
      </w:r>
      <w:r>
        <w:rPr>
          <w:rtl w:val="true"/>
        </w:rPr>
        <w:t>ואיפשר לה לצאת מן התא ברגע האחרון ממש</w:t>
      </w:r>
      <w:r>
        <w:rPr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>גם לאחר מעשה</w:t>
      </w:r>
      <w:r>
        <w:rPr>
          <w:rtl w:val="true"/>
        </w:rPr>
        <w:t xml:space="preserve">, </w:t>
      </w:r>
      <w:r>
        <w:rPr>
          <w:rtl w:val="true"/>
        </w:rPr>
        <w:t>וחרף הזדמנויות רבות שניתנו לו</w:t>
      </w:r>
      <w:r>
        <w:rPr>
          <w:rtl w:val="true"/>
        </w:rPr>
        <w:t xml:space="preserve">, </w:t>
      </w:r>
      <w:r>
        <w:rPr>
          <w:rtl w:val="true"/>
        </w:rPr>
        <w:t>לא הביע המערער חרטה או אשמה על מעשיו ולא נטל אחריות למעשיו</w:t>
      </w:r>
      <w:r>
        <w:rPr>
          <w:rtl w:val="true"/>
        </w:rPr>
        <w:t xml:space="preserve">. </w:t>
      </w:r>
      <w:r>
        <w:rPr>
          <w:rtl w:val="true"/>
        </w:rPr>
        <w:t>המערער עדיין מצהיר כי אינו תופס עצמו כמסוכן</w:t>
      </w:r>
      <w:r>
        <w:rPr>
          <w:rtl w:val="true"/>
        </w:rPr>
        <w:t xml:space="preserve">, </w:t>
      </w:r>
      <w:r>
        <w:rPr>
          <w:rtl w:val="true"/>
        </w:rPr>
        <w:t>הגם שהערכת המסוכנות הנשקפת ממנו עודנה בינונית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בפרט בקשר לקטינות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מצבו הנפשי של המערער הוא שיקול רלוונטי בגזירת עונשו</w:t>
      </w:r>
      <w:r>
        <w:rPr>
          <w:rtl w:val="true"/>
        </w:rPr>
        <w:t xml:space="preserve">. </w:t>
      </w:r>
      <w:r>
        <w:rPr>
          <w:rtl w:val="true"/>
        </w:rPr>
        <w:t>בית המשפט נתן משקל ממשי לנתון זה לאחר שאיזן בין מכלול השיקולים הצריכים לעניין</w:t>
      </w:r>
      <w:r>
        <w:rPr>
          <w:rtl w:val="true"/>
        </w:rPr>
        <w:t xml:space="preserve">. </w:t>
      </w:r>
      <w:r>
        <w:rPr>
          <w:rtl w:val="true"/>
        </w:rPr>
        <w:t xml:space="preserve">לא שוכנענו כי ישנם </w:t>
      </w:r>
      <w:r>
        <w:rPr>
          <w:rtl w:val="true"/>
        </w:rPr>
        <w:t>"</w:t>
      </w:r>
      <w:r>
        <w:rPr>
          <w:rtl w:val="true"/>
        </w:rPr>
        <w:t>טעמים מיוחדים</w:t>
      </w:r>
      <w:r>
        <w:rPr>
          <w:rtl w:val="true"/>
        </w:rPr>
        <w:t xml:space="preserve">" </w:t>
      </w:r>
      <w:r>
        <w:rPr>
          <w:rtl w:val="true"/>
        </w:rPr>
        <w:t xml:space="preserve">כאמור </w:t>
      </w:r>
      <w:hyperlink r:id="rId3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להשית על המערער עונש שכולו על תנאי</w:t>
      </w:r>
      <w:r>
        <w:rPr>
          <w:rtl w:val="true"/>
        </w:rPr>
        <w:t xml:space="preserve">, </w:t>
      </w:r>
      <w:r>
        <w:rPr>
          <w:rtl w:val="true"/>
        </w:rPr>
        <w:t xml:space="preserve">או כי מצבו הנפשי לבדו הוא בבחינת </w:t>
      </w:r>
      <w:r>
        <w:rPr>
          <w:rtl w:val="true"/>
        </w:rPr>
        <w:t>"</w:t>
      </w:r>
      <w:r>
        <w:rPr>
          <w:rtl w:val="true"/>
        </w:rPr>
        <w:t>טעמים מיוחדים</w:t>
      </w:r>
      <w:r>
        <w:rPr>
          <w:rtl w:val="true"/>
        </w:rPr>
        <w:t xml:space="preserve">"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אין בידינו לקבל את טענותיו של המערער שלפיהן יש לסטות ממתחם הענישה בענייננו לקולא</w:t>
      </w:r>
      <w:r>
        <w:rPr>
          <w:rtl w:val="true"/>
        </w:rPr>
        <w:t xml:space="preserve">, </w:t>
      </w:r>
      <w:r>
        <w:rPr>
          <w:rtl w:val="true"/>
        </w:rPr>
        <w:t>לקבוע את עונשו לפי שיקולי שיקום</w:t>
      </w:r>
      <w:r>
        <w:rPr>
          <w:rtl w:val="true"/>
        </w:rPr>
        <w:t xml:space="preserve">, </w:t>
      </w:r>
      <w:r>
        <w:rPr>
          <w:rtl w:val="true"/>
        </w:rPr>
        <w:t>ולאפשר לו להשתלב באפיקים טיפוליים</w:t>
      </w:r>
      <w:r>
        <w:rPr>
          <w:rtl w:val="true"/>
        </w:rPr>
        <w:t>-</w:t>
      </w:r>
      <w:r>
        <w:rPr>
          <w:rtl w:val="true"/>
        </w:rPr>
        <w:t>שיקומיים חלף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37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כפי שפורט בהרחבה בחלק הקודם של דיוננו</w:t>
      </w:r>
      <w:r>
        <w:rPr>
          <w:rtl w:val="true"/>
        </w:rPr>
        <w:t xml:space="preserve">, </w:t>
      </w:r>
      <w:r>
        <w:rPr>
          <w:rtl w:val="true"/>
        </w:rPr>
        <w:t>בית המשפט קמא דחה את מתן גזר הדין בעניינו של המערער ואפשר תקופה ממשית לצורך בחינת היתכנותה של חלופה מעין זו</w:t>
      </w:r>
      <w:r>
        <w:rPr>
          <w:rtl w:val="true"/>
        </w:rPr>
        <w:t xml:space="preserve">. </w:t>
      </w:r>
      <w:r>
        <w:rPr>
          <w:rtl w:val="true"/>
        </w:rPr>
        <w:t>לאורך התהליך כולו</w:t>
      </w:r>
      <w:r>
        <w:rPr>
          <w:rtl w:val="true"/>
        </w:rPr>
        <w:t xml:space="preserve">, </w:t>
      </w:r>
      <w:r>
        <w:rPr>
          <w:rtl w:val="true"/>
        </w:rPr>
        <w:t xml:space="preserve">ההתרשמות הכוללת של גורמי האבחון והטיפול מהמערער </w:t>
      </w:r>
      <w:r>
        <w:rPr>
          <w:rtl w:val="true"/>
        </w:rPr>
        <w:t>–</w:t>
      </w:r>
      <w:r>
        <w:rPr>
          <w:rtl w:val="true"/>
        </w:rPr>
        <w:t xml:space="preserve"> שהתבססה על סדרת מפגשים והערכות </w:t>
      </w:r>
      <w:r>
        <w:rPr>
          <w:rtl w:val="true"/>
        </w:rPr>
        <w:t>–</w:t>
      </w:r>
      <w:r>
        <w:rPr>
          <w:rtl w:val="true"/>
        </w:rPr>
        <w:t xml:space="preserve"> הייתה כי המוטיבציה של המערער בטיפול אינה שלמה ומכוונת בעיקר להקלה בגזר דינו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צוין כי ספק אם יש למערער את משאבי הנפש לעבור תהליך טיפולי הולם ומפחית מסוכנות</w:t>
      </w:r>
      <w:r>
        <w:rPr>
          <w:rtl w:val="true"/>
        </w:rPr>
        <w:t xml:space="preserve">. </w:t>
      </w:r>
      <w:r>
        <w:rPr>
          <w:rtl w:val="true"/>
        </w:rPr>
        <w:t>בין כך בין אחרת</w:t>
      </w:r>
      <w:r>
        <w:rPr>
          <w:rtl w:val="true"/>
        </w:rPr>
        <w:t xml:space="preserve">, </w:t>
      </w:r>
      <w:r>
        <w:rPr>
          <w:rtl w:val="true"/>
        </w:rPr>
        <w:t>בהיעדר חלופה טיפולית</w:t>
      </w:r>
      <w:r>
        <w:rPr>
          <w:rtl w:val="true"/>
        </w:rPr>
        <w:t>-</w:t>
      </w:r>
      <w:r>
        <w:rPr>
          <w:rtl w:val="true"/>
        </w:rPr>
        <w:t>שיקומית קונקרטית</w:t>
      </w:r>
      <w:r>
        <w:rPr>
          <w:rtl w:val="true"/>
        </w:rPr>
        <w:t xml:space="preserve">, </w:t>
      </w:r>
      <w:r>
        <w:rPr>
          <w:rtl w:val="true"/>
        </w:rPr>
        <w:t>הגם שמקובלת עלינו טענת המערער כי מצב זה נובע במידת מה גם מנסיבות חיצוניות שאינן תלויות בו</w:t>
      </w:r>
      <w:r>
        <w:rPr>
          <w:rtl w:val="true"/>
        </w:rPr>
        <w:t xml:space="preserve">, </w:t>
      </w:r>
      <w:r>
        <w:rPr>
          <w:rtl w:val="true"/>
        </w:rPr>
        <w:t xml:space="preserve">אין בסיס להתערב בקביעת בית המשפט </w:t>
      </w:r>
      <w:r>
        <w:rPr>
          <w:rtl w:val="true"/>
        </w:rPr>
        <w:t>–</w:t>
      </w:r>
      <w:r>
        <w:rPr>
          <w:rtl w:val="true"/>
        </w:rPr>
        <w:t xml:space="preserve"> שבחן לעומק את מכלול החומר שנפרש לפניו בהקשר זה </w:t>
      </w:r>
      <w:r>
        <w:rPr>
          <w:rtl w:val="true"/>
        </w:rPr>
        <w:t>–</w:t>
      </w:r>
      <w:r>
        <w:rPr>
          <w:rtl w:val="true"/>
        </w:rPr>
        <w:t xml:space="preserve"> כי יש להשית על המערער עונש מאסר בפועל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לבקשת המערער ובהסכמת המשיבה</w:t>
      </w:r>
      <w:r>
        <w:rPr>
          <w:rtl w:val="true"/>
        </w:rPr>
        <w:t xml:space="preserve">, </w:t>
      </w:r>
      <w:r>
        <w:rPr>
          <w:rtl w:val="true"/>
        </w:rPr>
        <w:t>יתווסף לעונש המאסר בפועל שהושת עליו יום אחד</w:t>
      </w:r>
      <w:r>
        <w:rPr>
          <w:rtl w:val="true"/>
        </w:rPr>
        <w:t xml:space="preserve">, </w:t>
      </w:r>
      <w:r>
        <w:rPr>
          <w:rtl w:val="true"/>
        </w:rPr>
        <w:t xml:space="preserve">מטעמי שחרור מנהלי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tl w:val="true"/>
        </w:rPr>
        <w:t xml:space="preserve"> ל</w:t>
      </w:r>
      <w:hyperlink r:id="rId4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16.5.2019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ימ</w:t>
      </w:r>
      <w:r>
        <w:rPr>
          <w:rtl w:val="true"/>
        </w:rPr>
        <w:t>"</w:t>
      </w:r>
      <w:r>
        <w:rPr>
          <w:rtl w:val="true"/>
        </w:rPr>
        <w:t>ר קישון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16.4.2019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18087000</w:t>
      </w:r>
      <w:r>
        <w:rPr>
          <w:sz w:val="16"/>
          <w:rtl w:val="true"/>
        </w:rPr>
        <w:t>_</w:t>
      </w:r>
      <w:r>
        <w:rPr>
          <w:sz w:val="16"/>
        </w:rPr>
        <w:t>M10.docx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54678313-8700/18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8700/18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.h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b.1" TargetMode="External"/><Relationship Id="rId7" Type="http://schemas.openxmlformats.org/officeDocument/2006/relationships/hyperlink" Target="http://www.nevo.co.il/law/70301/348.b" TargetMode="External"/><Relationship Id="rId8" Type="http://schemas.openxmlformats.org/officeDocument/2006/relationships/hyperlink" Target="http://www.nevo.co.il/law/70301/355.a." TargetMode="External"/><Relationship Id="rId9" Type="http://schemas.openxmlformats.org/officeDocument/2006/relationships/hyperlink" Target="http://www.nevo.co.il/law/70301/355.b" TargetMode="External"/><Relationship Id="rId10" Type="http://schemas.openxmlformats.org/officeDocument/2006/relationships/hyperlink" Target="http://www.nevo.co.il/law/72507" TargetMode="External"/><Relationship Id="rId11" Type="http://schemas.openxmlformats.org/officeDocument/2006/relationships/hyperlink" Target="http://www.nevo.co.il/law/72507/3.a.3" TargetMode="External"/><Relationship Id="rId12" Type="http://schemas.openxmlformats.org/officeDocument/2006/relationships/hyperlink" Target="http://www.nevo.co.il/law/72507/5.a" TargetMode="External"/><Relationship Id="rId13" Type="http://schemas.openxmlformats.org/officeDocument/2006/relationships/hyperlink" Target="http://www.nevo.co.il/law/72507/6a" TargetMode="External"/><Relationship Id="rId14" Type="http://schemas.openxmlformats.org/officeDocument/2006/relationships/hyperlink" Target="http://www.nevo.co.il/law/75015" TargetMode="External"/><Relationship Id="rId15" Type="http://schemas.openxmlformats.org/officeDocument/2006/relationships/hyperlink" Target="http://www.nevo.co.il/law/75015/68c" TargetMode="External"/><Relationship Id="rId16" Type="http://schemas.openxmlformats.org/officeDocument/2006/relationships/hyperlink" Target="http://www.nevo.co.il/law/70301/355.b" TargetMode="External"/><Relationship Id="rId17" Type="http://schemas.openxmlformats.org/officeDocument/2006/relationships/hyperlink" Target="http://www.nevo.co.il/law/70301/40d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48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45.b.1" TargetMode="External"/><Relationship Id="rId22" Type="http://schemas.openxmlformats.org/officeDocument/2006/relationships/hyperlink" Target="http://www.nevo.co.il/law/70301/345.a.1" TargetMode="External"/><Relationship Id="rId23" Type="http://schemas.openxmlformats.org/officeDocument/2006/relationships/hyperlink" Target="http://www.nevo.co.il/law/72507/3.a.3" TargetMode="External"/><Relationship Id="rId24" Type="http://schemas.openxmlformats.org/officeDocument/2006/relationships/hyperlink" Target="http://www.nevo.co.il/law/72507/6a" TargetMode="External"/><Relationship Id="rId25" Type="http://schemas.openxmlformats.org/officeDocument/2006/relationships/hyperlink" Target="http://www.nevo.co.il/law/72507/5.a" TargetMode="External"/><Relationship Id="rId26" Type="http://schemas.openxmlformats.org/officeDocument/2006/relationships/hyperlink" Target="http://www.nevo.co.il/law/72507" TargetMode="External"/><Relationship Id="rId27" Type="http://schemas.openxmlformats.org/officeDocument/2006/relationships/hyperlink" Target="http://www.nevo.co.il/law/70301/34.h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0154649" TargetMode="External"/><Relationship Id="rId30" Type="http://schemas.openxmlformats.org/officeDocument/2006/relationships/hyperlink" Target="http://www.nevo.co.il/case/20857048" TargetMode="External"/><Relationship Id="rId31" Type="http://schemas.openxmlformats.org/officeDocument/2006/relationships/hyperlink" Target="http://www.nevo.co.il/case/20570636" TargetMode="External"/><Relationship Id="rId32" Type="http://schemas.openxmlformats.org/officeDocument/2006/relationships/hyperlink" Target="http://www.nevo.co.il/law/70301/348.b" TargetMode="External"/><Relationship Id="rId33" Type="http://schemas.openxmlformats.org/officeDocument/2006/relationships/hyperlink" Target="http://www.nevo.co.il/law/70301/355.a.;355.b" TargetMode="External"/><Relationship Id="rId34" Type="http://schemas.openxmlformats.org/officeDocument/2006/relationships/hyperlink" Target="http://www.nevo.co.il/case/21477247" TargetMode="External"/><Relationship Id="rId35" Type="http://schemas.openxmlformats.org/officeDocument/2006/relationships/hyperlink" Target="http://www.nevo.co.il/case/18107147" TargetMode="External"/><Relationship Id="rId36" Type="http://schemas.openxmlformats.org/officeDocument/2006/relationships/hyperlink" Target="http://www.nevo.co.il/law/70301/355.b" TargetMode="External"/><Relationship Id="rId37" Type="http://schemas.openxmlformats.org/officeDocument/2006/relationships/hyperlink" Target="http://www.nevo.co.il/law/70301/40d.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5015/68c" TargetMode="External"/><Relationship Id="rId40" Type="http://schemas.openxmlformats.org/officeDocument/2006/relationships/hyperlink" Target="http://www.nevo.co.il/law/75015" TargetMode="External"/><Relationship Id="rId41" Type="http://schemas.openxmlformats.org/officeDocument/2006/relationships/hyperlink" Target="http://supreme.court.gov.il/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2019-04-17T09:50:00Z</dcterms:created>
  <dc:creator>h4</dc:creator>
  <dc:description/>
  <cp:keywords/>
  <dc:language>en-IL</dc:language>
  <cp:lastModifiedBy>orly</cp:lastModifiedBy>
  <cp:lastPrinted>2019-04-16T10:04:00Z</cp:lastPrinted>
  <dcterms:modified xsi:type="dcterms:W3CDTF">2019-04-17T09:50:00Z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22262054;20154649;20857048;20570636;21477247;18107147</vt:lpwstr>
  </property>
  <property fmtid="{D5CDD505-2E9C-101B-9397-08002B2CF9AE}" pid="9" name="CITY">
    <vt:lpwstr/>
  </property>
  <property fmtid="{D5CDD505-2E9C-101B-9397-08002B2CF9AE}" pid="10" name="DATE">
    <vt:lpwstr>20190416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פוגלמן;מ' מזוז;ע' ברון</vt:lpwstr>
  </property>
  <property fmtid="{D5CDD505-2E9C-101B-9397-08002B2CF9AE}" pid="14" name="LAWLISTTMP1">
    <vt:lpwstr>70301/348.b:2;345.b.1;345.a.1;034.h;355.a;355.b:2;040d.a</vt:lpwstr>
  </property>
  <property fmtid="{D5CDD505-2E9C-101B-9397-08002B2CF9AE}" pid="15" name="LAWLISTTMP2">
    <vt:lpwstr>72507/003.a.3;006a;005.a</vt:lpwstr>
  </property>
  <property fmtid="{D5CDD505-2E9C-101B-9397-08002B2CF9AE}" pid="16" name="LAWLISTTMP3">
    <vt:lpwstr>75015/068c</vt:lpwstr>
  </property>
  <property fmtid="{D5CDD505-2E9C-101B-9397-08002B2CF9AE}" pid="17" name="LAWYER">
    <vt:lpwstr>קרן רוט;שרון רינגר;אביב חוזה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</vt:lpwstr>
  </property>
  <property fmtid="{D5CDD505-2E9C-101B-9397-08002B2CF9AE}" pid="50" name="NOSE31">
    <vt:lpwstr>עונשי מינימום</vt:lpwstr>
  </property>
  <property fmtid="{D5CDD505-2E9C-101B-9397-08002B2CF9AE}" pid="51" name="NOSE310">
    <vt:lpwstr/>
  </property>
  <property fmtid="{D5CDD505-2E9C-101B-9397-08002B2CF9AE}" pid="52" name="NOSE32">
    <vt:lpwstr>דרכי ענישה: מאסר-על-תנאי</vt:lpwstr>
  </property>
  <property fmtid="{D5CDD505-2E9C-101B-9397-08002B2CF9AE}" pid="53" name="NOSE33">
    <vt:lpwstr>מדיניות ענישה: עבירות מין בקטינים</vt:lpwstr>
  </property>
  <property fmtid="{D5CDD505-2E9C-101B-9397-08002B2CF9AE}" pid="54" name="NOSE34">
    <vt:lpwstr>שיקום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9000;8960;16970;17420</vt:lpwstr>
  </property>
  <property fmtid="{D5CDD505-2E9C-101B-9397-08002B2CF9AE}" pid="61" name="PADIDATE">
    <vt:lpwstr>20190417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8700</vt:lpwstr>
  </property>
  <property fmtid="{D5CDD505-2E9C-101B-9397-08002B2CF9AE}" pid="67" name="PROCYEAR">
    <vt:lpwstr>18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410120190416</vt:lpwstr>
  </property>
  <property fmtid="{D5CDD505-2E9C-101B-9397-08002B2CF9AE}" pid="71" name="TYPE_N_DATE">
    <vt:lpwstr>41020190416</vt:lpwstr>
  </property>
  <property fmtid="{D5CDD505-2E9C-101B-9397-08002B2CF9AE}" pid="72" name="VOLUME">
    <vt:lpwstr/>
  </property>
  <property fmtid="{D5CDD505-2E9C-101B-9397-08002B2CF9AE}" pid="73" name="WORDNUMPAGES">
    <vt:lpwstr>10</vt:lpwstr>
  </property>
</Properties>
</file>