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8759/17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פילמון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זרו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16197-09-16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מרדכי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710"/>
        <w:gridCol w:w="56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5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מנדלמן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נגה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מההפניה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כמחצית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יוזכר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המקבילים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חופפים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מההפניה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כמחצית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ובסה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יוזכר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המקבילים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16197-09-16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27.9.2017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 Unicode MS" w:cs="Arial TUR;Arial Unicode MS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ותקיפה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ונגד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הקטינה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טללה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כשבין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הקבוצות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בליל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22.8.2016</w:t>
      </w:r>
      <w:r>
        <w:rPr>
          <w:rtl w:val="true"/>
        </w:rPr>
        <w:t xml:space="preserve"> </w:t>
      </w:r>
      <w:r>
        <w:rPr>
          <w:rtl w:val="true"/>
        </w:rPr>
        <w:t>בילו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במועדון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מתקפלת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tl w:val="true"/>
        </w:rPr>
        <w:t xml:space="preserve">) </w:t>
      </w:r>
      <w:r>
        <w:rPr>
          <w:rtl w:val="true"/>
        </w:rPr>
        <w:t>מוטמנת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לבגדיו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הבידוק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מאבטח</w:t>
      </w:r>
      <w:r>
        <w:rPr>
          <w:rtl w:val="true"/>
        </w:rPr>
        <w:t xml:space="preserve">, </w:t>
      </w:r>
      <w:r>
        <w:rPr>
          <w:rtl w:val="true"/>
        </w:rPr>
        <w:t>שדרש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להפקידה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כתנאי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למועדון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התרצה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והפקיד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לצאתו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מהמועדון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05:00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והקטינה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למועדון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ושוחח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מהמועדון</w:t>
      </w:r>
      <w:r>
        <w:rPr>
          <w:rtl w:val="true"/>
        </w:rPr>
        <w:t xml:space="preserve">, </w:t>
      </w:r>
      <w:r>
        <w:rPr>
          <w:rtl w:val="true"/>
        </w:rPr>
        <w:t>כשהאחרון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לקטטה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חבטו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נדחפה</w:t>
      </w:r>
      <w:r>
        <w:rPr>
          <w:rtl w:val="true"/>
        </w:rPr>
        <w:t xml:space="preserve">, </w:t>
      </w:r>
      <w:r>
        <w:rPr>
          <w:rtl w:val="true"/>
        </w:rPr>
        <w:t>הוטחה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ובעודה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במוט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ובאבנים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באמצעותם</w:t>
      </w:r>
      <w:r>
        <w:rPr>
          <w:rtl w:val="true"/>
        </w:rPr>
        <w:t xml:space="preserve">, </w:t>
      </w:r>
      <w:r>
        <w:rPr>
          <w:rtl w:val="true"/>
        </w:rPr>
        <w:t>נופף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במהלך הקטטה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הצטייד באבנים והנאשם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הצטייד במוט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ויחד הם תקפו את הנאשמים </w:t>
      </w:r>
      <w:r>
        <w:rPr>
          <w:rFonts w:cs="Century" w:ascii="Century" w:hAnsi="Century"/>
        </w:rPr>
        <w:t>4-3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ואת המתלונן כך שהמערער השליך אבנים על המתלונן מטווח קצר והנאשם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הכה את הנאשמים </w:t>
      </w:r>
      <w:r>
        <w:rPr>
          <w:rFonts w:cs="Century" w:ascii="Century" w:hAnsi="Century"/>
        </w:rPr>
        <w:t>4-3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 המוט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והנאשם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הצטיידו באבנים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השליכו אותן על הנאשמים </w:t>
      </w:r>
      <w:r>
        <w:rPr>
          <w:rFonts w:cs="Century" w:ascii="Century" w:hAnsi="Century"/>
        </w:rPr>
        <w:t>4-3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ופגעו בגופם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עקר פנס מרכב שהיה במקום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והכה באמצעותו את הנאשם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זאת בזמן שהמערער והנאשם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מתקוטטים ביניהם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והנאשם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הכו באמצעות ידיהם את הנאשם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והמערער נגח בו מספר פעמים בראשו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הקטטה 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תקף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ואת הקטינה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ודקר באמצעות הסכין שהחזיק את המערער ואת הקטינה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הנאשם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אחז בפנס והכה באמצעותו את המערער או את 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כתוצאה מהמעשים המתוארים לעיל נפגע המתלונן בראשו ונפל ארצה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פונה לבית החולים והובהל לניתוח חירום בעקבות שבר דחיסה מורכב בגולגולתו ודימום מוחי כשהוא מורדם ומונשם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לנאשם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נגרמו חבלות קהות בפלג גופו העליון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שברים באף וחתך בישבנו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נגרמו שריטות באוזנו ובידו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מהדקירות נזקק המערער לניתוח בהרדמה מלאה ולתפירת פצעיו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הקטינה נזקקה לניתוח בשל דקירתה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במהלכו נכרתה אחת מכליותיה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16.5.2017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הודיעה המדינה על הסדר טיעון לפיו המערער והנאשמים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יודו ויורשעו בכתב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הסדר הטיעון לא כלל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לקרבה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Century"/>
          <w:rtl w:val="true"/>
        </w:rPr>
        <w:t>רבה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המערער על פי הודאתו בעבירות של חבלה בכוונה מחמירה ותקיפה בנסיבות מחמירות כאמור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הורשע בעבירה של חבלה חמורה בנסיבות מחמירות לפי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9">
        <w:r>
          <w:rPr>
            <w:rStyle w:val="Hyperlink"/>
            <w:rFonts w:cs="Century" w:ascii="Century" w:hAnsi="Century"/>
            <w:color w:val="0000FF"/>
            <w:u w:val="single"/>
          </w:rPr>
          <w:t>335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0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והנאשם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הורשע בעבירה של תגרה לפי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כפר בעבירות שיוחסו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וההליך בעניינו נדון בנפרד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27.9.2017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ניתן גזר הדין בעניינם של המערער ושל הנאשמים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בגזר הדין ציין בית המשפט המחוזי את הפגיעה הגבוהה בערכים המוגנים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שלמות גופו ובטחונו של המתלונן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בטחון הפרט והציבור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דחה את טענתם של המערער ושל 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לפיה עניינם קרוב לסייג הגנה עצמית וקבע כי הגם שהם חשו מאוימים בשלב כזה או אחר במהלך הקטטה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Times New Roman"/>
          <w:rtl w:val="true"/>
        </w:rPr>
        <w:t>התנהגותם היתה חמורה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נבעה מהגנה עצמית ואף לא התקרבה לכך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צויין כי המערער והנאשם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יכלו לסגת ולא עשו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ובמכלול נסיבות האירוע התנהגותם לא הייתה נחוצה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סבירה או פרופורציונלית ולכן לא התקרבה להגנה עצמית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בבואו לקבוע את מתחם הענישה התייחס בית המשפט לקיומו של מנעד ענישה רחב בגין העבירה של</w:t>
      </w:r>
      <w:r>
        <w:rPr>
          <w:rFonts w:ascii="Century" w:hAnsi="Century" w:cs="Century"/>
          <w:rtl w:val="true"/>
        </w:rPr>
        <w:t xml:space="preserve"> 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צויין שכל מקרה שונה ממשנהו בנסיבותיו הקונקרטיות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שסקר פסיקה רלוונטית בדבר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שמתחם הענישה בגין העבירות המיוחסות למערער נע בין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במסגרת השיקולים לקולא </w:t>
      </w:r>
      <w:r>
        <w:rPr>
          <w:rFonts w:ascii="Times New Roman" w:hAnsi="Times New Roman" w:cs="Times New Roman"/>
          <w:rtl w:val="true"/>
        </w:rPr>
        <w:t>נשקלו גילו הצעיר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הודאתו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ופציעתו באירוע באופן שאינו קל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העובדה שבעברו של המערער שתי הרשעות בעבירות אלימות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כשבמועד האירוע מושא כתב האישום היה תלוי ועומד נגדו מאסר מותנה שלא הרתיעו מלבצע את העבירות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מצא להתחשב בכך שהמערער ריצה מאסר בגין הרשעה קודמת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הקודם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במקביל למעצרו במסגרת ההליך הנוכחי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שתנוכה מתקופת המאסר שתושת עליו מחצית מתקופת המעצר המקביל למאסר הקודם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בסופו של יום נגזר עונשו של המערער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 בניכוי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</w:t>
      </w:r>
      <w:r>
        <w:rPr>
          <w:rtl w:val="true"/>
        </w:rPr>
        <w:t>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ותשלום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להשלמת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התמונה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יצויין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הושתו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הוטלו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משפטו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הסתיים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המחוזי התעלם מהסכמת הצדדים כפי שגובשה בהסדר הטיעון ולפיה בנסיבות ביצוע העבירה קיימת קרבה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cs="Century"/>
          <w:rtl w:val="true"/>
        </w:rPr>
        <w:t xml:space="preserve"> לסייג ההגנה עצמית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בעוד שהמחלוקת בין הצדדים נסבה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עוצמת</w:t>
      </w:r>
      <w:r>
        <w:rPr>
          <w:rFonts w:ascii="Century" w:hAnsi="Century" w:cs="Century"/>
          <w:rtl w:val="true"/>
        </w:rPr>
        <w:t xml:space="preserve"> הקרבה לסייג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היא רבה או מעטה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</w:t>
      </w:r>
      <w:r>
        <w:rPr>
          <w:rFonts w:ascii="Century" w:hAnsi="Century" w:cs="Century"/>
          <w:b/>
          <w:b/>
          <w:spacing w:val="0"/>
          <w:rtl w:val="true"/>
        </w:rPr>
        <w:t>אין לקבל כלל</w:t>
      </w:r>
      <w:r>
        <w:rPr>
          <w:rFonts w:ascii="Century" w:hAnsi="Century" w:cs="Century"/>
          <w:rtl w:val="true"/>
        </w:rPr>
        <w:t xml:space="preserve"> את טענת ההגנה כי הייתה קרבה לסייג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 טען המערער כי הסכמת הצדדים על כך שהייתה קרבה כלשהי לסייג לא באה לידי ביטוי בדרך של הקלה בעונש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לשיטתו של המערער בית המשפט ייחס למערער ולנאשם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עובדות שלא אוזכרו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ואלו מחמירות עם המערער שלא בהתאם לעובדות המוסכמות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נטען כי התנהגותם של 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ושל המתלונן בצוותא חמורה יותר מזו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לא ניתן משקל לכך שהנאשם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נופף לעבר המערער בסכין לפני שהותקף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ולכך שהמערער סבר שהנאשם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אוחז בסכין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 שהסתבר כנכון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לדידו של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נכון לקבוע כי התנהגות המערער בנסיבות המקרה עומדת בקרבה רבה מאוד לסייג ההגנה עצמית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 טען המערער כי בשל הסכמת הצדדים בנוגע לקרבה לסייג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התנהגותו של 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ונסיבותיו האישיות של המערער שאינן קשורות לביצוע העבירה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היה מקום לקבוע מתחם ענישה נמוך בהרבה וכן לגזור את עונשו של המערער בתחתית המתחם שנקבע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לא ניתן משקל מספק לנסיבות לקולא הקיימות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בכלל זה לפציעתו בקטטה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גילו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והיותו נתין אריתריאה שהגיע לארץ בגפו והוא אינו דובר את השפה העברית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 הזכיר המערער שבית המשפט המחוזי קבע כי יש לנכות ארבעה חודשי מאסר שהם מחצית מעונש המאסר שריצה במקביל למעצרו בהליך הנוכחי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טען לשגגה בעניין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בתיק הקודם הוא נדון לעשרה חודשי מאסר ולכן לשיטתו היה על בית המשפט להורות על ניכוי חמישה חודשים חלף ארבעה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טען המערער כי בית המשפט לא קבע שעונש המאסר בתיק זה יצטבר לעונש המאסר הקודם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כן בהתאם להוראת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יש להורות כי כל עשרת חודשי המאסר שהושתו עליו ירוצו באופן חופף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 כל האמור עותר המערער להקל באופן משמעותי מעונשו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לשיטתו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ניכויים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המשיבה ביקשה לדחות 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שנערך לפנינו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כי בית המשפט המחוזי לא סטה מההסכמה הדיונית אליה הגיעו הצדדים אלא דחה את עמדת ההגנה בדבר התקיימות סייג ההגנה עצמית תוך אימוץ עמדת המשיבה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עמדת המשיבה כפי שהוצגה בהליך מטה לא הכירה בקיומה של קרבה לסייג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ומכל מקום העיקר הוא כי בנסיבות המקרה לא חל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המצדיק התחשבות בעת קביעת 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הדגישה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נסיבות ביצוע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השלכות האירוע על המתלונן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עברו הפלילי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והעובדה שבזמן ביצוע העבירות היה המערער במעצר בית ועמד נגדו עונש מאסר מותנה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טענה המשיבה כי אין חובה לנכות את ימי המעצר החופפים לתקופת המאסר הקודם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בית המשפט עשה חסד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מקום להקלה נוספת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יוער כי תחילה טענה המשיבה כי גזר הדין בהליך דנן ניתן לאחר שהמערער סיים לרצות את המאסר הקודם ולכן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לא חל בנסיבות המקרה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בעקבות החלטתנו מיום </w:t>
      </w:r>
      <w:r>
        <w:rPr>
          <w:rFonts w:cs="Century" w:ascii="Century" w:hAnsi="Century"/>
        </w:rPr>
        <w:t>1.7.2018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הגישו הצדדים הודעות משלימות בהן הובהר כי בעת מתן גזר הדין המערער עדיין ריצה את עונש המאסר הקודם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בחינת טענות הצדדים ומכלול החומר שהובא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באנו לכלל מסקנה כי דין הערעור להידחות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נפתח בהתייחסות לטענות המערער בעניין אופן ריצוי עונש המאסר שהושת עליו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שהבהירו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נעצר במסגרת ההליך הנוכחי ביום </w:t>
      </w:r>
      <w:r>
        <w:rPr>
          <w:rFonts w:cs="Century" w:ascii="Century" w:hAnsi="Century"/>
        </w:rPr>
        <w:t>24.8.2016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ובמהלך תקופת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27.2.2017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הורשע המערער בתיק קודם והושת עליו עונש כולל של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בניכוי ימי מעצר קודם </w:t>
      </w:r>
      <w:r>
        <w:rPr>
          <w:rFonts w:cs="Century" w:ascii="Century" w:hAnsi="Century"/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30360-03-16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ההליך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גזר את עונשו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כשמתקופה זו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מעצרו</w:t>
      </w:r>
      <w:r>
        <w:rPr>
          <w:rFonts w:ascii="Century" w:hAnsi="Century" w:cs="Century"/>
          <w:rtl w:val="true"/>
        </w:rPr>
        <w:t xml:space="preserve"> בגין תיק זה החל מיום </w:t>
      </w:r>
      <w:r>
        <w:rPr>
          <w:rFonts w:cs="Century" w:ascii="Century" w:hAnsi="Century"/>
        </w:rPr>
        <w:t>24.8.2016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שהם כמחצית עונש המאסר שריצה במקביל למעצרו על פי גזר הדין שניתן ביום </w:t>
      </w:r>
      <w:r>
        <w:rPr>
          <w:rFonts w:cs="Century" w:ascii="Century" w:hAnsi="Century"/>
        </w:rPr>
        <w:t>27.2.2017</w:t>
      </w:r>
      <w:r>
        <w:rPr>
          <w:rFonts w:cs="Century" w:ascii="Century" w:hAnsi="Century"/>
          <w:rtl w:val="true"/>
        </w:rPr>
        <w:t>...)" (</w:t>
      </w:r>
      <w:r>
        <w:rPr>
          <w:rFonts w:ascii="Century" w:hAnsi="Century" w:cs="Century"/>
          <w:rtl w:val="true"/>
        </w:rPr>
        <w:t xml:space="preserve">ההדגשות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</w:t>
      </w:r>
      <w:r>
        <w:rPr>
          <w:rFonts w:cs="Century" w:ascii="Century" w:hAnsi="Century"/>
          <w:rtl w:val="true"/>
        </w:rPr>
        <w:t>'.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ביקש להתחשב בתקופה בה היה המערער עציר ואסיר במקביל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הפנייה לפסק הדין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2562/16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27.3.2017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מההפנייה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עולה כי כוונת בית המשפט הייתה לנכות את התקופה בה המערער היה עצור בגדר ההליך הנוכחי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27.2.2017-24.8.2016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ובנוסף</w:t>
      </w:r>
      <w:r>
        <w:rPr>
          <w:rFonts w:ascii="Century" w:hAnsi="Century" w:cs="Century"/>
          <w:rtl w:val="true"/>
        </w:rPr>
        <w:t xml:space="preserve"> לנכות כמחצית מתקופת המעצר המקביל למאסר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27.9.2017-27.2.2017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שהם ארבעה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ובסך הכל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ניכוי כולל של עשרה חודשים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זה המקום לציין כי אין זכות קנויה להתחשבות בדרך של ניכוי ימי מעצר המקבילים לעונש מאסר </w:t>
      </w:r>
      <w:r>
        <w:rPr>
          <w:rFonts w:cs="Century" w:ascii="Century" w:hAnsi="Century"/>
          <w:rtl w:val="true"/>
        </w:rPr>
        <w:t>(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8244/17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21.6.2018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ולהרחבה ראו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106/17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30.1.2018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ובמובן זה בית המשפט הקל עם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שגה הסנגור המלומד משציין בפתח הערעור כי נגזרו על המערער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וכי היה על בית המשפט לנכות חמישה חודשים חלף ארבעה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עולה מהאמור כי גזר דינו של בית המשפט המחוזי נעדר התייחסות מפורשת לשאלת אופן ריצוי עונש המאסר בתיק הנוכחי ועונש המאסר הקודם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ונוכח הוראת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ירוצה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עונש המאסר שנגזר עליו ב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30360-03-16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על ברירת המחדל הקבועה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מבין רבים</w:t>
      </w:r>
      <w:r>
        <w:rPr>
          <w:rFonts w:cs="Century" w:ascii="Century" w:hAnsi="Century"/>
          <w:rtl w:val="true"/>
        </w:rPr>
        <w:t xml:space="preserve">,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4517/04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מסראווה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119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133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423/10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יגרמן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30.6.2010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7907/14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18-12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(</w:t>
      </w:r>
      <w:r>
        <w:rPr>
          <w:rFonts w:cs="Century" w:ascii="Century" w:hAnsi="Century"/>
        </w:rPr>
        <w:t>22.2.2015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Century"/>
          <w:rtl w:val="true"/>
        </w:rPr>
        <w:t>העיקר הוא כי בסופו של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הסדר הטיעון הניח לפתחו של בית המשפט את ההכרעה בשאלה כיצד משפיעה הטענה לקרבה לסייג על קביעת מתחם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דחה את טענת ההגנה תוך אימוץ עמדת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וסבר כי אין היא מצדיקה התחשבות או הקלה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בהינתן ניכוי של </w:t>
      </w:r>
      <w:r>
        <w:rPr>
          <w:rFonts w:ascii="Century" w:hAnsi="Century" w:cs="Century"/>
          <w:rtl w:val="true"/>
        </w:rPr>
        <w:t>עשרה</w:t>
      </w:r>
      <w:r>
        <w:rPr>
          <w:rFonts w:ascii="Century" w:hAnsi="Century" w:cs="Century"/>
          <w:rtl w:val="true"/>
        </w:rPr>
        <w:t xml:space="preserve"> חודשים מתקופת המעצר כמפורט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ובהינתן הריצוי החופף של עונשי המאסר שהושתו על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אנו סבורים כי גזר דינו של בית המשפט המחוזי עשה חסד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שטענה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ואיננו מוצאים להורות על הקלה נוספת בעונשו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sz w:val="28"/>
        </w:rPr>
        <w:t>12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סוף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בכפוף לאמור בסעיף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הערעור נדחה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19.7.2018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17087590</w:t>
      </w:r>
      <w:r>
        <w:rPr>
          <w:sz w:val="16"/>
          <w:rtl w:val="true"/>
        </w:rPr>
        <w:t>_</w:t>
      </w:r>
      <w:r>
        <w:rPr>
          <w:sz w:val="16"/>
        </w:rPr>
        <w:t>Q02.doc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54678313-8759/17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8759/17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פילמון זרו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 Unicode MS" w:hAnsi="Arial TUR;Arial Unicode MS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8642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9" TargetMode="External"/><Relationship Id="rId5" Type="http://schemas.openxmlformats.org/officeDocument/2006/relationships/hyperlink" Target="http://www.nevo.co.il/law/70301/45" TargetMode="External"/><Relationship Id="rId6" Type="http://schemas.openxmlformats.org/officeDocument/2006/relationships/hyperlink" Target="http://www.nevo.co.il/law/70301/45.b" TargetMode="External"/><Relationship Id="rId7" Type="http://schemas.openxmlformats.org/officeDocument/2006/relationships/hyperlink" Target="http://www.nevo.co.il/law/70301/19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/382.a" TargetMode="External"/><Relationship Id="rId13" Type="http://schemas.openxmlformats.org/officeDocument/2006/relationships/hyperlink" Target="http://www.nevo.co.il/law/70301/45.b" TargetMode="External"/><Relationship Id="rId14" Type="http://schemas.openxmlformats.org/officeDocument/2006/relationships/hyperlink" Target="http://www.nevo.co.il/case/21586426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82.a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/335.a.2" TargetMode="External"/><Relationship Id="rId21" Type="http://schemas.openxmlformats.org/officeDocument/2006/relationships/hyperlink" Target="http://www.nevo.co.il/law/70301/191" TargetMode="External"/><Relationship Id="rId22" Type="http://schemas.openxmlformats.org/officeDocument/2006/relationships/hyperlink" Target="http://www.nevo.co.il/law/70301/45.b" TargetMode="External"/><Relationship Id="rId23" Type="http://schemas.openxmlformats.org/officeDocument/2006/relationships/hyperlink" Target="http://www.nevo.co.il/law/70301/40i.a.9" TargetMode="External"/><Relationship Id="rId24" Type="http://schemas.openxmlformats.org/officeDocument/2006/relationships/hyperlink" Target="http://www.nevo.co.il/law/70301/45" TargetMode="External"/><Relationship Id="rId25" Type="http://schemas.openxmlformats.org/officeDocument/2006/relationships/hyperlink" Target="http://www.nevo.co.il/case/21029016" TargetMode="External"/><Relationship Id="rId26" Type="http://schemas.openxmlformats.org/officeDocument/2006/relationships/hyperlink" Target="http://www.nevo.co.il/case/21472337" TargetMode="External"/><Relationship Id="rId27" Type="http://schemas.openxmlformats.org/officeDocument/2006/relationships/hyperlink" Target="http://www.nevo.co.il/case/24344573" TargetMode="External"/><Relationship Id="rId28" Type="http://schemas.openxmlformats.org/officeDocument/2006/relationships/hyperlink" Target="http://www.nevo.co.il/case/22006494" TargetMode="External"/><Relationship Id="rId29" Type="http://schemas.openxmlformats.org/officeDocument/2006/relationships/hyperlink" Target="http://www.nevo.co.il/law/70301/45.b" TargetMode="External"/><Relationship Id="rId30" Type="http://schemas.openxmlformats.org/officeDocument/2006/relationships/hyperlink" Target="http://www.nevo.co.il/case/21029016" TargetMode="External"/><Relationship Id="rId31" Type="http://schemas.openxmlformats.org/officeDocument/2006/relationships/hyperlink" Target="http://www.nevo.co.il/law/70301/45.b" TargetMode="External"/><Relationship Id="rId32" Type="http://schemas.openxmlformats.org/officeDocument/2006/relationships/hyperlink" Target="http://www.nevo.co.il/case/5962012" TargetMode="External"/><Relationship Id="rId33" Type="http://schemas.openxmlformats.org/officeDocument/2006/relationships/hyperlink" Target="http://www.nevo.co.il/case/5701249" TargetMode="External"/><Relationship Id="rId34" Type="http://schemas.openxmlformats.org/officeDocument/2006/relationships/hyperlink" Target="http://www.nevo.co.il/case/18654248" TargetMode="External"/><Relationship Id="rId35" Type="http://schemas.openxmlformats.org/officeDocument/2006/relationships/hyperlink" Target="https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2018-07-26T11:55:00Z</dcterms:created>
  <dc:creator> </dc:creator>
  <dc:description/>
  <cp:keywords/>
  <dc:language>en-IL</dc:language>
  <cp:lastModifiedBy>orly</cp:lastModifiedBy>
  <cp:lastPrinted>2018-07-12T15:21:00Z</cp:lastPrinted>
  <dcterms:modified xsi:type="dcterms:W3CDTF">2018-07-26T11:55:00Z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פילמון זרו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21586426:2;21029016:2;21472337;24344573;22006494;5962012;5701249;18654248</vt:lpwstr>
  </property>
  <property fmtid="{D5CDD505-2E9C-101B-9397-08002B2CF9AE}" pid="9" name="CITY">
    <vt:lpwstr/>
  </property>
  <property fmtid="{D5CDD505-2E9C-101B-9397-08002B2CF9AE}" pid="10" name="DATE">
    <vt:lpwstr>20180719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פוגלמן;ג' קרא;ע' גרוסקופף</vt:lpwstr>
  </property>
  <property fmtid="{D5CDD505-2E9C-101B-9397-08002B2CF9AE}" pid="14" name="LAWLISTTMP1">
    <vt:lpwstr>70301/329.a.1;382.a;333;335.a.1;335.a.2;191;045.b:3;040i.a.9;045</vt:lpwstr>
  </property>
  <property fmtid="{D5CDD505-2E9C-101B-9397-08002B2CF9AE}" pid="15" name="LAWYER">
    <vt:lpwstr>נגה בן סידי;שחר מנדלמן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ניכוי ימי מעצר</vt:lpwstr>
  </property>
  <property fmtid="{D5CDD505-2E9C-101B-9397-08002B2CF9AE}" pid="49" name="NOSE310">
    <vt:lpwstr/>
  </property>
  <property fmtid="{D5CDD505-2E9C-101B-9397-08002B2CF9AE}" pid="50" name="NOSE32">
    <vt:lpwstr>עונשים חופפים</vt:lpwstr>
  </property>
  <property fmtid="{D5CDD505-2E9C-101B-9397-08002B2CF9AE}" pid="51" name="NOSE33">
    <vt:lpwstr>מתחם הענישה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16105;9001;14985</vt:lpwstr>
  </property>
  <property fmtid="{D5CDD505-2E9C-101B-9397-08002B2CF9AE}" pid="59" name="PADIDATE">
    <vt:lpwstr>20180724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8759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410120180719</vt:lpwstr>
  </property>
  <property fmtid="{D5CDD505-2E9C-101B-9397-08002B2CF9AE}" pid="69" name="TYPE_N_DATE">
    <vt:lpwstr>41020180719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