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8777/18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ביושבו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48255-09-17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פרקש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בר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1.11.2018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25.9.2019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אזברגה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מתורגמן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עבדלרחמן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בהבל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בהחליטו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לקצרו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153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שיירשמו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אימצנו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אשקוקי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המשחק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הפרוצדורה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כבקשתך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היטיב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לכפירה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יחפוץ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טקטיים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ומתכססנות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מעיקרו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בהבל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וסתמית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בלחצים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מלחיץ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ומטבעו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ובלחצים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בלחצים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ששכנעוהו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הלחצים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כושל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שהוחלפו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ושרק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תצהיר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אמינותו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בתצהירו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והתקיימותן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תצהיר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להיפך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שסנגורו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המנתקו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מחוליית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ומעלליה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השחמט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השחמט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ההתחלתית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לטעמו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>. "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סגור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BODYVERDICT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BeginProtocol"/>
      <w:bookmarkStart w:id="10" w:name="secretary"/>
      <w:bookmarkStart w:id="11" w:name="LawTable_End"/>
      <w:bookmarkStart w:id="12" w:name="ABSTRACT_END"/>
      <w:bookmarkStart w:id="13" w:name="BeginProtocol"/>
      <w:bookmarkStart w:id="14" w:name="secretary"/>
      <w:bookmarkStart w:id="15" w:name="LawTable_End"/>
      <w:bookmarkEnd w:id="12"/>
      <w:bookmarkEnd w:id="13"/>
      <w:bookmarkEnd w:id="14"/>
      <w:bookmarkEnd w:id="15"/>
    </w:p>
    <w:p>
      <w:pPr>
        <w:pStyle w:val="DocumentHead"/>
        <w:ind w:end="0"/>
        <w:jc w:val="center"/>
        <w:rPr/>
      </w:pPr>
      <w:bookmarkStart w:id="16" w:name="PsakDin"/>
      <w:bookmarkEnd w:id="16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7" w:name="PsakDin"/>
      <w:bookmarkStart w:id="18" w:name="PsakDin"/>
      <w:bookmarkEnd w:id="18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bookmarkStart w:id="19" w:name="Start_Write"/>
      <w:bookmarkStart w:id="20" w:name="Writer_Name"/>
      <w:bookmarkEnd w:id="19"/>
      <w:bookmarkEnd w:id="20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 ביושבו כבית משפט לנוער 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48255-09-17</w:t>
      </w:r>
      <w:r>
        <w:rPr>
          <w:rtl w:val="true"/>
        </w:rPr>
        <w:t xml:space="preserve"> 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פרקש</w:t>
      </w:r>
      <w:r>
        <w:rPr>
          <w:rtl w:val="true"/>
        </w:rPr>
        <w:t xml:space="preserve"> 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לומפ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tl w:val="true"/>
        </w:rPr>
        <w:t xml:space="preserve">) </w:t>
      </w:r>
      <w:r>
        <w:rPr>
          <w:rtl w:val="true"/>
        </w:rPr>
        <w:t>ש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1.11.2018</w:t>
      </w:r>
      <w:r>
        <w:rPr>
          <w:rtl w:val="true"/>
        </w:rPr>
        <w:t xml:space="preserve"> </w:t>
      </w:r>
      <w:r>
        <w:rPr>
          <w:rtl w:val="true"/>
        </w:rPr>
        <w:t>ובגדרו 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אשר נמסרה במסגרת הסדר 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שורה ארוכה של עבירות טרור הכוללות ניסיון לרצח</w:t>
      </w:r>
      <w:r>
        <w:rPr>
          <w:rtl w:val="true"/>
        </w:rPr>
        <w:t xml:space="preserve">; </w:t>
      </w:r>
      <w:r>
        <w:rPr>
          <w:rtl w:val="true"/>
        </w:rPr>
        <w:t>ניסיון הצתה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tl w:val="true"/>
        </w:rPr>
        <w:t xml:space="preserve">; </w:t>
      </w:r>
      <w:r>
        <w:rPr>
          <w:rtl w:val="true"/>
        </w:rPr>
        <w:t>יידוי או ירי של אבן לעבר כלי תחבורה</w:t>
      </w:r>
      <w:r>
        <w:rPr>
          <w:rtl w:val="true"/>
        </w:rPr>
        <w:t xml:space="preserve">; </w:t>
      </w:r>
      <w:r>
        <w:rPr>
          <w:rtl w:val="true"/>
        </w:rPr>
        <w:t xml:space="preserve">חבלה בכוונה מחמירה וכן ייצור נשק </w:t>
      </w:r>
      <w:r>
        <w:rPr>
          <w:rtl w:val="true"/>
        </w:rPr>
        <w:t>–</w:t>
      </w:r>
      <w:r>
        <w:rPr>
          <w:rtl w:val="true"/>
        </w:rPr>
        <w:t xml:space="preserve"> ובעקבות זאת הושתו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 תנאי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 xml:space="preserve">מאתנו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נבטל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ולמצער</w:t>
      </w:r>
      <w:r>
        <w:rPr>
          <w:rtl w:val="true"/>
        </w:rPr>
        <w:t xml:space="preserve"> </w:t>
      </w:r>
      <w:r>
        <w:rPr>
          <w:rtl w:val="true"/>
        </w:rPr>
        <w:t>נפחית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 </w:t>
      </w:r>
      <w:r>
        <w:rPr>
          <w:rtl w:val="true"/>
        </w:rPr>
        <w:t xml:space="preserve">ככל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ואלה הם עיקרי המסכת העובדתית בה הודה המערער במענהו לכתב האישום המתוקן </w:t>
      </w:r>
      <w:r>
        <w:rPr>
          <w:rtl w:val="true"/>
        </w:rPr>
        <w:t>(</w:t>
      </w:r>
      <w:r>
        <w:rPr>
          <w:rtl w:val="true"/>
        </w:rPr>
        <w:t>בשנית</w:t>
      </w:r>
      <w:r>
        <w:rPr>
          <w:rtl w:val="true"/>
        </w:rPr>
        <w:t xml:space="preserve">) </w:t>
      </w:r>
      <w:r>
        <w:rPr>
          <w:rtl w:val="true"/>
        </w:rPr>
        <w:t>במסגרת הסדר טיעון שנעשה עמו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זיקוקים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בעצה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 xml:space="preserve">"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ונוסעיו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הודאתו של המערער בעובדות כתב האישום נמסרה במסגרת הסדר טיעון לאחר שנועץ בסניגורו ובהוריו</w:t>
      </w:r>
      <w:r>
        <w:rPr>
          <w:rtl w:val="true"/>
        </w:rPr>
        <w:t xml:space="preserve">. </w:t>
      </w:r>
      <w:r>
        <w:rPr>
          <w:rtl w:val="true"/>
        </w:rPr>
        <w:t xml:space="preserve">הסדר הטיעון שנעשה עמו היה הסדר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בעניין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הועמד על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 בפועל</w:t>
      </w:r>
      <w:r>
        <w:rPr>
          <w:rtl w:val="true"/>
        </w:rPr>
        <w:t xml:space="preserve">, </w:t>
      </w:r>
      <w:r>
        <w:rPr>
          <w:rtl w:val="true"/>
        </w:rPr>
        <w:t>בצירוף מאסרים מותנים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 מסירת הודאה כאמור ולפני שבית משפט קמא נתן פסק דין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ביקש המערער לחזור בו מהודאתו ולנהל הוכחות </w:t>
      </w:r>
      <w:r>
        <w:rPr>
          <w:rtl w:val="true"/>
        </w:rPr>
        <w:t>–</w:t>
      </w:r>
      <w:r>
        <w:rPr>
          <w:rtl w:val="true"/>
        </w:rPr>
        <w:t xml:space="preserve"> לדבריו</w:t>
      </w:r>
      <w:r>
        <w:rPr>
          <w:rtl w:val="true"/>
        </w:rPr>
        <w:t xml:space="preserve">, </w:t>
      </w:r>
      <w:r>
        <w:rPr>
          <w:rtl w:val="true"/>
        </w:rPr>
        <w:t>כדי להוכיח את חפותו</w:t>
      </w:r>
      <w:r>
        <w:rPr>
          <w:rtl w:val="true"/>
        </w:rPr>
        <w:t xml:space="preserve">. </w:t>
      </w:r>
      <w:r>
        <w:rPr>
          <w:rtl w:val="true"/>
        </w:rPr>
        <w:t>המערער לא קיבל את מבוקשו</w:t>
      </w:r>
      <w:r>
        <w:rPr>
          <w:rtl w:val="true"/>
        </w:rPr>
        <w:t xml:space="preserve">. </w:t>
      </w:r>
      <w:r>
        <w:rPr>
          <w:rtl w:val="true"/>
        </w:rPr>
        <w:t>בית המשפט דחה את הבקשה לאחר שקבע כי היא מונעת על ידי אי</w:t>
      </w:r>
      <w:r>
        <w:rPr>
          <w:rtl w:val="true"/>
        </w:rPr>
        <w:t>-</w:t>
      </w:r>
      <w:r>
        <w:rPr>
          <w:rtl w:val="true"/>
        </w:rPr>
        <w:t xml:space="preserve">שביעות רצונו של המערער מתקופת מאסרו המוסכמת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להבדיל מרצון כן ואמיתי להוכיח את חפותו</w:t>
      </w:r>
      <w:r>
        <w:rPr>
          <w:rtl w:val="true"/>
        </w:rPr>
        <w:t xml:space="preserve">. </w:t>
      </w:r>
      <w:r>
        <w:rPr>
          <w:rtl w:val="true"/>
        </w:rPr>
        <w:t>בית המשפט הרשיע אפוא את המערער בעבירות בהן הודה</w:t>
      </w:r>
      <w:r>
        <w:rPr>
          <w:rtl w:val="true"/>
        </w:rPr>
        <w:t xml:space="preserve">, </w:t>
      </w:r>
      <w:r>
        <w:rPr>
          <w:rtl w:val="true"/>
        </w:rPr>
        <w:t>גזר את עונשו כאמור לעיל</w:t>
      </w:r>
      <w:r>
        <w:rPr>
          <w:rtl w:val="true"/>
        </w:rPr>
        <w:t xml:space="preserve">; </w:t>
      </w:r>
      <w:r>
        <w:rPr>
          <w:rtl w:val="true"/>
        </w:rPr>
        <w:t>ומכאן הערעור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 </w:t>
      </w:r>
      <w:r>
        <w:rPr>
          <w:rtl w:val="true"/>
        </w:rPr>
        <w:t>בהחליטו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הודאה שמסר במסגרת הסדר הטיעון חרף בקשתו לעשות כן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היה חייב לקבל את בקשתו ולאפשר לו לנסות להוכיח את חפותו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שבקשה זו הוגשה לפני הרשעתו ובטרם גזירת דינו</w:t>
      </w:r>
      <w:r>
        <w:rPr>
          <w:rtl w:val="true"/>
        </w:rPr>
        <w:t xml:space="preserve">, </w:t>
      </w:r>
      <w:r>
        <w:rPr>
          <w:rtl w:val="true"/>
        </w:rPr>
        <w:t xml:space="preserve">ומאחר שהלכת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3754/91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סמחאת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798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)) </w:t>
      </w:r>
      <w:r>
        <w:rPr>
          <w:rtl w:val="true"/>
        </w:rPr>
        <w:t>מקנה לנאשם בפלילים זכות רחבה לחזור בו מהודאתו כל אימת שהלה מגלה רצון כן ואמיתי להוכיח את חפותו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מפרט המערער וטוען כי הוא חזר בו מהודאתו בשיחה שקיים עם אנשי שירות המבחן </w:t>
      </w:r>
      <w:r>
        <w:rPr>
          <w:rtl w:val="true"/>
        </w:rPr>
        <w:t>–</w:t>
      </w:r>
      <w:r>
        <w:rPr>
          <w:rtl w:val="true"/>
        </w:rPr>
        <w:t xml:space="preserve"> שיחה אשר היוותה עבורו הזדמנות ראשונה להתייחסות להסדר הטיעון </w:t>
      </w:r>
      <w:r>
        <w:rPr>
          <w:rtl w:val="true"/>
        </w:rPr>
        <w:t>–</w:t>
      </w:r>
      <w:r>
        <w:rPr>
          <w:rtl w:val="true"/>
        </w:rPr>
        <w:t xml:space="preserve"> וכי חזרתו זו הונעה על ידי רצון כן ואמיתי להוכיח את חפותו</w:t>
      </w:r>
      <w:r>
        <w:rPr>
          <w:rtl w:val="true"/>
        </w:rPr>
        <w:t xml:space="preserve">. </w:t>
      </w:r>
      <w:r>
        <w:rPr>
          <w:rtl w:val="true"/>
        </w:rPr>
        <w:t>לחלופין טוען המערער כי עונש המאסר שהושת עליו מפר את עיקרון ההלימה בהיותו חמור באופן קיצוני</w:t>
      </w:r>
      <w:r>
        <w:rPr>
          <w:rtl w:val="true"/>
        </w:rPr>
        <w:t xml:space="preserve">, </w:t>
      </w:r>
      <w:r>
        <w:rPr>
          <w:rtl w:val="true"/>
        </w:rPr>
        <w:t>ומבקש כי נקצר את תקופת מאסרו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המדינה סבורה אחרת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בקשת המערער לחזור בו מהודאתו לא עמדה בדרישות שנקבעו לחזרה מהודאה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 ובפסקי דין אחרים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באשר היא היתה </w:t>
      </w:r>
      <w:r>
        <w:rPr>
          <w:rtl w:val="true"/>
        </w:rPr>
        <w:t>–</w:t>
      </w:r>
      <w:r>
        <w:rPr>
          <w:rtl w:val="true"/>
        </w:rPr>
        <w:t xml:space="preserve"> ועודנה </w:t>
      </w:r>
      <w:r>
        <w:rPr>
          <w:rtl w:val="true"/>
        </w:rPr>
        <w:t>–</w:t>
      </w:r>
      <w:r>
        <w:rPr>
          <w:rtl w:val="true"/>
        </w:rPr>
        <w:t xml:space="preserve"> מונעת על ידי שיקולים טקטיים שאין לתת להם יד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מוסיפה המדינה וטוענת כי המערער</w:t>
      </w:r>
      <w:r>
        <w:rPr>
          <w:rtl w:val="true"/>
        </w:rPr>
        <w:t xml:space="preserve">, </w:t>
      </w:r>
      <w:r>
        <w:rPr>
          <w:rtl w:val="true"/>
        </w:rPr>
        <w:t>סניגורו והוריו שקלו היטב את הסדר הטיעון שגובש עם התביעה ונתנו הסכמה מלאה ומודעת לכל תנאיו</w:t>
      </w:r>
      <w:r>
        <w:rPr>
          <w:rtl w:val="true"/>
        </w:rPr>
        <w:t xml:space="preserve">. </w:t>
      </w:r>
      <w:r>
        <w:rPr>
          <w:rtl w:val="true"/>
        </w:rPr>
        <w:t>כמו כן טוענת המדינה כי עונש מאסר של שתיים</w:t>
      </w:r>
      <w:r>
        <w:rPr>
          <w:rtl w:val="true"/>
        </w:rPr>
        <w:t>-</w:t>
      </w:r>
      <w:r>
        <w:rPr>
          <w:rtl w:val="true"/>
        </w:rPr>
        <w:t>עשרה שנים הוא עונש מידתי ההולם את חומרת העבירות שביצע המערער</w:t>
      </w:r>
      <w:r>
        <w:rPr>
          <w:rtl w:val="true"/>
        </w:rPr>
        <w:t xml:space="preserve">; </w:t>
      </w:r>
      <w:r>
        <w:rPr>
          <w:rtl w:val="true"/>
        </w:rPr>
        <w:t xml:space="preserve">וכי בית משפט זה ממילא איננו מתערב בעונשים שהוסכמו בהסדרי טיעון </w:t>
      </w:r>
      <w:r>
        <w:rPr>
          <w:rtl w:val="true"/>
        </w:rPr>
        <w:t>"</w:t>
      </w:r>
      <w:r>
        <w:rPr>
          <w:rtl w:val="true"/>
        </w:rPr>
        <w:t>סגורים</w:t>
      </w:r>
      <w:r>
        <w:rPr>
          <w:rtl w:val="true"/>
        </w:rPr>
        <w:t xml:space="preserve">" </w:t>
      </w:r>
      <w:r>
        <w:rPr>
          <w:rtl w:val="true"/>
        </w:rPr>
        <w:t xml:space="preserve">אלא בנסיבות חריגות ביותר ומטעמים מיוחדים </w:t>
      </w:r>
      <w:r>
        <w:rPr>
          <w:rtl w:val="true"/>
        </w:rPr>
        <w:t>–</w:t>
      </w:r>
      <w:r>
        <w:rPr>
          <w:rtl w:val="true"/>
        </w:rPr>
        <w:t xml:space="preserve"> אשר אינם בנמצא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המדינה סבורה כי ראוי להותיר את עונשו של המערער על 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הודאת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המשפטית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קובע כי </w:t>
      </w:r>
      <w:r>
        <w:rPr>
          <w:rtl w:val="true"/>
        </w:rPr>
        <w:t>"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שנאשם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יראוה</w:t>
      </w:r>
      <w:r>
        <w:rPr>
          <w:rtl w:val="true"/>
        </w:rPr>
        <w:t xml:space="preserve"> </w:t>
      </w:r>
      <w:r>
        <w:rPr>
          <w:rtl w:val="true"/>
        </w:rPr>
        <w:t>כמוכחת</w:t>
      </w:r>
      <w:r>
        <w:rPr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153</w:t>
      </w:r>
      <w:r>
        <w:rPr>
          <w:rtl w:val="true"/>
        </w:rPr>
        <w:t xml:space="preserve">".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באין חזרה של הנאשם מהודאה בעובדות כתב האישום שבית המשפט ראה לקבלה</w:t>
      </w:r>
      <w:r>
        <w:rPr>
          <w:rtl w:val="true"/>
        </w:rPr>
        <w:t xml:space="preserve">, </w:t>
      </w:r>
      <w:r>
        <w:rPr>
          <w:rtl w:val="true"/>
        </w:rPr>
        <w:t>תשמש ההודאה בסיס להרשעתו בכל העבירות העולות מהעובדות הללו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יעמוד במוקד דיוננו שלהלן</w:t>
      </w:r>
      <w:r>
        <w:rPr>
          <w:rtl w:val="true"/>
        </w:rPr>
        <w:t xml:space="preserve">, </w:t>
      </w:r>
      <w:r>
        <w:rPr>
          <w:rtl w:val="true"/>
        </w:rPr>
        <w:t>קובע כך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מנימוקים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שיירשמו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לנאשם יש אמנם זכות מלאה לכפור בעובדות כתב האישום ולנהל הוכחות</w:t>
      </w:r>
      <w:r>
        <w:rPr>
          <w:rtl w:val="true"/>
        </w:rPr>
        <w:t xml:space="preserve">, </w:t>
      </w:r>
      <w:r>
        <w:rPr>
          <w:rtl w:val="true"/>
        </w:rPr>
        <w:t>אך משבחר להודות בהן הוא לא יוכל עוד לחזור בו מהודאתו</w:t>
      </w:r>
      <w:r>
        <w:rPr>
          <w:rtl w:val="true"/>
        </w:rPr>
        <w:t xml:space="preserve">, </w:t>
      </w:r>
      <w:r>
        <w:rPr>
          <w:rtl w:val="true"/>
        </w:rPr>
        <w:t>אלא מסיבות מיוחדות שלדעת בית המשפט מצדיקות חזרה כאמור</w:t>
      </w:r>
      <w:r>
        <w:rPr>
          <w:rtl w:val="true"/>
        </w:rPr>
        <w:t xml:space="preserve">. </w:t>
      </w:r>
      <w:r>
        <w:rPr>
          <w:rtl w:val="true"/>
        </w:rPr>
        <w:t>אפשרות מוגבלת זו לחזרה מהודאה ממחישה את העיקרון המשפטי אותו אימצנו מבראשית</w:t>
      </w:r>
      <w:r>
        <w:rPr>
          <w:rtl w:val="true"/>
        </w:rPr>
        <w:t xml:space="preserve">, </w:t>
      </w:r>
      <w:r>
        <w:rPr>
          <w:rtl w:val="true"/>
        </w:rPr>
        <w:t xml:space="preserve">לפיו </w:t>
      </w:r>
      <w:r>
        <w:rPr>
          <w:rtl w:val="true"/>
        </w:rPr>
        <w:t>"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משחק</w:t>
      </w:r>
      <w:r>
        <w:rPr>
          <w:rtl w:val="true"/>
        </w:rPr>
        <w:t xml:space="preserve"> </w:t>
      </w:r>
      <w:r>
        <w:rPr>
          <w:rtl w:val="true"/>
        </w:rPr>
        <w:t>אשקוקי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מהלך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 </w:t>
      </w:r>
      <w:r>
        <w:rPr>
          <w:rtl w:val="true"/>
        </w:rPr>
        <w:t>המשחק</w:t>
      </w:r>
      <w:r>
        <w:rPr>
          <w:rtl w:val="true"/>
        </w:rPr>
        <w:t>"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1/48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סילוסטר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(</w:t>
      </w:r>
      <w:r>
        <w:rPr/>
        <w:t>1948</w:t>
      </w:r>
      <w:r>
        <w:rPr>
          <w:rtl w:val="true"/>
        </w:rPr>
        <w:t xml:space="preserve">)), </w:t>
      </w:r>
      <w:r>
        <w:rPr>
          <w:rtl w:val="true"/>
        </w:rPr>
        <w:t xml:space="preserve">ולצד זאת את העיקרון המשפטי האחר </w:t>
      </w:r>
      <w:r>
        <w:rPr>
          <w:rtl w:val="true"/>
        </w:rPr>
        <w:t>–</w:t>
      </w:r>
      <w:r>
        <w:rPr>
          <w:rtl w:val="true"/>
        </w:rPr>
        <w:t xml:space="preserve"> והחשוב לא פחות </w:t>
      </w:r>
      <w:r>
        <w:rPr>
          <w:rtl w:val="true"/>
        </w:rPr>
        <w:t>–</w:t>
      </w:r>
      <w:r>
        <w:rPr>
          <w:rtl w:val="true"/>
        </w:rPr>
        <w:t xml:space="preserve"> אשר קובע כי הפרוצדורה הנהוגה בבתי המשפט איננה </w:t>
      </w:r>
      <w:r>
        <w:rPr>
          <w:rtl w:val="true"/>
        </w:rPr>
        <w:t>"</w:t>
      </w:r>
      <w:r>
        <w:rPr>
          <w:rtl w:val="true"/>
        </w:rPr>
        <w:t>תכנית כבקשתך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מירון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>
          <w:rFonts w:cs="Times New Roman" w:ascii="Times New Roman" w:hAnsi="Times New Roman"/>
          <w:rtl w:val="true"/>
        </w:rPr>
        <w:t>‏</w:t>
      </w:r>
      <w:r>
        <w:rPr/>
        <w:t>28.1.2019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היטיב לנסח זאת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 xml:space="preserve">הנאשם אינו בגדר </w:t>
      </w:r>
      <w:r>
        <w:rPr>
          <w:rtl w:val="true"/>
        </w:rPr>
        <w:t>'</w:t>
      </w:r>
      <w:r>
        <w:rPr>
          <w:rtl w:val="true"/>
        </w:rPr>
        <w:t>סוחר בשוק</w:t>
      </w:r>
      <w:r>
        <w:rPr>
          <w:rtl w:val="true"/>
        </w:rPr>
        <w:t xml:space="preserve">' </w:t>
      </w:r>
      <w:r>
        <w:rPr>
          <w:rtl w:val="true"/>
        </w:rPr>
        <w:t>המשפט הפלילי</w:t>
      </w:r>
      <w:r>
        <w:rPr>
          <w:rtl w:val="true"/>
        </w:rPr>
        <w:t xml:space="preserve">. </w:t>
      </w:r>
      <w:r>
        <w:rPr>
          <w:rtl w:val="true"/>
        </w:rPr>
        <w:t xml:space="preserve">הוא אינו </w:t>
      </w:r>
      <w:r>
        <w:rPr>
          <w:rtl w:val="true"/>
        </w:rPr>
        <w:t xml:space="preserve">[...] </w:t>
      </w:r>
      <w:r>
        <w:rPr>
          <w:rtl w:val="true"/>
        </w:rPr>
        <w:t>בן חורין לעבור מהודאה לכפירה בכל עת אשר יחפוץ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24.1.2011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 w:ascii="FrankRuehl" w:hAnsi="FrankRuehl"/>
          <w:sz w:val="22"/>
        </w:rPr>
        <w:t>10</w:t>
      </w:r>
      <w:r>
        <w:rPr>
          <w:rFonts w:cs="FrankRuehl" w:ascii="FrankRuehl" w:hAnsi="FrankRuehl"/>
          <w:sz w:val="22"/>
          <w:rtl w:val="true"/>
        </w:rPr>
        <w:t>.</w:t>
        <w:tab/>
      </w:r>
      <w:r>
        <w:rPr>
          <w:rFonts w:ascii="FrankRuehl" w:hAnsi="FrankRuehl" w:cs="FrankRuehl"/>
          <w:sz w:val="22"/>
          <w:sz w:val="22"/>
          <w:rtl w:val="true"/>
        </w:rPr>
        <w:t xml:space="preserve">המחוקק </w:t>
      </w:r>
      <w:r>
        <w:rPr>
          <w:rFonts w:ascii="FrankRuehl" w:hAnsi="FrankRuehl" w:cs="FrankRuehl"/>
          <w:sz w:val="22"/>
          <w:sz w:val="22"/>
          <w:rtl w:val="true"/>
        </w:rPr>
        <w:t xml:space="preserve">אמנם </w:t>
      </w:r>
      <w:r>
        <w:rPr>
          <w:rFonts w:ascii="FrankRuehl" w:hAnsi="FrankRuehl" w:cs="FrankRuehl"/>
          <w:sz w:val="22"/>
          <w:sz w:val="22"/>
          <w:rtl w:val="true"/>
        </w:rPr>
        <w:t xml:space="preserve">לא פירש </w:t>
      </w:r>
      <w:hyperlink r:id="rId16">
        <w:r>
          <w:rPr>
            <w:rStyle w:val="Hyperlink"/>
            <w:rFonts w:ascii="FrankRuehl" w:hAnsi="FrankRuehl" w:cs="FrankRuehl"/>
            <w:color w:val="0000FF"/>
            <w:sz w:val="22"/>
            <w:sz w:val="22"/>
            <w:u w:val="single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2"/>
            <w:u w:val="single"/>
          </w:rPr>
          <w:t>153</w:t>
        </w:r>
      </w:hyperlink>
      <w:r>
        <w:rPr>
          <w:rFonts w:cs="FrankRuehl" w:ascii="FrankRuehl" w:hAnsi="FrankRuehl"/>
          <w:sz w:val="22"/>
          <w:rtl w:val="true"/>
        </w:rPr>
        <w:t xml:space="preserve"> </w:t>
      </w:r>
      <w:r>
        <w:rPr>
          <w:rFonts w:ascii="FrankRuehl" w:hAnsi="FrankRuehl" w:cs="FrankRuehl"/>
          <w:sz w:val="22"/>
          <w:sz w:val="22"/>
          <w:rtl w:val="true"/>
        </w:rPr>
        <w:t>האמור</w:t>
      </w:r>
      <w:r>
        <w:rPr>
          <w:rFonts w:ascii="FrankRuehl" w:hAnsi="FrankRuehl" w:cs="FrankRuehl"/>
          <w:sz w:val="22"/>
          <w:sz w:val="22"/>
          <w:rtl w:val="true"/>
        </w:rPr>
        <w:t xml:space="preserve"> מהם אותם </w:t>
      </w:r>
      <w:r>
        <w:rPr>
          <w:rFonts w:cs="FrankRuehl" w:ascii="FrankRuehl" w:hAnsi="FrankRuehl"/>
          <w:sz w:val="22"/>
          <w:rtl w:val="true"/>
        </w:rPr>
        <w:t>"</w:t>
      </w:r>
      <w:r>
        <w:rPr>
          <w:rFonts w:ascii="FrankRuehl" w:hAnsi="FrankRuehl" w:cs="FrankRuehl"/>
          <w:sz w:val="22"/>
          <w:sz w:val="22"/>
          <w:rtl w:val="true"/>
        </w:rPr>
        <w:t>נימוקים מיוחדים</w:t>
      </w:r>
      <w:r>
        <w:rPr>
          <w:rFonts w:cs="FrankRuehl" w:ascii="FrankRuehl" w:hAnsi="FrankRuehl"/>
          <w:sz w:val="22"/>
          <w:rtl w:val="true"/>
        </w:rPr>
        <w:t xml:space="preserve">" </w:t>
      </w:r>
      <w:r>
        <w:rPr>
          <w:rFonts w:ascii="FrankRuehl" w:hAnsi="FrankRuehl" w:cs="FrankRuehl"/>
          <w:sz w:val="22"/>
          <w:sz w:val="22"/>
          <w:rtl w:val="true"/>
        </w:rPr>
        <w:t>אשר מצדיקים את מתן ההיתר לנאשם לחזור בו מהודאתו</w:t>
      </w:r>
      <w:r>
        <w:rPr>
          <w:rFonts w:cs="FrankRuehl" w:ascii="FrankRuehl" w:hAnsi="FrankRuehl"/>
          <w:sz w:val="22"/>
          <w:rtl w:val="true"/>
        </w:rPr>
        <w:t xml:space="preserve">, </w:t>
      </w:r>
      <w:r>
        <w:rPr>
          <w:rFonts w:ascii="FrankRuehl" w:hAnsi="FrankRuehl" w:cs="FrankRuehl"/>
          <w:sz w:val="22"/>
          <w:sz w:val="22"/>
          <w:rtl w:val="true"/>
        </w:rPr>
        <w:t xml:space="preserve">אך לאורך השנים הפסיקה שדנה בסוגיה </w:t>
      </w:r>
      <w:r>
        <w:rPr>
          <w:rFonts w:ascii="FrankRuehl" w:hAnsi="FrankRuehl" w:cs="FrankRuehl"/>
          <w:sz w:val="22"/>
          <w:sz w:val="22"/>
          <w:rtl w:val="true"/>
        </w:rPr>
        <w:t xml:space="preserve">קבעה </w:t>
      </w:r>
      <w:r>
        <w:rPr>
          <w:rFonts w:ascii="FrankRuehl" w:hAnsi="FrankRuehl" w:cs="FrankRuehl"/>
          <w:sz w:val="22"/>
          <w:sz w:val="22"/>
          <w:rtl w:val="true"/>
        </w:rPr>
        <w:t xml:space="preserve">בעניינה </w:t>
      </w:r>
      <w:r>
        <w:rPr>
          <w:rFonts w:ascii="FrankRuehl" w:hAnsi="FrankRuehl" w:cs="FrankRuehl"/>
          <w:sz w:val="22"/>
          <w:sz w:val="22"/>
          <w:rtl w:val="true"/>
        </w:rPr>
        <w:t>מספר קווים מנחים</w:t>
      </w:r>
      <w:r>
        <w:rPr>
          <w:rFonts w:ascii="FrankRuehl" w:hAnsi="FrankRuehl" w:cs="FrankRuehl"/>
          <w:sz w:val="22"/>
          <w:sz w:val="22"/>
          <w:rtl w:val="true"/>
        </w:rPr>
        <w:t xml:space="preserve"> ומחייבים </w:t>
      </w:r>
      <w:r>
        <w:rPr>
          <w:rFonts w:ascii="FrankRuehl" w:hAnsi="FrankRuehl" w:cs="FrankRuehl"/>
          <w:sz w:val="22"/>
          <w:sz w:val="22"/>
          <w:rtl w:val="true"/>
        </w:rPr>
        <w:t>–</w:t>
      </w:r>
      <w:r>
        <w:rPr>
          <w:rFonts w:ascii="FrankRuehl" w:hAnsi="FrankRuehl" w:cs="FrankRuehl"/>
          <w:sz w:val="22"/>
          <w:sz w:val="22"/>
          <w:rtl w:val="true"/>
        </w:rPr>
        <w:t xml:space="preserve"> ואת אלו אפרט כעת אחד לאחד</w:t>
      </w:r>
      <w:r>
        <w:rPr>
          <w:rFonts w:cs="FrankRuehl" w:ascii="FrankRuehl" w:hAnsi="FrankRuehl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 לעיתוי החזרה מההודאה</w:t>
      </w:r>
      <w:r>
        <w:rPr>
          <w:rtl w:val="true"/>
        </w:rPr>
        <w:t xml:space="preserve">, </w:t>
      </w:r>
      <w:r>
        <w:rPr>
          <w:rtl w:val="true"/>
        </w:rPr>
        <w:t>הלכה היא עמנו כי לא הרי חזרה שנעשית לפני מתן גזר הדין כהרי חזרה שבאה אחריו או בשלב של ערעור</w:t>
      </w:r>
      <w:r>
        <w:rPr>
          <w:rtl w:val="true"/>
        </w:rPr>
        <w:t xml:space="preserve">. </w:t>
      </w:r>
      <w:r>
        <w:rPr>
          <w:rtl w:val="true"/>
        </w:rPr>
        <w:t>במקרה הראשון</w:t>
      </w:r>
      <w:r>
        <w:rPr>
          <w:rtl w:val="true"/>
        </w:rPr>
        <w:t xml:space="preserve">, </w:t>
      </w:r>
      <w:r>
        <w:rPr>
          <w:rtl w:val="true"/>
        </w:rPr>
        <w:t xml:space="preserve">ייטה בית המשפט להתיר לנאשם לחזור בו מהודאתו בהתקיים אחת מהעילות לכך </w:t>
      </w:r>
      <w:r>
        <w:rPr>
          <w:rtl w:val="true"/>
        </w:rPr>
        <w:t>–</w:t>
      </w:r>
      <w:r>
        <w:rPr>
          <w:rtl w:val="true"/>
        </w:rPr>
        <w:t xml:space="preserve"> ועל אלו אדבר בהמשך</w:t>
      </w:r>
      <w:r>
        <w:rPr>
          <w:rtl w:val="true"/>
        </w:rPr>
        <w:t xml:space="preserve">. </w:t>
      </w:r>
      <w:r>
        <w:rPr>
          <w:rtl w:val="true"/>
        </w:rPr>
        <w:t>בשני המקרים האחרונים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ידו של בית המשפט במתן ההיתר תהא קפוצה הרבה יותר נוכח החשש הכבד כי חזרת הנאשם מהודאתו נובעת משיקולים טקטיים ומתכססנות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3991/04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2.5.2005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 (</w:t>
      </w:r>
      <w:r>
        <w:rPr/>
        <w:t>10.6.2013</w:t>
      </w:r>
      <w:r>
        <w:rPr>
          <w:rtl w:val="true"/>
        </w:rPr>
        <w:t xml:space="preserve">)).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במקרים אלו דברי הנאשם שטוען להתקיימות אחת העילות לחזרה מהודאה יכול שלא יספיקו לקבלת בקשתו בשל הקושי הרב לתת בהם אמון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ומכאן לעילות החזרה מהודאה </w:t>
      </w:r>
      <w:r>
        <w:rPr>
          <w:sz w:val="22"/>
          <w:sz w:val="22"/>
          <w:rtl w:val="true"/>
        </w:rPr>
        <w:t xml:space="preserve">אשר הוכרו בפסיקה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עילות שרק בהתקיימותן תתקבל בקשתו של הנאשם והודאתו תבוטל</w:t>
      </w:r>
      <w:r>
        <w:rPr>
          <w:sz w:val="22"/>
          <w:rtl w:val="true"/>
        </w:rPr>
        <w:t xml:space="preserve">. </w:t>
      </w:r>
      <w:r>
        <w:rPr>
          <w:rtl w:val="true"/>
        </w:rPr>
        <w:t>עילות אלו כוללות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 במתן ההודאה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פגם ברצון יכול שינבע מהסתרת מידע רלבנטי מהנאשם או מאי</w:t>
      </w:r>
      <w:r>
        <w:rPr>
          <w:rtl w:val="true"/>
        </w:rPr>
        <w:t>-</w:t>
      </w:r>
      <w:r>
        <w:rPr>
          <w:rtl w:val="true"/>
        </w:rPr>
        <w:t>מתן הסברים מספקים לגבי ההודאה</w:t>
      </w:r>
      <w:r>
        <w:rPr>
          <w:rtl w:val="true"/>
        </w:rPr>
        <w:t xml:space="preserve">, </w:t>
      </w:r>
      <w:r>
        <w:rPr>
          <w:rtl w:val="true"/>
        </w:rPr>
        <w:t>באופן שמונע ממנו להבין את משמעות הודאתו ואת תוצאותיה</w:t>
      </w:r>
      <w:r>
        <w:rPr>
          <w:rtl w:val="true"/>
        </w:rPr>
        <w:t xml:space="preserve">. </w:t>
      </w:r>
      <w:r>
        <w:rPr>
          <w:rtl w:val="true"/>
        </w:rPr>
        <w:t>פגם כאמור יכול שינבע גם מהפעלת לחץ פיזי או נפשי על הנאשם</w:t>
      </w:r>
      <w:r>
        <w:rPr>
          <w:rtl w:val="true"/>
        </w:rPr>
        <w:t xml:space="preserve">, </w:t>
      </w:r>
      <w:r>
        <w:rPr>
          <w:rtl w:val="true"/>
        </w:rPr>
        <w:t>למשל באמצעות איום</w:t>
      </w:r>
      <w:r>
        <w:rPr>
          <w:rtl w:val="true"/>
        </w:rPr>
        <w:t xml:space="preserve">, </w:t>
      </w:r>
      <w:r>
        <w:rPr>
          <w:rtl w:val="true"/>
        </w:rPr>
        <w:t xml:space="preserve">פיתוי והשאה </w:t>
      </w:r>
      <w:r>
        <w:rPr>
          <w:rtl w:val="true"/>
        </w:rPr>
        <w:t>–</w:t>
      </w:r>
      <w:r>
        <w:rPr>
          <w:rtl w:val="true"/>
        </w:rPr>
        <w:t xml:space="preserve"> או באמצעות כל מעשה פסול אחר העלול לגרום לאדם להודות במה שלא חטא </w:t>
      </w:r>
      <w:r>
        <w:rPr>
          <w:rtl w:val="true"/>
        </w:rPr>
        <w:t>(</w:t>
      </w:r>
      <w:r>
        <w:rPr>
          <w:rtl w:val="true"/>
        </w:rPr>
        <w:t xml:space="preserve">ראו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 xml:space="preserve">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804</w:t>
      </w:r>
      <w:r>
        <w:rPr>
          <w:rtl w:val="true"/>
        </w:rPr>
        <w:t xml:space="preserve">; </w:t>
      </w:r>
      <w:r>
        <w:rPr>
          <w:rtl w:val="true"/>
        </w:rPr>
        <w:t xml:space="preserve">וכן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 </w:t>
      </w:r>
      <w:r>
        <w:rPr>
          <w:rtl w:val="true"/>
        </w:rPr>
        <w:t>לחזרה מהודאה שנקבעה בפסיקה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tl w:val="true"/>
        </w:rPr>
        <w:t xml:space="preserve"> שניתן לנאשם</w:t>
      </w:r>
      <w:r>
        <w:rPr>
          <w:rtl w:val="true"/>
        </w:rPr>
        <w:t xml:space="preserve">. </w:t>
      </w:r>
      <w:r>
        <w:rPr>
          <w:rtl w:val="true"/>
        </w:rPr>
        <w:t>כשל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לנבוע</w:t>
      </w:r>
      <w:r>
        <w:rPr>
          <w:rtl w:val="true"/>
        </w:rPr>
        <w:t xml:space="preserve"> </w:t>
      </w:r>
      <w:r>
        <w:rPr>
          <w:rtl w:val="true"/>
        </w:rPr>
        <w:t>ממחדלים</w:t>
      </w:r>
      <w:r>
        <w:rPr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tl w:val="true"/>
        </w:rPr>
        <w:t xml:space="preserve"> </w:t>
      </w:r>
      <w:r>
        <w:rPr>
          <w:rtl w:val="true"/>
        </w:rPr>
        <w:t>התעלמות</w:t>
      </w:r>
      <w:r>
        <w:rPr>
          <w:rtl w:val="true"/>
        </w:rPr>
        <w:t xml:space="preserve"> </w:t>
      </w:r>
      <w:r>
        <w:rPr>
          <w:rtl w:val="true"/>
        </w:rPr>
        <w:t>מראיות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 xml:space="preserve">מחדל סניגוריאלי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הופך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לבלתי</w:t>
      </w:r>
      <w:r>
        <w:rPr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 </w:t>
      </w:r>
      <w:r>
        <w:rPr>
          <w:rtl w:val="true"/>
        </w:rPr>
        <w:t>מעיקרו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3371/17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העילה השלישית והאחרונה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לחשיפת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 xml:space="preserve">הנאשם יהא רשאי לחזור בו מהודאתו אם ישכנע את בית המשפט כי הוא עושה כן מתוך רצון כן ואמיתי להוכיח את חפותו </w:t>
      </w:r>
      <w:r>
        <w:rPr>
          <w:rtl w:val="true"/>
        </w:rPr>
        <w:t>(</w:t>
      </w:r>
      <w:r>
        <w:rPr>
          <w:rtl w:val="true"/>
        </w:rPr>
        <w:t xml:space="preserve">ראו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גולדברג</w:t>
      </w:r>
      <w:r>
        <w:rPr>
          <w:rtl w:val="true"/>
        </w:rPr>
        <w:t xml:space="preserve">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802</w:t>
      </w:r>
      <w:r>
        <w:rPr>
          <w:rtl w:val="true"/>
        </w:rPr>
        <w:t xml:space="preserve">, </w:t>
      </w:r>
      <w:r>
        <w:rPr>
          <w:rtl w:val="true"/>
        </w:rPr>
        <w:t xml:space="preserve">עמם הסכימה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נתניהו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לשלוש עילות אלו </w:t>
      </w:r>
      <w:r>
        <w:rPr>
          <w:rtl w:val="true"/>
        </w:rPr>
        <w:t>–</w:t>
      </w:r>
      <w:r>
        <w:rPr>
          <w:rtl w:val="true"/>
        </w:rPr>
        <w:t xml:space="preserve"> פגם ברצון</w:t>
      </w:r>
      <w:r>
        <w:rPr>
          <w:rtl w:val="true"/>
        </w:rPr>
        <w:t xml:space="preserve">, </w:t>
      </w:r>
      <w:r>
        <w:rPr>
          <w:rtl w:val="true"/>
        </w:rPr>
        <w:t xml:space="preserve">כשל בייצוג וחשיפת האמת העובדתית </w:t>
      </w:r>
      <w:r>
        <w:rPr>
          <w:rtl w:val="true"/>
        </w:rPr>
        <w:t>–</w:t>
      </w:r>
      <w:r>
        <w:rPr>
          <w:rtl w:val="true"/>
        </w:rPr>
        <w:t xml:space="preserve"> ישנו מכנה משותף אחד</w:t>
      </w:r>
      <w:r>
        <w:rPr>
          <w:rtl w:val="true"/>
        </w:rPr>
        <w:t xml:space="preserve">: </w:t>
      </w:r>
      <w:r>
        <w:rPr>
          <w:rtl w:val="true"/>
        </w:rPr>
        <w:t>הנטל להוכיח את התקיימותה של כל עילה ועילה רובץ על הנאשם</w:t>
      </w:r>
      <w:r>
        <w:rPr>
          <w:rtl w:val="true"/>
        </w:rPr>
        <w:t xml:space="preserve">. </w:t>
      </w:r>
      <w:r>
        <w:rPr>
          <w:rtl w:val="true"/>
        </w:rPr>
        <w:t xml:space="preserve">כך עולה מהאמור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גופו</w:t>
      </w:r>
      <w:r>
        <w:rPr>
          <w:rtl w:val="true"/>
        </w:rPr>
        <w:t xml:space="preserve">, </w:t>
      </w:r>
      <w:r>
        <w:rPr>
          <w:rtl w:val="true"/>
        </w:rPr>
        <w:t>לפיו הנאשם הוא זה שצריך לשכנע את בית המשפט כי קיימים טעמים מיוחדים שבעטיים יש לאפשר לו לחזור בו מהודאתו</w:t>
      </w:r>
      <w:r>
        <w:rPr>
          <w:rtl w:val="true"/>
        </w:rPr>
        <w:t xml:space="preserve">; </w:t>
      </w:r>
      <w:r>
        <w:rPr>
          <w:rtl w:val="true"/>
        </w:rPr>
        <w:t xml:space="preserve">וכך עולה גם מהפסיקה שעסקה בנושא זה </w:t>
      </w:r>
      <w:r>
        <w:rPr>
          <w:rtl w:val="true"/>
        </w:rPr>
        <w:t>(</w:t>
      </w:r>
      <w:r>
        <w:rPr>
          <w:rtl w:val="true"/>
        </w:rPr>
        <w:t xml:space="preserve">ראו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5401/18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5.2.2019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וכן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/>
        <w:t>21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ברור ומובן הוא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 xml:space="preserve">הוכחה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יוכל</w:t>
      </w:r>
      <w:r>
        <w:rPr>
          <w:rtl w:val="true"/>
        </w:rPr>
        <w:t xml:space="preserve"> </w:t>
      </w:r>
      <w:r>
        <w:rPr>
          <w:rtl w:val="true"/>
        </w:rPr>
        <w:t>להרימו</w:t>
      </w:r>
      <w:r>
        <w:rPr>
          <w:rtl w:val="true"/>
        </w:rPr>
        <w:t xml:space="preserve"> </w:t>
      </w:r>
      <w:r>
        <w:rPr>
          <w:rtl w:val="true"/>
        </w:rPr>
        <w:t>בהבל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פגם</w:t>
      </w:r>
      <w:r>
        <w:rPr>
          <w:rtl w:val="true"/>
        </w:rPr>
        <w:t xml:space="preserve"> </w:t>
      </w:r>
      <w:r>
        <w:rPr>
          <w:rtl w:val="true"/>
        </w:rPr>
        <w:t>ברצון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באמירה</w:t>
      </w:r>
      <w:r>
        <w:rPr>
          <w:rtl w:val="true"/>
        </w:rPr>
        <w:t xml:space="preserve"> </w:t>
      </w:r>
      <w:r>
        <w:rPr>
          <w:rtl w:val="true"/>
        </w:rPr>
        <w:t>כוללנית</w:t>
      </w:r>
      <w:r>
        <w:rPr>
          <w:rtl w:val="true"/>
        </w:rPr>
        <w:t xml:space="preserve"> </w:t>
      </w:r>
      <w:r>
        <w:rPr>
          <w:rtl w:val="true"/>
        </w:rPr>
        <w:t>וסתמית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 </w:t>
      </w:r>
      <w:r>
        <w:rPr>
          <w:rtl w:val="true"/>
        </w:rPr>
        <w:t>בלחצים</w:t>
      </w:r>
      <w:r>
        <w:rPr>
          <w:rtl w:val="true"/>
        </w:rPr>
        <w:t xml:space="preserve"> </w:t>
      </w:r>
      <w:r>
        <w:rPr>
          <w:rtl w:val="true"/>
        </w:rPr>
        <w:t xml:space="preserve">שהביאוהו </w:t>
      </w:r>
      <w:r>
        <w:rPr>
          <w:rtl w:val="true"/>
        </w:rPr>
        <w:t>להסכים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שההליך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מלחיץ</w:t>
      </w:r>
      <w:r>
        <w:rPr>
          <w:rtl w:val="true"/>
        </w:rPr>
        <w:t xml:space="preserve"> </w:t>
      </w:r>
      <w:r>
        <w:rPr>
          <w:rtl w:val="true"/>
        </w:rPr>
        <w:t>מטיבו ו</w:t>
      </w:r>
      <w:r>
        <w:rPr>
          <w:rtl w:val="true"/>
        </w:rPr>
        <w:t>מטבעו</w:t>
      </w:r>
      <w:r>
        <w:rPr>
          <w:rtl w:val="true"/>
        </w:rPr>
        <w:t xml:space="preserve">, </w:t>
      </w:r>
      <w:r>
        <w:rPr>
          <w:rtl w:val="true"/>
        </w:rPr>
        <w:t>ובלחצים</w:t>
      </w:r>
      <w:r>
        <w:rPr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ההוכחה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 xml:space="preserve">יהיה </w:t>
      </w:r>
      <w:r>
        <w:rPr>
          <w:rtl w:val="true"/>
        </w:rPr>
        <w:t>חייב</w:t>
      </w:r>
      <w:r>
        <w:rPr>
          <w:rtl w:val="true"/>
        </w:rPr>
        <w:t xml:space="preserve"> </w:t>
      </w:r>
      <w:r>
        <w:rPr>
          <w:rtl w:val="true"/>
        </w:rPr>
        <w:t>להיכבד</w:t>
      </w:r>
      <w:r>
        <w:rPr>
          <w:rtl w:val="true"/>
        </w:rPr>
        <w:t xml:space="preserve"> </w:t>
      </w:r>
      <w:r>
        <w:rPr>
          <w:rtl w:val="true"/>
        </w:rPr>
        <w:t>ולהראות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האופן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נוהל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הליך בעניינו או בשל הדרך בה נוהל המשא ומתן לקראת גיבושו של הסדר הטיעון הוא היה נתון בלחצים בלתי סבירים ופסולים אשר שכנעוהו להודות בכתב האישום</w:t>
      </w:r>
      <w:r>
        <w:rPr>
          <w:rtl w:val="true"/>
        </w:rPr>
        <w:t xml:space="preserve">; </w:t>
      </w:r>
      <w:r>
        <w:rPr>
          <w:rtl w:val="true"/>
        </w:rPr>
        <w:t>וכן לפרט את מהות הלחצים האמורים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גם נאשם הטוען לכשל בייצוגו צריך להיכבד ולפרט מהו בדיוק אותו הכשל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יהא עליו להציג לבית המשפט את תגובת הסניגור שאותו הוא מאשים בייצוג כושל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ט 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 (</w:t>
      </w:r>
      <w:r>
        <w:rPr/>
        <w:t>1.5.2013</w:t>
      </w:r>
      <w:r>
        <w:rPr>
          <w:rtl w:val="true"/>
        </w:rPr>
        <w:t xml:space="preserve">)); </w:t>
      </w:r>
      <w:r>
        <w:rPr>
          <w:rtl w:val="true"/>
        </w:rPr>
        <w:t>ואף לוותר</w:t>
      </w:r>
      <w:r>
        <w:rPr>
          <w:rtl w:val="true"/>
        </w:rPr>
        <w:t xml:space="preserve">, </w:t>
      </w:r>
      <w:r>
        <w:rPr>
          <w:rtl w:val="true"/>
        </w:rPr>
        <w:t>במידה הדרושה</w:t>
      </w:r>
      <w:r>
        <w:rPr>
          <w:rtl w:val="true"/>
        </w:rPr>
        <w:t xml:space="preserve">, </w:t>
      </w:r>
      <w:r>
        <w:rPr>
          <w:rtl w:val="true"/>
        </w:rPr>
        <w:t>על חיסיון הדברים שהוחלפו בינו לבין הסניגור עובר למסירת ההודאה</w:t>
      </w:r>
      <w:r>
        <w:rPr>
          <w:rtl w:val="true"/>
        </w:rPr>
        <w:t xml:space="preserve">, </w:t>
      </w:r>
      <w:r>
        <w:rPr>
          <w:rtl w:val="true"/>
        </w:rPr>
        <w:t xml:space="preserve">כדי שדברים אלו יעמדו לנגד עיני בית המשפט אשר דן בבקשת החזרה מההודאה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r>
        <w:rPr>
          <w:rFonts w:cs="Times New Roman" w:ascii="Times New Roman" w:hAnsi="Times New Roman"/>
        </w:rPr>
        <w:t>Strickland v. Washington, 466 U.S. 668, 691 (1984) (“inquiry into counsel's conversations with the defendant may be critical to a proper assessment of counsel's investigation decisions, just as it may be critical to a proper assessment of counsel's other litigation decisions.”)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בהתאם לעיקרון </w:t>
      </w:r>
      <w:r>
        <w:rPr>
          <w:rtl w:val="true"/>
        </w:rPr>
        <w:t>"</w:t>
      </w:r>
      <w:r>
        <w:rPr>
          <w:rtl w:val="true"/>
        </w:rPr>
        <w:t>טָעַנְתָּ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גילית</w:t>
      </w:r>
      <w:r>
        <w:rPr>
          <w:rtl w:val="true"/>
        </w:rPr>
        <w:t>" (</w:t>
      </w:r>
      <w:r>
        <w:rPr>
          <w:rtl w:val="true"/>
        </w:rPr>
        <w:t xml:space="preserve">ראו פסקאות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לפסק דיני ב</w:t>
      </w:r>
      <w:hyperlink r:id="rId2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לעבודה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(‏</w:t>
      </w:r>
      <w:r>
        <w:rPr>
          <w:rFonts w:cs="FrankRuehl" w:ascii="FrankRuehl" w:hAnsi="FrankRuehl"/>
          <w:sz w:val="28"/>
        </w:rPr>
        <w:t>23.7.2019</w:t>
      </w:r>
      <w:r>
        <w:rPr>
          <w:rFonts w:cs="FrankRuehl" w:ascii="FrankRuehl" w:hAnsi="FrankRuehl"/>
          <w:sz w:val="28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הוא גם בכל הנוגע לנאשם החפץ בגילוי האמת העובדתית</w:t>
      </w:r>
      <w:r>
        <w:rPr>
          <w:rtl w:val="true"/>
        </w:rPr>
        <w:t xml:space="preserve">, </w:t>
      </w:r>
      <w:r>
        <w:rPr>
          <w:rtl w:val="true"/>
        </w:rPr>
        <w:t>שלכאורה אינה תואמת את ההודאה שמסר</w:t>
      </w:r>
      <w:r>
        <w:rPr>
          <w:rtl w:val="true"/>
        </w:rPr>
        <w:t xml:space="preserve">. </w:t>
      </w:r>
      <w:r>
        <w:rPr>
          <w:rtl w:val="true"/>
        </w:rPr>
        <w:t>כדי לשכנע את בית המשפט ש</w:t>
      </w:r>
      <w:r>
        <w:rPr>
          <w:rtl w:val="true"/>
        </w:rPr>
        <w:t>"</w:t>
      </w:r>
      <w:r>
        <w:rPr>
          <w:rtl w:val="true"/>
        </w:rPr>
        <w:t xml:space="preserve">המטרה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והיחידה</w:t>
      </w:r>
      <w:r>
        <w:rPr>
          <w:rtl w:val="true"/>
        </w:rPr>
        <w:t xml:space="preserve"> העומדת ביסוד בקשתו היא כי תינתן לו ההזדמנות להוכיח את חפותו</w:t>
      </w:r>
      <w:r>
        <w:rPr>
          <w:rtl w:val="true"/>
        </w:rPr>
        <w:t>" (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802</w:t>
      </w:r>
      <w:r>
        <w:rPr>
          <w:rtl w:val="true"/>
        </w:rPr>
        <w:t xml:space="preserve">; 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.), </w:t>
      </w:r>
      <w:r>
        <w:rPr>
          <w:rtl w:val="true"/>
        </w:rPr>
        <w:t>הנאשם יהיה חייב לפרט מהי אותה האמת ולפרוש לפני בית המשפט את סיפור המעשה ואת פרטיה של גירסת החפות שלו</w:t>
      </w:r>
      <w:r>
        <w:rPr>
          <w:rtl w:val="true"/>
        </w:rPr>
        <w:t xml:space="preserve">, </w:t>
      </w:r>
      <w:r>
        <w:rPr>
          <w:rtl w:val="true"/>
        </w:rPr>
        <w:t>ללא כחל ושרק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למותר לציין</w:t>
      </w:r>
      <w:r>
        <w:rPr>
          <w:rtl w:val="true"/>
        </w:rPr>
        <w:t xml:space="preserve">, </w:t>
      </w:r>
      <w:r>
        <w:rPr>
          <w:rtl w:val="true"/>
        </w:rPr>
        <w:t>כי רצוי הוא עד מאוד כי נאשם המגיש בקשה לחזרה מהודאה יניח את התשתית העובדתית לבקשתו זו באמצעות תצהיר</w:t>
      </w:r>
      <w:r>
        <w:rPr>
          <w:rtl w:val="true"/>
        </w:rPr>
        <w:t xml:space="preserve">, </w:t>
      </w:r>
      <w:r>
        <w:rPr>
          <w:rtl w:val="true"/>
        </w:rPr>
        <w:t>שכן בהעדר תצהיר שבו הוא מתחייב לומר את האמת ושבו הוא קושר את עצמו לגירסה עובדתית קונקרטית ומחייבת</w:t>
      </w:r>
      <w:r>
        <w:rPr>
          <w:rtl w:val="true"/>
        </w:rPr>
        <w:t xml:space="preserve">, </w:t>
      </w:r>
      <w:r>
        <w:rPr>
          <w:rtl w:val="true"/>
        </w:rPr>
        <w:t>אמינותו תהא מוטלת בספק</w:t>
      </w:r>
      <w:r>
        <w:rPr>
          <w:rtl w:val="true"/>
        </w:rPr>
        <w:t xml:space="preserve">. </w:t>
      </w:r>
      <w:r>
        <w:rPr>
          <w:rtl w:val="true"/>
        </w:rPr>
        <w:t>ברי הוא גם</w:t>
      </w:r>
      <w:r>
        <w:rPr>
          <w:rtl w:val="true"/>
        </w:rPr>
        <w:t xml:space="preserve">, </w:t>
      </w:r>
      <w:r>
        <w:rPr>
          <w:rtl w:val="true"/>
        </w:rPr>
        <w:t xml:space="preserve">כי יהיה זה רצוי עד מאוד שהנאשם הטוען לפגם ברצון או לכשל בייצוג יפרט בתצהירו </w:t>
      </w:r>
      <w:r>
        <w:rPr>
          <w:rtl w:val="true"/>
        </w:rPr>
        <w:t>–</w:t>
      </w:r>
      <w:r>
        <w:rPr>
          <w:rtl w:val="true"/>
        </w:rPr>
        <w:t xml:space="preserve"> לצד פירוט התשתית העובדתית המבססת את בקשתו </w:t>
      </w:r>
      <w:r>
        <w:rPr>
          <w:rtl w:val="true"/>
        </w:rPr>
        <w:t>–</w:t>
      </w:r>
      <w:r>
        <w:rPr>
          <w:rtl w:val="true"/>
        </w:rPr>
        <w:t xml:space="preserve"> את גירסת החפות שלו</w:t>
      </w:r>
      <w:r>
        <w:rPr>
          <w:rtl w:val="true"/>
        </w:rPr>
        <w:t xml:space="preserve">, </w:t>
      </w:r>
      <w:r>
        <w:rPr>
          <w:rtl w:val="true"/>
        </w:rPr>
        <w:t>אם יש בפיו גירסה כזאת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 xml:space="preserve">אחרון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מאחר שהעילות האמורות הן עילות עצמאיות לחזרה מההודאה והתקיימותן איננה תלויה בבירור האשמה כשאלה עובדתית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במקרה דכאן</w:t>
      </w:r>
      <w:r>
        <w:rPr>
          <w:rtl w:val="true"/>
        </w:rPr>
        <w:t xml:space="preserve">, </w:t>
      </w:r>
      <w:r>
        <w:rPr>
          <w:rtl w:val="true"/>
        </w:rPr>
        <w:t xml:space="preserve">לטענה כי המערער הרים </w:t>
      </w:r>
      <w:r>
        <w:rPr>
          <w:rtl w:val="true"/>
        </w:rPr>
        <w:t>–</w:t>
      </w:r>
      <w:r>
        <w:rPr>
          <w:rtl w:val="true"/>
        </w:rPr>
        <w:t xml:space="preserve"> או ניסה להרים </w:t>
      </w:r>
      <w:r>
        <w:rPr>
          <w:rtl w:val="true"/>
        </w:rPr>
        <w:t>–</w:t>
      </w:r>
      <w:r>
        <w:rPr>
          <w:rtl w:val="true"/>
        </w:rPr>
        <w:t xml:space="preserve"> את אחד מהנטלים האמורים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. </w:t>
      </w:r>
      <w:r>
        <w:rPr>
          <w:rtl w:val="true"/>
        </w:rPr>
        <w:t>המערער לא הגיש תצהיר ואף לא פירט בדרך אחרת את עילתו לחזרה מההודאה</w:t>
      </w:r>
      <w:r>
        <w:rPr>
          <w:rtl w:val="true"/>
        </w:rPr>
        <w:t xml:space="preserve">. </w:t>
      </w:r>
      <w:r>
        <w:rPr>
          <w:rtl w:val="true"/>
        </w:rPr>
        <w:t>טענתו לכשל אפשרי בייצוגו על ידי סניגורו הקודם עלתה רק בין השיטין</w:t>
      </w:r>
      <w:r>
        <w:rPr>
          <w:rtl w:val="true"/>
        </w:rPr>
        <w:t xml:space="preserve">, </w:t>
      </w:r>
      <w:r>
        <w:rPr>
          <w:rtl w:val="true"/>
        </w:rPr>
        <w:t>כשהיא איננה מגובה בשום סיפור</w:t>
      </w:r>
      <w:r>
        <w:rPr>
          <w:rtl w:val="true"/>
        </w:rPr>
        <w:t>-</w:t>
      </w:r>
      <w:r>
        <w:rPr>
          <w:rtl w:val="true"/>
        </w:rPr>
        <w:t>מעשה קונקרטי</w:t>
      </w:r>
      <w:r>
        <w:rPr>
          <w:rtl w:val="true"/>
        </w:rPr>
        <w:t xml:space="preserve">. </w:t>
      </w:r>
      <w:r>
        <w:rPr>
          <w:rtl w:val="true"/>
        </w:rPr>
        <w:t>ההיפך הוא הנכון</w:t>
      </w:r>
      <w:r>
        <w:rPr>
          <w:rtl w:val="true"/>
        </w:rPr>
        <w:t xml:space="preserve">: </w:t>
      </w:r>
      <w:r>
        <w:rPr>
          <w:rtl w:val="true"/>
        </w:rPr>
        <w:t>העובדות מצביעות על כך שסניגורו של המערער שיתפו בפרטי הסדר הטיעון והסביר לו ולהוריו את משמעותו</w:t>
      </w:r>
      <w:r>
        <w:rPr>
          <w:rtl w:val="true"/>
        </w:rPr>
        <w:t xml:space="preserve">. </w:t>
      </w:r>
      <w:r>
        <w:rPr>
          <w:rtl w:val="true"/>
        </w:rPr>
        <w:t>לא קיימת אפוא שום אינדיקציה לכך שהסניגור פעל בחוסר תום לב או באופן בלתי מקצועי</w:t>
      </w:r>
      <w:r>
        <w:rPr>
          <w:rtl w:val="true"/>
        </w:rPr>
        <w:t xml:space="preserve">, </w:t>
      </w:r>
      <w:r>
        <w:rPr>
          <w:rtl w:val="true"/>
        </w:rPr>
        <w:t>מבלי ללמוד את חומר החקירה ומבלי לאמוד את סיכויי ההרשעה ואת השלכותיה העונשיות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המערער לא טען לקיומו של פגם ברצונו החופשי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 xml:space="preserve">נסיבות מתן ההודאה מצביעות על כך שהמערער הבין היטב את הסדר הטיעון שהוצע לו </w:t>
      </w:r>
      <w:r>
        <w:rPr>
          <w:rtl w:val="true"/>
        </w:rPr>
        <w:t>–</w:t>
      </w:r>
      <w:r>
        <w:rPr>
          <w:rtl w:val="true"/>
        </w:rPr>
        <w:t xml:space="preserve"> הוא שיתף את הוריו בפרטיו ובמתן הסכמתו לתנאיו</w:t>
      </w:r>
      <w:r>
        <w:rPr>
          <w:rtl w:val="true"/>
        </w:rPr>
        <w:t xml:space="preserve">; </w:t>
      </w:r>
      <w:r>
        <w:rPr>
          <w:rtl w:val="true"/>
        </w:rPr>
        <w:t xml:space="preserve">ובין כה וכה פרטי ההסדר הינם פשוטים דיים להבנה עבור נער בן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באשר לחשיפת האמת העובדתית</w:t>
      </w:r>
      <w:r>
        <w:rPr>
          <w:rtl w:val="true"/>
        </w:rPr>
        <w:t xml:space="preserve">, </w:t>
      </w:r>
      <w:r>
        <w:rPr>
          <w:rtl w:val="true"/>
        </w:rPr>
        <w:t xml:space="preserve">הרי שהמערער כלל לא טרח לספר לבית משפט קמא </w:t>
      </w:r>
      <w:r>
        <w:rPr>
          <w:rtl w:val="true"/>
        </w:rPr>
        <w:t>–</w:t>
      </w:r>
      <w:r>
        <w:rPr>
          <w:rtl w:val="true"/>
        </w:rPr>
        <w:t xml:space="preserve"> ואף נמנע מלספר לנו </w:t>
      </w:r>
      <w:r>
        <w:rPr>
          <w:rtl w:val="true"/>
        </w:rPr>
        <w:t>–</w:t>
      </w:r>
      <w:r>
        <w:rPr>
          <w:rtl w:val="true"/>
        </w:rPr>
        <w:t xml:space="preserve"> מהי אותה האמת שלקיומה הוא טוען</w:t>
      </w:r>
      <w:r>
        <w:rPr>
          <w:rtl w:val="true"/>
        </w:rPr>
        <w:t xml:space="preserve">, </w:t>
      </w:r>
      <w:r>
        <w:rPr>
          <w:rtl w:val="true"/>
        </w:rPr>
        <w:t>וכיצד בדיוק היא עולה בקנה אחד עם חפותו</w:t>
      </w:r>
      <w:r>
        <w:rPr>
          <w:rtl w:val="true"/>
        </w:rPr>
        <w:t xml:space="preserve">. </w:t>
      </w:r>
      <w:r>
        <w:rPr>
          <w:rtl w:val="true"/>
        </w:rPr>
        <w:t>המערער לא מסר שום גירסת אליבי או סיפור</w:t>
      </w:r>
      <w:r>
        <w:rPr>
          <w:rtl w:val="true"/>
        </w:rPr>
        <w:t>-</w:t>
      </w:r>
      <w:r>
        <w:rPr>
          <w:rtl w:val="true"/>
        </w:rPr>
        <w:t xml:space="preserve">מעשה אחר אשר מנתק אותו מחוליית הטרור וממעלליה </w:t>
      </w:r>
      <w:r>
        <w:rPr>
          <w:rtl w:val="true"/>
        </w:rPr>
        <w:t>–</w:t>
      </w:r>
      <w:r>
        <w:rPr>
          <w:rtl w:val="true"/>
        </w:rPr>
        <w:t xml:space="preserve"> הוא מילא פיו מים</w:t>
      </w:r>
      <w:r>
        <w:rPr>
          <w:rtl w:val="true"/>
        </w:rPr>
        <w:t xml:space="preserve">. </w:t>
      </w:r>
      <w:r>
        <w:rPr>
          <w:rtl w:val="true"/>
        </w:rPr>
        <w:t>בדרך זו לא ניתן לבסס עילה לחזרה מהודאה</w:t>
      </w:r>
      <w:r>
        <w:rPr>
          <w:rtl w:val="true"/>
        </w:rPr>
        <w:t xml:space="preserve">. </w:t>
      </w:r>
      <w:r>
        <w:rPr>
          <w:rtl w:val="true"/>
        </w:rPr>
        <w:t>כפי שכבר הסברתי</w:t>
      </w:r>
      <w:r>
        <w:rPr>
          <w:rtl w:val="true"/>
        </w:rPr>
        <w:t xml:space="preserve">, </w:t>
      </w:r>
      <w:r>
        <w:rPr>
          <w:rtl w:val="true"/>
        </w:rPr>
        <w:t>נאשם הטוען לחפותו כאמת עובדתית אינו יכול לבסס את טענתו בהבל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באופן סתמי וללא פירוט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אינני מוצא אפוא כל רבב בהתרשמותו של בית משפט קמא לפיה המערער ביקש לחזור בו מהודאתו ולבטל את הסדר הטיעון ה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בשל שינוי עמדתו ביחס לעונש</w:t>
      </w:r>
      <w:r>
        <w:rPr>
          <w:rtl w:val="true"/>
        </w:rPr>
        <w:t xml:space="preserve">. </w:t>
      </w:r>
      <w:r>
        <w:rPr>
          <w:rtl w:val="true"/>
        </w:rPr>
        <w:t>כפי שכבר נאמר</w:t>
      </w:r>
      <w:r>
        <w:rPr>
          <w:rtl w:val="true"/>
        </w:rPr>
        <w:t xml:space="preserve">, </w:t>
      </w:r>
      <w:r>
        <w:rPr>
          <w:rtl w:val="true"/>
        </w:rPr>
        <w:t xml:space="preserve">פרוצדורה פלילית איננה </w:t>
      </w:r>
      <w:r>
        <w:rPr>
          <w:rtl w:val="true"/>
        </w:rPr>
        <w:t>"</w:t>
      </w:r>
      <w:r>
        <w:rPr>
          <w:rtl w:val="true"/>
        </w:rPr>
        <w:t>משחק אשקוקי</w:t>
      </w:r>
      <w:r>
        <w:rPr>
          <w:rtl w:val="true"/>
        </w:rPr>
        <w:t xml:space="preserve">", </w:t>
      </w:r>
      <w:r>
        <w:rPr>
          <w:rtl w:val="true"/>
        </w:rPr>
        <w:t xml:space="preserve">אך גם איננה </w:t>
      </w:r>
      <w:r>
        <w:rPr>
          <w:rtl w:val="true"/>
        </w:rPr>
        <w:t>"</w:t>
      </w:r>
      <w:r>
        <w:rPr>
          <w:rtl w:val="true"/>
        </w:rPr>
        <w:t>תכנית כבקשתך</w:t>
      </w:r>
      <w:r>
        <w:rPr>
          <w:rtl w:val="true"/>
        </w:rPr>
        <w:t xml:space="preserve">". </w:t>
      </w:r>
      <w:r>
        <w:rPr>
          <w:rtl w:val="true"/>
        </w:rPr>
        <w:t>שלא כמו במשחק השחמט</w:t>
      </w:r>
      <w:r>
        <w:rPr>
          <w:rtl w:val="true"/>
        </w:rPr>
        <w:t xml:space="preserve">, </w:t>
      </w:r>
      <w:r>
        <w:rPr>
          <w:rtl w:val="true"/>
        </w:rPr>
        <w:t>נאשם שעשה מהלך שגוי יהא רשאי לבטלו מסיבות טובות</w:t>
      </w:r>
      <w:r>
        <w:rPr>
          <w:rtl w:val="true"/>
        </w:rPr>
        <w:t xml:space="preserve">, </w:t>
      </w:r>
      <w:r>
        <w:rPr>
          <w:rtl w:val="true"/>
        </w:rPr>
        <w:t>אולם לשם כך יהא עליו להניח תשתית עובדתית שמראה כי סיבות כאמור אכן קיימות במציאות</w:t>
      </w:r>
      <w:r>
        <w:rPr>
          <w:rtl w:val="true"/>
        </w:rPr>
        <w:t xml:space="preserve">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נאשם איננו רשאי להחזיר את כלי השחמט לעמדתם ההתחלתית כדי להתחיל את המשחק מחדש רק משום שנוכח לדעת כי המשחק איננו מתנהל לטעמו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כי בטענות המערער אשר מלינות על הרשעתו על בסיס ההודאה שמסר לבית משפט קמא אין כל ממש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 לעונש המאסר שהושת על המערער</w:t>
      </w:r>
      <w:r>
        <w:rPr>
          <w:rtl w:val="true"/>
        </w:rPr>
        <w:t xml:space="preserve">, </w:t>
      </w:r>
      <w:r>
        <w:rPr>
          <w:rtl w:val="true"/>
        </w:rPr>
        <w:t>סבורני כי עונש זה הינו שקול</w:t>
      </w:r>
      <w:r>
        <w:rPr>
          <w:rtl w:val="true"/>
        </w:rPr>
        <w:t xml:space="preserve">, </w:t>
      </w:r>
      <w:r>
        <w:rPr>
          <w:rtl w:val="true"/>
        </w:rPr>
        <w:t>מאוזן והולם את חומרת מעשיו</w:t>
      </w:r>
      <w:r>
        <w:rPr>
          <w:rtl w:val="true"/>
        </w:rPr>
        <w:t xml:space="preserve">, </w:t>
      </w:r>
      <w:r>
        <w:rPr>
          <w:rtl w:val="true"/>
        </w:rPr>
        <w:t>שכאמור כללו ניסיון לרצוח אזרחים תמימים על ידי הצתת רכב ההסעות בו נסעו</w:t>
      </w:r>
      <w:r>
        <w:rPr>
          <w:rtl w:val="true"/>
        </w:rPr>
        <w:t xml:space="preserve">. </w:t>
      </w:r>
      <w:r>
        <w:rPr>
          <w:rtl w:val="true"/>
        </w:rPr>
        <w:t>רק נס הוא שלא אירעה פגיעה בנפש בעקבות המעשים הללו</w:t>
      </w:r>
      <w:r>
        <w:rPr>
          <w:rtl w:val="true"/>
        </w:rPr>
        <w:t xml:space="preserve">. </w:t>
      </w:r>
      <w:r>
        <w:rPr>
          <w:rtl w:val="true"/>
        </w:rPr>
        <w:t>המערער ביצע מעשים חמורים אלו בהיותו כמעט בגיר</w:t>
      </w:r>
      <w:r>
        <w:rPr>
          <w:rtl w:val="true"/>
        </w:rPr>
        <w:t>. "</w:t>
      </w:r>
      <w:r>
        <w:rPr>
          <w:rtl w:val="true"/>
        </w:rPr>
        <w:t>כמעט בגיר</w:t>
      </w:r>
      <w:r>
        <w:rPr>
          <w:rtl w:val="true"/>
        </w:rPr>
        <w:t xml:space="preserve">" </w:t>
      </w:r>
      <w:r>
        <w:rPr>
          <w:rtl w:val="true"/>
        </w:rPr>
        <w:t>אינו אלא קטין הזכאי לקבל עונש מופחת בהשוואה לנאשם בגיר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אכן זכה לקבל עונש מופחת </w:t>
      </w:r>
      <w:r>
        <w:rPr>
          <w:rtl w:val="true"/>
        </w:rPr>
        <w:t>(</w:t>
      </w:r>
      <w:r>
        <w:rPr>
          <w:rtl w:val="true"/>
        </w:rPr>
        <w:t xml:space="preserve">ראו בעניין זה את האבחנות שעשתה 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5725/15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‏‏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12-10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4.8.2016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בגין מעשים דוגמת אלו שבוצעו על 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נאשמים בגירים נדונים לעשרים שנות מאסר ואף לתקופה ארוכה יותר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2.5.2019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 שמאסרו של המערער הועמד על שתים</w:t>
      </w:r>
      <w:r>
        <w:rPr>
          <w:rtl w:val="true"/>
        </w:rPr>
        <w:t>-</w:t>
      </w:r>
      <w:r>
        <w:rPr>
          <w:rtl w:val="true"/>
        </w:rPr>
        <w:t>עשרה שנים בלבד</w:t>
      </w:r>
      <w:r>
        <w:rPr>
          <w:rtl w:val="true"/>
        </w:rPr>
        <w:t xml:space="preserve">. </w:t>
      </w:r>
      <w:r>
        <w:rPr>
          <w:rtl w:val="true"/>
        </w:rPr>
        <w:t xml:space="preserve">אינני מוצא אפוא שום טעם מיוחד וחריג אשר עשוי להצדיק את התערבותנו בעונש שהושת על המערער במסגרתו של הסדר טיעון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2.6.2016</w:t>
      </w:r>
      <w:r>
        <w:rPr>
          <w:rtl w:val="true"/>
        </w:rPr>
        <w:t xml:space="preserve">)). </w:t>
      </w:r>
      <w:r>
        <w:rPr>
          <w:rtl w:val="true"/>
        </w:rPr>
        <w:t>טענות המערער ביחס לעונשו אף הן תלויות אפוא על בלימה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הנני מציע לחברותיי לדחות את הערעור 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29.10.2019</w:t>
      </w:r>
      <w:r>
        <w:rPr>
          <w:rtl w:val="true"/>
        </w:rPr>
        <w:t xml:space="preserve">). </w:t>
      </w:r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18087770</w:t>
      </w:r>
      <w:r>
        <w:rPr>
          <w:sz w:val="16"/>
          <w:rtl w:val="true"/>
        </w:rPr>
        <w:t>_</w:t>
      </w:r>
      <w:r>
        <w:rPr>
          <w:sz w:val="16"/>
        </w:rPr>
        <w:t>F03.docx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54678313-8777/18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8777/18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ascii="Century" w:hAnsi="Century" w:cs="Century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Century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153" TargetMode="External"/><Relationship Id="rId4" Type="http://schemas.openxmlformats.org/officeDocument/2006/relationships/hyperlink" Target="http://www.nevo.co.il/law/74903/153.a" TargetMode="External"/><Relationship Id="rId5" Type="http://schemas.openxmlformats.org/officeDocument/2006/relationships/hyperlink" Target="http://www.nevo.co.il/law/74903/154" TargetMode="External"/><Relationship Id="rId6" Type="http://schemas.openxmlformats.org/officeDocument/2006/relationships/hyperlink" Target="http://www.nevo.co.il/law/74903/153.a" TargetMode="External"/><Relationship Id="rId7" Type="http://schemas.openxmlformats.org/officeDocument/2006/relationships/hyperlink" Target="http://www.nevo.co.il/law/74903/153" TargetMode="External"/><Relationship Id="rId8" Type="http://schemas.openxmlformats.org/officeDocument/2006/relationships/hyperlink" Target="http://www.nevo.co.il/case/17920850" TargetMode="External"/><Relationship Id="rId9" Type="http://schemas.openxmlformats.org/officeDocument/2006/relationships/hyperlink" Target="http://www.nevo.co.il/law/74903/154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153.a" TargetMode="External"/><Relationship Id="rId13" Type="http://schemas.openxmlformats.org/officeDocument/2006/relationships/hyperlink" Target="http://www.nevo.co.il/case/16996017" TargetMode="External"/><Relationship Id="rId14" Type="http://schemas.openxmlformats.org/officeDocument/2006/relationships/hyperlink" Target="http://www.nevo.co.il/case/24493093" TargetMode="External"/><Relationship Id="rId15" Type="http://schemas.openxmlformats.org/officeDocument/2006/relationships/hyperlink" Target="http://www.nevo.co.il/case/6244782" TargetMode="External"/><Relationship Id="rId16" Type="http://schemas.openxmlformats.org/officeDocument/2006/relationships/hyperlink" Target="http://www.nevo.co.il/law/74903/153" TargetMode="External"/><Relationship Id="rId17" Type="http://schemas.openxmlformats.org/officeDocument/2006/relationships/hyperlink" Target="http://www.nevo.co.il/case/5927840" TargetMode="External"/><Relationship Id="rId18" Type="http://schemas.openxmlformats.org/officeDocument/2006/relationships/hyperlink" Target="http://www.nevo.co.il/case/5594324" TargetMode="External"/><Relationship Id="rId19" Type="http://schemas.openxmlformats.org/officeDocument/2006/relationships/hyperlink" Target="http://www.nevo.co.il/case/22546596" TargetMode="External"/><Relationship Id="rId20" Type="http://schemas.openxmlformats.org/officeDocument/2006/relationships/hyperlink" Target="http://www.nevo.co.il/law/74903/153.a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case/24493087" TargetMode="External"/><Relationship Id="rId23" Type="http://schemas.openxmlformats.org/officeDocument/2006/relationships/hyperlink" Target="http://www.nevo.co.il/case/5612038" TargetMode="External"/><Relationship Id="rId24" Type="http://schemas.openxmlformats.org/officeDocument/2006/relationships/hyperlink" Target="http://www.nevo.co.il/case/23751430" TargetMode="External"/><Relationship Id="rId25" Type="http://schemas.openxmlformats.org/officeDocument/2006/relationships/hyperlink" Target="http://www.nevo.co.il/case/20533387" TargetMode="External"/><Relationship Id="rId26" Type="http://schemas.openxmlformats.org/officeDocument/2006/relationships/hyperlink" Target="http://www.nevo.co.il/case/25067020" TargetMode="External"/><Relationship Id="rId27" Type="http://schemas.openxmlformats.org/officeDocument/2006/relationships/hyperlink" Target="http://www.nevo.co.il/case/20605554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2019-10-30T17:04:00Z</dcterms:created>
  <dc:creator>h4</dc:creator>
  <dc:description/>
  <cp:keywords/>
  <dc:language>en-IL</dc:language>
  <cp:lastModifiedBy>orly</cp:lastModifiedBy>
  <cp:lastPrinted>2019-10-29T09:18:00Z</cp:lastPrinted>
  <dcterms:modified xsi:type="dcterms:W3CDTF">2019-10-30T17:04:00Z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ProcID=26&amp;PartA=3510&amp;PartC=08</vt:lpwstr>
  </property>
  <property fmtid="{D5CDD505-2E9C-101B-9397-08002B2CF9AE}" pid="9" name="CASENOTES2">
    <vt:lpwstr>ProcID=26;184&amp;PartA=4535&amp;PartC=08</vt:lpwstr>
  </property>
  <property fmtid="{D5CDD505-2E9C-101B-9397-08002B2CF9AE}" pid="10" name="CASENOTES3">
    <vt:lpwstr>ProcID=213&amp;PartA=643&amp;PartC=64</vt:lpwstr>
  </property>
  <property fmtid="{D5CDD505-2E9C-101B-9397-08002B2CF9AE}" pid="11" name="CASESLISTTMP1">
    <vt:lpwstr>17920850;16996017;24493093;6244782;5927840;5594324;22546596;24493087;5612038;23751430;20533387;25067020;20605554</vt:lpwstr>
  </property>
  <property fmtid="{D5CDD505-2E9C-101B-9397-08002B2CF9AE}" pid="12" name="CITY">
    <vt:lpwstr/>
  </property>
  <property fmtid="{D5CDD505-2E9C-101B-9397-08002B2CF9AE}" pid="13" name="DATE">
    <vt:lpwstr>20191029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ע' ברון;י' וילנר;א' שטיין</vt:lpwstr>
  </property>
  <property fmtid="{D5CDD505-2E9C-101B-9397-08002B2CF9AE}" pid="17" name="LAWLISTTMP1">
    <vt:lpwstr>74903/154;153.a:2;153</vt:lpwstr>
  </property>
  <property fmtid="{D5CDD505-2E9C-101B-9397-08002B2CF9AE}" pid="18" name="LAWYER">
    <vt:lpwstr>עודד ציון;חאלד אזברגה;בכר ג'ברין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18;77;77</vt:lpwstr>
  </property>
  <property fmtid="{D5CDD505-2E9C-101B-9397-08002B2CF9AE}" pid="40" name="NOSE21">
    <vt:lpwstr>הודאה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456;1446;1446</vt:lpwstr>
  </property>
  <property fmtid="{D5CDD505-2E9C-101B-9397-08002B2CF9AE}" pid="51" name="NOSE31">
    <vt:lpwstr>חזרה מהודאה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אלימות על רקע לאומני‏</vt:lpwstr>
  </property>
  <property fmtid="{D5CDD505-2E9C-101B-9397-08002B2CF9AE}" pid="54" name="NOSE33">
    <vt:lpwstr>הסדר טיעון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3598;16899;15822</vt:lpwstr>
  </property>
  <property fmtid="{D5CDD505-2E9C-101B-9397-08002B2CF9AE}" pid="62" name="PADIDATE">
    <vt:lpwstr>20191031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8777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410120191029</vt:lpwstr>
  </property>
  <property fmtid="{D5CDD505-2E9C-101B-9397-08002B2CF9AE}" pid="72" name="TYPE_N_DATE">
    <vt:lpwstr>41020191029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