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8794/20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5.11.2020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14184-01-18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רפפורט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יעקב קדמי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>הדין בראי הפסיקה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bookmarkStart w:id="12" w:name="ABSTRACT_START"/>
      <w:bookmarkEnd w:id="12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מהרשעה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בגיסתו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הקטינה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התומכות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בגרסתה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הבהיר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לחובתו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חזקות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משמעיות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בחינתן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שהוטל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40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יחידה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קורבן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בחינתה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ההוכחה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בתי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במשפחה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בגדרו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בקטינה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אחותה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אשתו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אינוס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ונדון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40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שכוללים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80,000</w:t>
      </w:r>
      <w:r>
        <w:rPr>
          <w:rFonts w:cs="FrankRuehl" w:ascii="Times New Roman" w:hAnsi="Times New Roman"/>
          <w:szCs w:val="26"/>
          <w:rtl w:val="true"/>
        </w:rPr>
        <w:t xml:space="preserve"> ₪.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מפי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ברק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ארז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לנשיאה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פוגלמן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בניגוד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לדעתו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החולקת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שטיין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דחה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מיעוט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מספק</w:t>
      </w:r>
      <w:r>
        <w:rPr>
          <w:rFonts w:cs="FrankRuehl" w:ascii="Times New Roman" w:hAnsi="Times New Roman"/>
          <w:szCs w:val="26"/>
          <w:rtl w:val="true"/>
        </w:rPr>
        <w:t xml:space="preserve">", </w:t>
      </w:r>
      <w:r>
        <w:rPr>
          <w:rFonts w:ascii="Times New Roman" w:hAnsi="Times New Roman" w:cs="FrankRuehl"/>
          <w:szCs w:val="26"/>
          <w:rtl w:val="true"/>
        </w:rPr>
        <w:t>שמצמצם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תחולת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תוקף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כדוגמת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החוסים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54</w:t>
      </w:r>
      <w:r>
        <w:rPr>
          <w:rFonts w:ascii="Times New Roman" w:hAnsi="Times New Roman" w:cs="FrankRuehl"/>
          <w:szCs w:val="26"/>
          <w:rtl w:val="true"/>
        </w:rPr>
        <w:t>א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ב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לפקודת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להרשיע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ובלבד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תפרט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הנימוק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להסתפק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המיעוט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ציינה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מיוחדת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שחלה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נועדה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לאפשר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לערכאת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לבדוק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בשבע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עיניים</w:t>
      </w:r>
      <w:r>
        <w:rPr>
          <w:rFonts w:cs="FrankRuehl" w:ascii="Times New Roman" w:hAnsi="Times New Roman"/>
          <w:szCs w:val="26"/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המיעוט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הושתתה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במיוחס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כולל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שמהימנותה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נשללה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חיזוקים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אובייקטיביים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מול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בטוח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מספקת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לביסוס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ההרשעה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בפלילים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מוכיח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קיומם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תרחישים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חפותו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המיעוט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נראה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וראוי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להרשיע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תישחק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דרישת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ההוכחה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ותיווצר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שיטה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קבלת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החלטות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שעלולה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להביא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במהלך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העניינים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הרגיל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להרשעת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נאשמים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ביצעו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הפליליים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המיוחסים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תוצאה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כאמור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אני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מאמין</w:t>
      </w:r>
      <w:r>
        <w:rPr>
          <w:rFonts w:cs="FrankRuehl" w:ascii="Times New Roman" w:hAnsi="Times New Roman"/>
          <w:szCs w:val="26"/>
          <w:rtl w:val="true"/>
        </w:rPr>
        <w:t xml:space="preserve">"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שוחרת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חירות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לפיכך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מהעבירה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הספק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השופטת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ארז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שכתבה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הרוב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ציינה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נכון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לזהות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ענייננו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להצדיק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בחובת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ההנמקה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הקבועה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בסעיף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54</w:t>
      </w:r>
      <w:r>
        <w:rPr>
          <w:rFonts w:ascii="Times New Roman" w:hAnsi="Times New Roman" w:cs="FrankRuehl"/>
          <w:szCs w:val="26"/>
          <w:rtl w:val="true"/>
        </w:rPr>
        <w:t>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לפקודת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הראיות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הנמקה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המבוססת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שהתקיים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תיחשב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מספקת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יחידה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נתמכה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בראיות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למצבה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חשיפת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בניגוד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המיעוט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ניתן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משקל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הנפשי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הקרבן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חשיפת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שחלף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מביצועם</w:t>
      </w:r>
      <w:r>
        <w:rPr>
          <w:rFonts w:cs="FrankRuehl" w:ascii="Times New Roman" w:hAnsi="Times New Roman"/>
          <w:szCs w:val="26"/>
          <w:rtl w:val="true"/>
        </w:rPr>
        <w:t xml:space="preserve">), </w:t>
      </w:r>
      <w:r>
        <w:rPr>
          <w:rFonts w:ascii="Times New Roman" w:hAnsi="Times New Roman" w:cs="FrankRuehl"/>
          <w:szCs w:val="26"/>
          <w:rtl w:val="true"/>
        </w:rPr>
        <w:t>ובעדויות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נוספות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המחזקות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דעת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ציינה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שהמתלוננת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נפגעה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ודחה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האפשרות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שהפוגע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אחר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מלבד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לא מצאה מקום לקבוע חריג נוסף לכלל של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התערבות ערכאת הערעור בממצאי עובדה של הערכאה הדיונית שעניינו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מסד ראייתי בלתי מספק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רק בביטוי לעיקרון שעניינו רף ההוכחה הנדרש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ובכך דעת המיעוט מבקשת למעשה לצמצם את היקף תחולתו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כי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דעת המיעוט למעשה אין די בעדות מתלוננת שנמצאה מהימנה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 לצורך הרשעת נאשם בדינו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בהיעדר ראיה התומכת בה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אין לקבל גישה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לנמק מדוע הסתפק בעדותו היחידה של קרבן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כטענת דעת המיעוט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לשלול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רחל בתך הקטנה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גרסת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מתחדדים במקרה שבו יש שתי גרסאות סותרות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מצאה הערכאה הדיונית את גרסתו של קרבן העבירה מהימנה והעדיפה אותה על פני גרסת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מצאה לה חיזוקים ראייתיים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כבנסיבות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 כי בכך נשללה גרסת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הרוב פסקה כי אין עילה להתערב במסקנותיו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על רקע ממצאיו העובדתיים והן נוכח המשקל שיש לייחס לעדות מפורטת ומהימנה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מלוות אותה ראיות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רהוטה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האינדיקציות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פה אחד הוסכם כי יש לדחותו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העונש שהוטל על המערער אינו סוטה לחומרה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Cs w:val="22"/>
          <w:u w:val="single"/>
        </w:rPr>
      </w:pPr>
      <w:r>
        <w:rPr>
          <w:rFonts w:cs="Miriam"/>
          <w:szCs w:val="22"/>
          <w:u w:val="single"/>
          <w:rtl w:val="true"/>
        </w:rPr>
      </w:r>
      <w:bookmarkStart w:id="18" w:name="Writer_Name"/>
      <w:bookmarkStart w:id="19" w:name="Writer_Name"/>
      <w:bookmarkEnd w:id="19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5.11.2020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14184-01-18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15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6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גרוסקופף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21.12.2020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התארחו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נרדמה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שתעסה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עכוזה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ושפשף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1"/>
        <w:bidi w:val="1"/>
        <w:spacing w:before="0" w:after="0"/>
        <w:ind w:end="0"/>
        <w:jc w:val="both"/>
        <w:rPr>
          <w:rFonts w:ascii="Century" w:hAnsi="Century" w:cs="Miriam"/>
          <w:b/>
          <w:spacing w:val="0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קמא</w:t>
      </w:r>
    </w:p>
    <w:p>
      <w:pPr>
        <w:pStyle w:val="ruller411"/>
        <w:bidi w:val="1"/>
        <w:spacing w:before="0" w:after="0"/>
        <w:ind w:end="0"/>
        <w:jc w:val="both"/>
        <w:rPr>
          <w:rFonts w:ascii="Century" w:hAnsi="Century" w:cs="Miriam"/>
          <w:b/>
          <w:spacing w:val="0"/>
          <w:sz w:val="22"/>
        </w:rPr>
      </w:pPr>
      <w:r>
        <w:rPr>
          <w:rFonts w:cs="Miriam" w:ascii="Century" w:hAnsi="Century"/>
          <w:b/>
          <w:spacing w:val="0"/>
          <w:sz w:val="22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כעיסו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שחזור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הגירושין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אינטואיציה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התרשמותו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בדיבורה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בהיסוס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והתמודדותה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שנצמד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מצאוֹ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המישוש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כמטפלת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והעלילו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הגירושין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113-112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ומשכנעת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שסבלה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ותמיהות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לטענה כי המתלוננת מסרה מספר גרסאות ביחס למועד התרחשות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בכיתה 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 בכיתה ז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 כי טבעי הוא שנפגעת מפגיעה מינית בגילה של המתלוננת תתקשה להעריך את הזמן שחלף וכי טעותה של המתלוננת היתה טבעית ומסתברת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אין בסתירות לגבי מועד האירוע אינדיקציה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מהימנות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24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שינתה את גרסתה ביחס לסדר האירועים באופן אשר מעיד על בעיית מהימנות וסוגסטיביליות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בשחזור ובעדותה תיארה המתלוננת כי פעולתו הראשונה של המערער היתה הפשלת מכנסיה ולאחר מכן ניסיון חדירה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ריענון זיכרון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אישרה המתלוננת כי אף טרם הפשלת המכנסיים הרגישה את איבר מינו של המערער לוחץ על ישבנה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קבע כי אין מדובר בשינוי גרסה במסגרת היענות להצעה חיצונית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בהיזכרות אותנטית בפרטים לאחר ריענון זיכרון שנעשה כדת וכדין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גם כאן אין מדובר באינדיקציה להעדר מהימנות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סוגסטיביות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הפנה למקטע בעייתי בשחזור האירוע על ידי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השחזור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נשאלה המתלוננת מדוע לא העירה את אחותה שישנה בזמן ביצוע המעשים המיוחסים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תשובתה היתה כי היא פחדה שהמערער יעשה לה משהו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 היו איתו דברים בעבר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כאשר נשאלה במה מדובר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היססה המתלוננת להשיב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נשאלה על ידי החוקר האם מדובר באלימות ואישרה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 הציע לה החוקר תזה מורכבת לפיה היא שקלה לסבול עבירת מין כדי לא לגרום לריב בין אחותה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והמתלוננת אישרה אף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בהמשך הובהר הדבר על ידי קצין משטרה שנכח אף הוא בשחזור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הקצין התערב בשיחה ושאל את המתלוננת אם היו לה מחשבות להעיר את אחותה בזמן שהמערער עשה את אשר 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ענתה שלא היו לה מחשבות כאלה ושעברה במוחה המחשבה לא לספר על האירוע בכללותו לאיש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מסרה המתלוננת פרט שלא היה מדויק בעת השחזור והיא אף הושפעה משאלתו המדריכה של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להבהרה המידית של הדברים שסיפקה המתלוננת לאחר שאלת הקצין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לא מדובר היה בניסיון לשקר או להשחיר את פניו של המערער וכי הדבר אינו מעורר חשד לעלילת 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אם כבר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כך נקבע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הדבר מלמד על נטיית המתלוננת לדייק בדבריה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העיר בית המשפט כי אפשר שבתשובתה הנמהרת של המתלוננת לחוקר יש ביטוי לסוגסטיביליות שלה ולנטייתה להשלים פרטים חסרים בנרטיב באמצעות היגיון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יש משקל שלילי מסוים לתשובה הבעייתית שכאמור באה מפיה של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24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  <w:r>
        <w:rPr>
          <w:rFonts w:ascii="Century" w:hAnsi="Century" w:cs="Century"/>
          <w:rtl w:val="true"/>
        </w:rPr>
        <w:t>בית משפט קמא הוסיף וציין כי זיהה תופעה דומה אצל המתלוננת כאשר זו ענתה לשאלה מדוע נשכבה לצד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בשחזור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אמרה המתלוננת כי אינה זוכרת מדוע עשתה זאת והציעה שני הסברים אפשריים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המערער ביקש ממנה לשכב לצדו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נענתה לבקשתו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המערער אילץ אותה לשכב לצדו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בעימות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אמרה המתלוננת שהיא חושבת שנשכבה לצדו כי הוא ביקש זאת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אצל נפגעי טראומה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נפגעי עבירות מין במשפחה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מנגנון הגנה מסוג רציונליזציה וכי העדר תשובה עקבית וברורה לשאלה שבה עסקינן אינו פוגם בעדותה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דווקא להפך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שכיבה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משפט קמא דחה את טענת הסניגור כי העובדה שהמתלוננת אינה זוכרת כיצד ומדוע נשכבה לצדו של המערער מעלה חשש כי מדובר באירוע מומצא אשר לא היה ולא נברא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מכלול הנסיבות אינו מוביל למסקנה כי מדובר בפגם מהותי בגרסת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שאין חשיבות להתנהלותה בזמן המעשה המיני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והשאלה שעומדת על הפרק היא האם המעשה המיני נעשה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 כי הפגם שהתגלה בנרטיב של המתלוננת אינו משמעותי מהטעם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מעליל עלילות מתוחכם לא היה משלב פגם כזה בעלילה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אין הגיון בטענה שהמתלוננת רקמה עלילת שווא נגד המערער מבלי שנתנה את דעתה לשאלת המפתח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מה גרם לה לשכב לצדו של המערער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משפט קמא קבע כי למתלוננת לא היתה תשובה מוכנה וחותכת לשאלה שהציפה את הפגם בנרטיב מאחר שהמתלוננת מסרה עדות אותנטית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שעיקרה אמת לאמיתה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רקמה שום עלילת שווא נגד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שתיקת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הסניגור העלה תמיהה נוספת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מדוע המתלוננת לא אמרה דבר לאחותה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ישנה לצדה בזמן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ומדוע לא סיפרה על האירוע לאיש מבני ביתה בסמוך לאחר התרחשותו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השיב בית משפט קמא בפסק דינו כי הניסיון השיפוטי מלמד שתגובת הקיפאון בזמן התקיפה המינית שכיחה אצל קורבנות התקיפה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lineRule="auto" w:line="24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5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כבישת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וכבישת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הזיכרון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עדותה של המתלוננת עלתה תמיהה מסוימת באשר לזיכרון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תמיהה זאת עלתה לאחר שנקבע שהמתלוננת לא סיפרה על הפגיעה במשך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לבני משפחתה ולגורמי הטיפול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המשיכה המתלוננת להיפגש עם המערער במפגשים משפחתיים והתנהלה בהם כרגיל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תועדה בתמונות שמחה בנוכחות המערער ואישרה כי במהלכה של אותה תקופה חיבקה ונישקה את המערער מיוזמתה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תמיהה כאמור התחזקה לנוכח התבטאויות סותרות של המתלוננת בעניין זה</w:t>
      </w:r>
      <w:r>
        <w:rPr>
          <w:rFonts w:cs="Century" w:ascii="Century" w:hAnsi="Century"/>
          <w:rtl w:val="true"/>
        </w:rPr>
        <w:t>: 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פעם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אמרה המתלוננת כי היו לה פחדים בעקבות המקרה</w:t>
      </w:r>
      <w:r>
        <w:rPr>
          <w:rFonts w:cs="Century" w:ascii="Century" w:hAnsi="Century"/>
          <w:rtl w:val="true"/>
        </w:rPr>
        <w:t>; 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ואילו בפעם אחרת אמרה המתלוננת שלא זכרה כלום בשל הדחקה עוצמתית של זיכרון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טען המערער כי גרסת ההדחקה הועלתה לראשונה בבית המשפט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קיימות סתירות פנימיות בדברי המתלוננת ביחס למהות ההדחקה וכיצד היא באה לידי ביטוי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גרסת ההדחקה סותרת התבטאות נוספת של המתלוננת לפיה היא נמנעה מללבוש את המכנסיים הוורודים אותם לבשה בזמן האירוע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  <w:r>
        <w:rPr>
          <w:rFonts w:ascii="Century" w:hAnsi="Century" w:cs="Century"/>
          <w:rtl w:val="true"/>
        </w:rPr>
        <w:t>בהתייחסו לטענה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על אף שהטענה מעלה תמיהה אמיתית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לתמיהה זו אין הרבה משקל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שבית המשפט התרשם שהמתלוננת חוותה בלבול אשר נבע מקושי אותנטי מלהביע רגשות מתנגשים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כן ההסבר המסתבר לסתירות ותמיהות כאמור הוא לא חוסר אמינות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השפעתו הרעה של האירוע הטראומתי שנכפה על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התנהלות רגילה של נפגעי עבירה מינית ביחסיהם עם הפוגע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הימנעות מלדבר על הפגיעה שנמשכת 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והדחקת הזיכרון הטראומטי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אלה הן תופעות ידועות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שכיחות ומוכרות אצל נפגעי עבירות מין במשפחה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קיים הסבר המניח את הדעת על אודות התנהלות המתלוננת במהלך השנים והוא שהיא אכן הדחיקה את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הזיכרון לא באמת נעלם אצלה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ואירועים שונים הזכירו לה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תוכן ההסבר אשר בא מפיה של המתלוננת והאיחור בנתינתו הינם מובנים ומתקבלים על הדעת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העימות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1.11.2019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המתנגשות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האותנטית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התרשמות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הדווקנית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הקונספירציה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הגירושין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הטלוויזיה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וכעוס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כפליטת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במשתמע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שמכוונים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נברא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אינפלד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ואגו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האינדיקציות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חיבוקים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בהיווצרות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האובייקטיביות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הפסיכולוגיים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להתכתבותה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לרגליו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זרקוריה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התגלע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השהות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טקטיקה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שמטרתה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בגירושיו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מלגדל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 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נשכבה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התעקשותה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הקיפאון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קיפאון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spacing w:lineRule="auto" w:line="240" w:before="240" w:after="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spacing w:lineRule="auto" w:line="240" w:before="240" w:after="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ערעורית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מתמקד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הזיכוי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הפרוצדורה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והדרישות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5386/05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אלחורטי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18.5.2006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9536/11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16.9.2014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בהישענו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שלצדן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ממוסריהן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662/20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6.4.2021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6277/20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24.3.2021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4707/20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1935/20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31.3.2021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6826/19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שרגאי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14.2.2022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9040/05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אוחיון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7.12.2006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ולעדכונים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10100/07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שחאדה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24.3.2010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21-19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8.9.2011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8642/19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13.10.2021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אזכיר כי כלל אי ההתערבות בממצאי עובדה ומהימנות אינו הרמטי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ונקבעו לו מספר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שעליהם עמדתי בהרחבה ב</w:t>
      </w:r>
      <w:hyperlink r:id="rId30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8146/09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8.9.2011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כאשר ממצאי הערכאה הדיונית מתבססים על שיקולים שבהגיון ובשכל ישר או על סבירות של העדות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מדובר במסקנות להבדיל מעובדות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הערכאה הדיונית התעלמה לחלוטין מראיות או לא שמה לב לפרטים מהותיים בחומר הראיות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הערכאה הדיונית התעלמה מסתירות מהותיות בעדות עליה נסמכה או מסתירות בין העדות עליה נסמכה לבין עדויות אחרות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הערכאה הדיונית אימצה גרסה מופרכת וחסרת הגיון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כאשר נפלה טעות מהותית או טעות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בולטת לעין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בהערכת המהימנות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ממצאי הערכאה הדיונית מבוססים על ראיות בכתב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קלטת או התרשמות מחפץ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השופט שכתב את פסק הדין אינו השופט ששמע את הראיות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חלף זמן רב משמיעת הראיות ועד שנכתב פסק הדין</w:t>
      </w:r>
      <w:r>
        <w:rPr>
          <w:rFonts w:cs="Century" w:ascii="Century" w:hAnsi="Century"/>
          <w:rtl w:val="true"/>
        </w:rPr>
        <w:t>."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מקרהו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במבט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כולל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ביטחון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190/82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מרקוס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לעתים 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במיוחד במשפט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בו נגולה לפני הערכאה הראשונה פרשת דברים ארוכה ומסובכת – דווקא בית המשפט שלערעור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שאינו מצוי בעיצומן של גירסאות ההולכות ומתגלות חדשים לבקרים וסותרות אישה את רעותה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יתרון לו על הערכאה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מסכת העדויות והראיות כולה כבר ידועה ופרושה לפניו כמקשה אחת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מתוך כך בית המשפט שלערעור מעיין בפרשת הדברים מתוך מרחק של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שסגולה בו למדידה שקולה של כלל החומר שלפניו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לראיית היער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כשאינו מוסתר מרוב עציו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"[...] </w:t>
      </w:r>
      <w:r>
        <w:rPr>
          <w:rFonts w:ascii="Century" w:hAnsi="Century" w:cs="Century"/>
          <w:rtl w:val="true"/>
        </w:rPr>
        <w:t>מבחינת מידת הוכחה הדרושה ואמת המידה המיושמת אין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הבדל בין מערכת של ראיות ישירות או מערכת של ראיות נסיבתיות או של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שהן מקצתן מן הסוג האחד ומקצתן מן הסוג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בוחנים את מכלול הראיות הנסיבתיות מפעיל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מבחני היגיון וניסיון החיים </w:t>
      </w:r>
      <w:r>
        <w:rPr>
          <w:rFonts w:cs="Century" w:ascii="Century" w:hAnsi="Century"/>
          <w:rtl w:val="true"/>
        </w:rPr>
        <w:t xml:space="preserve">[...]. </w:t>
      </w:r>
      <w:r>
        <w:rPr>
          <w:rFonts w:ascii="Century" w:hAnsi="Century" w:cs="Century"/>
          <w:rtl w:val="true"/>
        </w:rPr>
        <w:t>דרך הבחינה לובשת צורה של תהליך מחשבתי שיטתי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באמצעותו נבדקת כל ראיה בפני עצמה כדי להגיע להערכת מצב מסכמת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במסגרתה נקבעים הממצאים ונבדק כל פירוש אפשרי העולה מכל ממצא 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מכולם במקובץ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ממוינים הפירושים לכאן ולכאן וניתן להם המשקל הראוי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מהותן של הראיות ומשקלן המצטבר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הסבריו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ניתנו כאלו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לאור כל היפותזה סבירה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יש מקום להסקת מסקנה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ההגיונית היחידה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לא נותר ספק סביר בדבר אשמתו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למותר להוסיף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נותר ספק סביר כלשהו – משמע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האשמה לא הוכחה במידת הוודאות הדרושה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לזכות את הנאשם בדינו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רק אם המסקנה המרשיעה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מוסקת מן הראיות הנסיבתיות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גוברת באופן ברור והחלטי על כל תיזה חלופית ואינה נותרת מסקנה סבירה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שאשמה הוכחה מעל לכל ספק סביר</w:t>
      </w:r>
      <w:r>
        <w:rPr>
          <w:rFonts w:cs="Century" w:ascii="Century" w:hAnsi="Century"/>
          <w:rtl w:val="true"/>
        </w:rPr>
        <w:t>."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543/79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142-141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z w:val="22"/>
          <w:sz w:val="22"/>
          <w:szCs w:val="28"/>
          <w:rtl w:val="true"/>
        </w:rPr>
        <w:t>מב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האנגלי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z w:val="22"/>
          <w:szCs w:val="28"/>
          <w:rtl w:val="true"/>
        </w:rPr>
        <w:t>(</w:t>
      </w:r>
      <w:r>
        <w:rPr>
          <w:rFonts w:cs="Times New Roman" w:ascii="Times New Roman" w:hAnsi="Times New Roman"/>
        </w:rPr>
        <w:t>unsafe verdict</w:t>
      </w:r>
      <w:r>
        <w:rPr>
          <w:rFonts w:cs="FrankRuehl" w:ascii="Century" w:hAnsi="Century"/>
          <w:sz w:val="22"/>
          <w:szCs w:val="28"/>
          <w:rtl w:val="true"/>
        </w:rPr>
        <w:t xml:space="preserve">).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72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וולף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z w:val="22"/>
          <w:szCs w:val="28"/>
          <w:rtl w:val="true"/>
        </w:rPr>
        <w:t>-</w:t>
      </w:r>
      <w:r>
        <w:rPr>
          <w:rFonts w:cs="Times New Roman" w:ascii="Times New Roman" w:hAnsi="Times New Roman"/>
        </w:rPr>
        <w:t>R v. Hanratty [2002] All ER (D) 142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פ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</w:t>
      </w:r>
      <w:r>
        <w:rPr>
          <w:rFonts w:ascii="Century" w:hAnsi="Century" w:cs="FrankRuehl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</w:rPr>
        <w:t>95</w:t>
      </w:r>
      <w:r>
        <w:rPr>
          <w:rFonts w:cs="FrankRuehl" w:ascii="Century" w:hAnsi="Century"/>
          <w:sz w:val="22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bidi w:val="0"/>
        <w:ind w:end="1282"/>
        <w:rPr/>
      </w:pPr>
      <w:r>
        <w:rPr>
          <w:rFonts w:cs="Times New Roman" w:ascii="Times New Roman" w:hAnsi="Times New Roman"/>
          <w:sz w:val="24"/>
        </w:rPr>
        <w:t>"[A] conviction can be unsafe for two distinct reasons that may, but do not necessarily, overlap. The first reason being that there is a doubt as to the safety of the conviction and the second being that the trial was materially flawed."</w:t>
      </w:r>
    </w:p>
    <w:p>
      <w:pPr>
        <w:pStyle w:val="Ruller5"/>
        <w:bidi w:val="0"/>
        <w:ind w:end="1282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>:</w:t>
      </w:r>
      <w:r>
        <w:rPr>
          <w:rFonts w:cs="Times New Roman" w:ascii="Times New Roman" w:hAnsi="Times New Roman"/>
          <w:sz w:val="24"/>
        </w:rPr>
        <w:t>R. v. Mills [2003] All ER (D) 221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המדגישה</w:t>
      </w:r>
      <w:r>
        <w:rPr>
          <w:rFonts w:cs="Times New Roman" w:ascii="Times New Roman" w:hAnsi="Times New Roman"/>
          <w:sz w:val="24"/>
          <w:rtl w:val="true"/>
        </w:rPr>
        <w:t>"</w:t>
      </w:r>
      <w:r>
        <w:rPr>
          <w:rFonts w:cs="Times New Roman" w:ascii="Times New Roman" w:hAnsi="Times New Roman"/>
          <w:sz w:val="24"/>
        </w:rPr>
        <w:t>the need of the Court itself to be sure of the safety of the conviction, as distinct from sureness of guilt</w:t>
      </w:r>
      <w:r>
        <w:rPr>
          <w:rFonts w:cs="Times New Roman" w:ascii="Times New Roman" w:hAnsi="Times New Roman"/>
          <w:sz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</w:t>
      </w:r>
      <w:r>
        <w:rPr>
          <w:rFonts w:cs="Times New Roman" w:ascii="Times New Roman" w:hAnsi="Times New Roman"/>
          <w:sz w:val="24"/>
        </w:rPr>
        <w:t>R. v. Chief Constable of Suffolk Constabulary [2014] 4 All ER 21, 31</w:t>
      </w:r>
      <w:r>
        <w:rPr>
          <w:rFonts w:cs="Century" w:ascii="Century" w:hAnsi="Century"/>
        </w:rPr>
        <w:t xml:space="preserve"> </w:t>
      </w:r>
      <w:r>
        <w:rPr>
          <w:rFonts w:cs="Times New Roman" w:ascii="Times New Roman" w:hAnsi="Times New Roman"/>
          <w:sz w:val="24"/>
        </w:rPr>
        <w:t>(</w:t>
      </w:r>
      <w:r>
        <w:rPr>
          <w:rFonts w:cs="Times New Roman" w:ascii="Times New Roman" w:hAnsi="Times New Roman"/>
          <w:sz w:val="24"/>
        </w:rPr>
        <w:t>"The court […] has the duty to investigate the safety of the conviction and must quash it if it is unsafe."</w:t>
      </w:r>
      <w:r>
        <w:rPr>
          <w:rFonts w:cs="Century" w:ascii="Century" w:hAnsi="Century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ומעמיק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  <w:rtl w:val="true"/>
        </w:rPr>
        <w:t>(</w:t>
      </w:r>
      <w:r>
        <w:rPr>
          <w:rFonts w:ascii="Century" w:hAnsi="Century" w:cs="FrankRuehl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  <w:smallCaps/>
        </w:rPr>
        <w:t>Paul Roberts &amp; Adrian Zuckerman, Criminal Evidence</w:t>
      </w:r>
      <w:r>
        <w:rPr>
          <w:rFonts w:cs="Times New Roman" w:ascii="Times New Roman" w:hAnsi="Times New Roman"/>
        </w:rPr>
        <w:t xml:space="preserve"> 82-88 (2004)</w:t>
      </w:r>
      <w:r>
        <w:rPr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 xml:space="preserve">Michael Risinger, </w:t>
      </w:r>
      <w:r>
        <w:rPr>
          <w:rFonts w:cs="Times New Roman" w:ascii="Times New Roman" w:hAnsi="Times New Roman"/>
          <w:i/>
          <w:iCs/>
        </w:rPr>
        <w:t>Unsafe Verdicts: The Need for Reformed Standards for the Trial and Review of Factual Innocence Claims</w:t>
      </w:r>
      <w:r>
        <w:rPr>
          <w:rFonts w:cs="Times New Roman" w:ascii="Times New Roman" w:hAnsi="Times New Roman"/>
        </w:rPr>
        <w:t xml:space="preserve">, 41 </w:t>
      </w:r>
      <w:r>
        <w:rPr>
          <w:rFonts w:cs="Times New Roman" w:ascii="Times New Roman" w:hAnsi="Times New Roman"/>
          <w:smallCaps/>
        </w:rPr>
        <w:t>Houston L. Rev.</w:t>
      </w:r>
      <w:r>
        <w:rPr>
          <w:rFonts w:cs="Times New Roman" w:ascii="Times New Roman" w:hAnsi="Times New Roman"/>
        </w:rPr>
        <w:t xml:space="preserve"> 1281 (2004)</w:t>
      </w:r>
      <w:r>
        <w:rPr>
          <w:rFonts w:cs="FrankRuehl" w:ascii="Century" w:hAnsi="Century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cs="FrankRuehl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העמדת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לנאשמים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מפשע</w:t>
      </w:r>
      <w:r>
        <w:rPr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</w:rPr>
        <w:t>conviction is unreasonable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בקנדה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  <w:rtl w:val="true"/>
        </w:rPr>
        <w:t>(</w:t>
      </w:r>
      <w:r>
        <w:rPr>
          <w:rFonts w:ascii="Century" w:hAnsi="Century" w:cs="FrankRuehl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</w:rPr>
        <w:t xml:space="preserve">Kent Roach, </w:t>
      </w:r>
      <w:r>
        <w:rPr>
          <w:rFonts w:cs="Times New Roman" w:ascii="Times New Roman" w:hAnsi="Times New Roman"/>
          <w:i/>
          <w:iCs/>
        </w:rPr>
        <w:t>Canada</w:t>
      </w:r>
      <w:r>
        <w:rPr>
          <w:rFonts w:cs="Times New Roman" w:ascii="Times New Roman" w:hAnsi="Times New Roman"/>
        </w:rPr>
        <w:t xml:space="preserve">, in </w:t>
      </w:r>
      <w:r>
        <w:rPr>
          <w:rFonts w:cs="Times New Roman" w:ascii="Times New Roman" w:hAnsi="Times New Roman"/>
          <w:smallCaps/>
        </w:rPr>
        <w:t>Criminal Procedure: A Worldwide Study</w:t>
      </w:r>
      <w:r>
        <w:rPr>
          <w:rFonts w:cs="Times New Roman" w:ascii="Times New Roman" w:hAnsi="Times New Roman"/>
        </w:rPr>
        <w:t xml:space="preserve"> 53, 77 (Craig M. Bradley, ed., 1999)</w:t>
      </w:r>
      <w:r>
        <w:rPr>
          <w:rFonts w:cs="FrankRuehl" w:ascii="Century" w:hAnsi="Century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  <w:i/>
          <w:iCs/>
        </w:rPr>
        <w:t>Worldwide Study</w:t>
      </w:r>
      <w:r>
        <w:rPr>
          <w:rFonts w:cs="FrankRuehl" w:ascii="Century" w:hAnsi="Century"/>
          <w:sz w:val="22"/>
          <w:szCs w:val="28"/>
          <w:rtl w:val="true"/>
        </w:rPr>
        <w:t xml:space="preserve">)) </w:t>
      </w:r>
      <w:r>
        <w:rPr>
          <w:rFonts w:ascii="Century" w:hAnsi="Century" w:cs="FrankRuehl"/>
          <w:sz w:val="22"/>
          <w:sz w:val="22"/>
          <w:szCs w:val="28"/>
          <w:rtl w:val="true"/>
        </w:rPr>
        <w:t>ובארצות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z w:val="22"/>
          <w:sz w:val="22"/>
          <w:szCs w:val="28"/>
          <w:rtl w:val="true"/>
        </w:rPr>
        <w:t>הברית</w:t>
      </w:r>
      <w:r>
        <w:rPr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z w:val="22"/>
          <w:szCs w:val="28"/>
          <w:rtl w:val="true"/>
        </w:rPr>
        <w:t>(</w:t>
      </w:r>
      <w:r>
        <w:rPr>
          <w:rFonts w:cs="FrankRuehl" w:ascii="Century" w:hAnsi="Century"/>
          <w:sz w:val="22"/>
          <w:szCs w:val="28"/>
          <w:rtl w:val="true"/>
        </w:rPr>
        <w:t>"</w:t>
      </w:r>
      <w:r>
        <w:rPr>
          <w:rFonts w:cs="FrankRuehl" w:ascii="Century" w:hAnsi="Century"/>
          <w:sz w:val="22"/>
          <w:szCs w:val="28"/>
        </w:rPr>
        <w:t>lack of evidence</w:t>
      </w:r>
      <w:r>
        <w:rPr>
          <w:rFonts w:cs="FrankRuehl" w:ascii="Century" w:hAnsi="Century"/>
          <w:sz w:val="22"/>
          <w:szCs w:val="28"/>
          <w:rtl w:val="true"/>
        </w:rPr>
        <w:t>"</w:t>
      </w:r>
      <w:r>
        <w:rPr>
          <w:rFonts w:cs="FrankRuehl" w:ascii="Century" w:hAnsi="Century"/>
          <w:sz w:val="22"/>
          <w:szCs w:val="28"/>
          <w:rtl w:val="true"/>
        </w:rPr>
        <w:t>) (</w:t>
      </w:r>
      <w:r>
        <w:rPr>
          <w:rFonts w:ascii="Century" w:hAnsi="Century" w:cs="FrankRuehl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</w:rPr>
        <w:t xml:space="preserve">Craig M. Bradley, </w:t>
      </w:r>
      <w:r>
        <w:rPr>
          <w:rFonts w:cs="Times New Roman" w:ascii="Times New Roman" w:hAnsi="Times New Roman"/>
          <w:i/>
          <w:iCs/>
        </w:rPr>
        <w:t>United States</w:t>
      </w:r>
      <w:r>
        <w:rPr>
          <w:rFonts w:cs="Times New Roman" w:ascii="Times New Roman" w:hAnsi="Times New Roman"/>
        </w:rPr>
        <w:t xml:space="preserve">, in </w:t>
      </w:r>
      <w:r>
        <w:rPr>
          <w:rFonts w:cs="Times New Roman" w:ascii="Times New Roman" w:hAnsi="Times New Roman"/>
          <w:i/>
          <w:iCs/>
        </w:rPr>
        <w:t>Worldwide Study</w:t>
      </w:r>
      <w:r>
        <w:rPr>
          <w:rFonts w:cs="Times New Roman" w:ascii="Times New Roman" w:hAnsi="Times New Roman"/>
        </w:rPr>
        <w:t xml:space="preserve"> 395, 422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1193/16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סונגו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17.5.2018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ולדידי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המקובלות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בקרבנו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להישאר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עבודה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מתוכ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ננת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נמנעת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2921/18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27.10.2019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cs="FrankRuehl" w:ascii="Century" w:hAnsi="Century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שבעזרתו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Arial TUR" w:ascii="Arial TUR" w:hAnsi="Arial TUR"/>
          <w:sz w:val="22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הרשיע בית משפט במשפט על עבירה לפי סימן 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לפרק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עדות יחידה של הנפגע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יפרט בהכרעת הדין מה הניע אותו להסתפק בעדות זו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דברי הסבר להצעת חוק לתיקון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 הראיות</w:t>
        </w:r>
      </w:hyperlink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מספר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התש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1980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1477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7653/11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26.7.2012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3250/10</w:t>
        </w:r>
      </w:hyperlink>
      <w:r>
        <w:rPr>
          <w:rFonts w:cs="FrankRuehl" w:ascii="Century" w:hAnsi="Century"/>
          <w:b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3250/10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בהליך הפלילי חובה על השופט לראות עצמו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כאילו חרב חדה מונחת לו בין ירכותיו</w:t>
      </w:r>
      <w:r>
        <w:rPr>
          <w:rFonts w:cs="Century" w:ascii="Century" w:hAnsi="Century"/>
          <w:rtl w:val="true"/>
        </w:rPr>
        <w:t>" (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758/78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לג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150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160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לנדוי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שבצידה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הנמקה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וחלק מהציטוטים הפנימיים הוסרו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שבאמצעותם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cs="Times New Roman" w:ascii="Times New Roman" w:hAnsi="Times New Roman"/>
          <w:spacing w:val="10"/>
          <w:szCs w:val="32"/>
        </w:rPr>
        <w:t>normalcy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שהזדמן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שההסתמכות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צפויים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זניחים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Times New Roman" w:ascii="Times New Roman" w:hAnsi="Times New Roman"/>
          <w:spacing w:val="10"/>
          <w:szCs w:val="32"/>
        </w:rPr>
        <w:t xml:space="preserve">Martin Smith, </w:t>
      </w:r>
      <w:r>
        <w:rPr>
          <w:rFonts w:cs="Times New Roman" w:ascii="Times New Roman" w:hAnsi="Times New Roman"/>
          <w:i/>
          <w:iCs/>
          <w:spacing w:val="10"/>
          <w:szCs w:val="32"/>
        </w:rPr>
        <w:t>When Does Evidence Suffice for Conviction?</w:t>
      </w:r>
      <w:r>
        <w:rPr>
          <w:rFonts w:cs="Times New Roman" w:ascii="Times New Roman" w:hAnsi="Times New Roman"/>
          <w:spacing w:val="10"/>
          <w:szCs w:val="32"/>
        </w:rPr>
        <w:t xml:space="preserve">, 127 </w:t>
      </w:r>
      <w:r>
        <w:rPr>
          <w:rFonts w:cs="Times New Roman" w:ascii="Times New Roman" w:hAnsi="Times New Roman"/>
          <w:smallCaps/>
          <w:spacing w:val="10"/>
          <w:szCs w:val="32"/>
        </w:rPr>
        <w:t>Mind</w:t>
      </w:r>
      <w:r>
        <w:rPr>
          <w:rFonts w:cs="Times New Roman" w:ascii="Times New Roman" w:hAnsi="Times New Roman"/>
          <w:spacing w:val="10"/>
          <w:szCs w:val="32"/>
        </w:rPr>
        <w:t xml:space="preserve"> 1193 (2018)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מרכיביו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ייחשב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מרשיעים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יינתנו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בסיסו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בהתבסס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עקבי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ושיטתי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בוודאות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יכללו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בתוכם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ערטילאי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ותאורטי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תאורטי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אינטגרלי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כב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273/14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פארס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23.12.2014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משיט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שמנרמלת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המאמצים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ננקטו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בהתממשותו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וערטילאי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בסימונו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להקריב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ולשוויון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  <w:smallCaps/>
          <w:spacing w:val="10"/>
        </w:rPr>
        <w:t>Alex Stein, Foundations of Evidence Law</w:t>
      </w:r>
      <w:r>
        <w:rPr>
          <w:rFonts w:cs="Times New Roman" w:ascii="Times New Roman" w:hAnsi="Times New Roman"/>
          <w:spacing w:val="10"/>
        </w:rPr>
        <w:t xml:space="preserve"> 172-178 Oxford University Press, 2005</w:t>
      </w:r>
      <w:r>
        <w:rPr>
          <w:rFonts w:cs="Times New Roman" w:ascii="Times New Roman" w:hAnsi="Times New Roman"/>
          <w:spacing w:val="10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Times New Roman" w:ascii="Times New Roman" w:hAnsi="Times New Roman"/>
          <w:spacing w:val="10"/>
          <w:szCs w:val="28"/>
        </w:rPr>
        <w:t xml:space="preserve">Ronald Dworkin, </w:t>
      </w:r>
      <w:r>
        <w:rPr>
          <w:rFonts w:cs="Times New Roman" w:ascii="Times New Roman" w:hAnsi="Times New Roman"/>
          <w:i/>
          <w:iCs/>
          <w:spacing w:val="10"/>
          <w:szCs w:val="28"/>
        </w:rPr>
        <w:t>Principle, Policy, Procedure</w:t>
      </w:r>
      <w:r>
        <w:rPr>
          <w:rFonts w:cs="Times New Roman" w:ascii="Times New Roman" w:hAnsi="Times New Roman"/>
          <w:spacing w:val="10"/>
          <w:szCs w:val="28"/>
        </w:rPr>
        <w:t xml:space="preserve"> in </w:t>
      </w:r>
      <w:r>
        <w:rPr>
          <w:rFonts w:cs="Times New Roman" w:ascii="Times New Roman" w:hAnsi="Times New Roman"/>
          <w:smallCaps/>
          <w:spacing w:val="10"/>
          <w:szCs w:val="28"/>
        </w:rPr>
        <w:t>Ronald Dworkin, A Matter of Principle</w:t>
      </w:r>
      <w:r>
        <w:rPr>
          <w:rFonts w:cs="Times New Roman" w:ascii="Times New Roman" w:hAnsi="Times New Roman"/>
          <w:spacing w:val="10"/>
          <w:szCs w:val="28"/>
        </w:rPr>
        <w:t xml:space="preserve"> 72, 83-89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Times New Roman" w:ascii="Times New Roman" w:hAnsi="Times New Roman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מסממניו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דכאני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בבסיסה של הבחנה יסודית זאת עומדת הבחנה חשובה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המתמקדת בשני תרחישים בלתי רצויים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התרחיש הראשון הוא הרשעת שווא מקרית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שהינה תוצאה של תאונה אשר קרתה שלא בכוונת מכוון עקב כך שהספק התאורטי לגבי אשמתו של הנאשם – ספק שככלל אינו מתממש במציאות – התממש במקרהו של אותו נאשם אשר נמצא אשם בעבירה לא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התרחיש השני הוא הרשעת שווא שאיננה מקרית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שהינה פועל יוצא של פסק דין מרשיע שבו בית המשפט מתעלם ביודעין מקיומו של ספק מוחשי לגבי אשמתו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התרחיש הראשון הוא ללא צל של ספק מצער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יחד עם כך אין באפשרות החברה המאורגנת למנעו מבלי להפוך את עצמה לאנרכיה שנותנת חופש פעולה מלא למבצעיהם של מעשי 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דיכוי ורמייה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התרחיש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 וראוי למנוע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ואנו מונעים אותו באמצעות הכלל שמחייב את בית המשפט לזכות את הנאשם בהתעורר ספק קונקרטי לגבי אשמתו המעוגן בחומר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בתרחיש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התאונה המקרית בדמותה של הרשעת שווא אינה פועל יוצא של מעשה שלטוני פסול אשר מסמן את הנאשם הספציפי כמי שראוי להרשיעו ולהענישו חרף האפשרות של חפותו שיש לה אימות ראייתי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בתרחיש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הרשעת הנאשם היא בגדר מעשה שלטוני פסול אשר מסמן את הנאשם כמי שראוי להקריבו כדי לקדם את מטרותיו של המשפט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מסיבה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חפותו האפשרית אשר עולה מחומר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בתרחיש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בתאונה מצערת ביותר שהיא ככל התאונות הבלתי נמנעות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בתרחיש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בפגיעה מודעת – עד כדי מכוונת – בזכותו של אדם לחירות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לכבוד ולשוויון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5743/21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זדורוב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</w:rPr>
        <w:t>.2021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ציטוט פנימי הוסר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בצלאל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אוהדי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האכזרי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פוזיטיבית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שהסתמכות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לעדות הנאשם משקל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היכול להקים ספק מול עדות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רגילה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ומהימנה לכאורה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אין לומר שיש לגרסת הנאשם משקל מספיק כדי לעמוד מול ראיות חזקות וחד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משמעיות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אינטואיציה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94-92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אינטואיטיבית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אמפיריים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Olin Guy Wellborn III, </w:t>
      </w:r>
      <w:r>
        <w:rPr>
          <w:rStyle w:val="Emphasis"/>
          <w:rFonts w:cs="Times New Roman" w:ascii="Times New Roman" w:hAnsi="Times New Roman"/>
          <w:color w:val="000000"/>
          <w:shd w:fill="FFFFFF" w:val="clear"/>
        </w:rPr>
        <w:t>Demeanor</w:t>
      </w:r>
      <w:r>
        <w:rPr>
          <w:rFonts w:cs="Times New Roman" w:ascii="Times New Roman" w:hAnsi="Times New Roman"/>
          <w:color w:val="000000"/>
          <w:shd w:fill="FFFFFF" w:val="clear"/>
        </w:rPr>
        <w:t>, 76 C</w:t>
      </w:r>
      <w:r>
        <w:rPr>
          <w:rStyle w:val="smallcaps"/>
          <w:rFonts w:cs="Times New Roman" w:ascii="Times New Roman" w:hAnsi="Times New Roman"/>
          <w:smallCaps/>
          <w:color w:val="000000"/>
          <w:shd w:fill="FFFFFF" w:val="clear"/>
        </w:rPr>
        <w:t>ornell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L. R</w:t>
      </w:r>
      <w:r>
        <w:rPr>
          <w:rStyle w:val="smallcaps"/>
          <w:rFonts w:cs="Times New Roman" w:ascii="Times New Roman" w:hAnsi="Times New Roman"/>
          <w:smallCaps/>
          <w:color w:val="000000"/>
          <w:shd w:fill="FFFFFF" w:val="clear"/>
        </w:rPr>
        <w:t>ev</w:t>
      </w:r>
      <w:r>
        <w:rPr>
          <w:rFonts w:cs="Times New Roman" w:ascii="Times New Roman" w:hAnsi="Times New Roman"/>
          <w:color w:val="000000"/>
          <w:shd w:fill="FFFFFF" w:val="clear"/>
        </w:rPr>
        <w:t>. 1075 (1991)</w:t>
      </w:r>
      <w:r>
        <w:rPr>
          <w:rFonts w:cs="Times New Roman" w:ascii="Times New Roman" w:hAnsi="Times New Roman"/>
          <w:color w:val="000000"/>
          <w:shd w:fill="FFFFFF" w:val="clear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והמורחבת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אוצרות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20.10.2010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2608/04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1121/96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353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שהבהרתי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"[...] </w:t>
      </w:r>
      <w:r>
        <w:rPr>
          <w:rFonts w:ascii="Century" w:hAnsi="Century" w:cs="Century"/>
          <w:rtl w:val="true"/>
        </w:rPr>
        <w:t>עם סיוע זה יש לנהוג משנה זהירות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עלינו להקפיד על כך שראיה בנוגע למצבו הנפשי של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הנפגע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משמשת סיוע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תבוא מתוך עדות מהימנה ותתייחס למצב נפשי שנצפה או נקלט על ידי העד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בהזדמנות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בלעדיה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מרשיעים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חיצוני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6808/18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16.5.2019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.); 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4447/20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10.1.2022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שכאמור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נשללה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כבלתי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ובמרכזן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הקונספירציה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לזוקפן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עוררין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4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מדובר באירוע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פעמי וקצר יחסית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4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לפי 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האירוע התרחש על מזרנים עליהם שכבו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אשתו והמתלוננת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אשת המערער אמנם ישנה בזמן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התרחיש שבו אדם ינסה לבוא במגע מיני עם גיסתו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אחות אשתו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בזמן שהאישה ישנה לצדם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ויכולה להתעורר בכל רגע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תרחיש מאד יוצא דופן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אודה ולא אכחד כי תרחיש זה אינו בגדר בלתי אפשרי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שצוין על ידי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:</w:t>
      </w:r>
    </w:p>
    <w:p>
      <w:pPr>
        <w:pStyle w:val="ListParagraph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מעשים תמוהים אפשריים לא רק מצדו של קורבן עבירת מין אלא גם מצדו של מבצע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ניסיון החיים והפסיקה מלמדים כי מעשי אינוס ומעשים מגונים בוצעו במקומות חשופים וגלויים כמו סלון הבית או חדר שכל אחד יכול להיכנס אליו בכל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שעה שאדם אחר נוכח בחדר במיטה סמוכה וכיו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20.10.2010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ind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בתרחיש שנמצא בקצה הסקאלה של תרחישים יוצאי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דופן אשר מתרחשים במציאות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זאת יש לקחת בחשבון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24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4"/>
        </w:numPr>
        <w:ind w:hanging="360" w:start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המתלוננת שכבה על המזרן כשגבה מופנה אל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מסרה את עדותה על יסוד מה שחשה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על יסוד מה שראתה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ביכולתה לפרט במדויק את סדר האירועים שהביאו אותה למצב של שכיבה על מזרן בין המערער לבין אחותה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שבלעדיו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ולהרשיעו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בהתקיימותו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142-141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3250/10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וגלישה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הנהוגים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האזרחי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בנטייה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לטובתו</w:t>
      </w:r>
      <w:r>
        <w:rPr>
          <w:rFonts w:cs="Miriam" w:ascii="Century" w:hAnsi="Century"/>
          <w:b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עסקינן בהליך הפלילי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השלכותיו על חייו של הפרט מרחיקות לכת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ודווקא בשל כך נקבע נטל הוכחה מחמיר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בית המשפט להימנע ככל הניתן מתהיות בדבר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סבירות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התנהגות הקורבן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42"/>
        <w:spacing w:lineRule="auto" w:line="240" w:before="0" w:after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להבין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כאשר שופט או שופטת מעריכים את מהימנותה של עדות המושמעת בפניהם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הדברים בהכרח בגדר שחור או לבן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האפשרויות העומדות בפניהם אינן שתיים קיצוניות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אמון מלא בדברים או קביעה שהדברים הם דברי שקר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במנעד שבין שתי האפשרויות האמורות נמצאות אפשרויות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לקבוע כי מידת האמון הניתנת לדברי העדה או העד הינה כזו שמספיקה לשם 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התביעה הוכחה במאזן ההסתברויות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אינה מספקת לשם הוכחה מעבר לספק סביר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3250/10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).</w:t>
      </w:r>
    </w:p>
    <w:p>
      <w:pPr>
        <w:pStyle w:val="ruller40"/>
        <w:bidi w:val="1"/>
        <w:spacing w:before="0" w:after="0"/>
        <w:ind w:end="0"/>
        <w:jc w:val="both"/>
        <w:rPr>
          <w:rFonts w:ascii="Arial TUR" w:hAnsi="Arial TUR" w:cs="Arial TUR"/>
          <w:color w:val="000000"/>
          <w:spacing w:val="10"/>
          <w:sz w:val="22"/>
          <w:szCs w:val="22"/>
        </w:rPr>
      </w:pPr>
      <w:r>
        <w:rPr>
          <w:rFonts w:cs="Arial TUR" w:ascii="Arial TUR" w:hAnsi="Arial TUR"/>
          <w:color w:val="000000"/>
          <w:spacing w:val="10"/>
          <w:sz w:val="22"/>
          <w:szCs w:val="22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והמכרעת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הנורמליות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Times New Roman" w:ascii="Times New Roman" w:hAnsi="Times New Roman"/>
          <w:spacing w:val="10"/>
        </w:rPr>
        <w:t>normalcy test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והסתברותם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נופלת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ולהעבירם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בהישען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יתממשו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שמספרם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יישלחו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מיעוט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4447/20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10.1.2022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מוטב לזכות אשם מלהרשיע זכאי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325/76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סיבוני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 לא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828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832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1977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במקצת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וחברתי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משקל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tabs>
          <w:tab w:val="clear" w:pos="720"/>
          <w:tab w:val="left" w:pos="907" w:leader="none"/>
        </w:tabs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51-42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ויוצרים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במהלך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העניינים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בגיסתו</w:t>
      </w:r>
      <w:r>
        <w:rPr>
          <w:rtl w:val="true"/>
        </w:rPr>
        <w:t xml:space="preserve">?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וורקו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11.4.2007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וייספיש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2040/20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21.12.2021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7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/>
        <w:t>1563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המחזקות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תיקו</w:t>
      </w:r>
      <w:r>
        <w:rPr>
          <w:rtl w:val="true"/>
        </w:rPr>
        <w:t xml:space="preserve">"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362-361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5739/03</w:t>
        </w:r>
      </w:hyperlink>
      <w:r>
        <w:rPr>
          <w:rtl w:val="true"/>
        </w:rPr>
        <w:t>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/>
        <w:t>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26.3.2007</w:t>
      </w:r>
      <w:r>
        <w:rPr>
          <w:rtl w:val="true"/>
        </w:rPr>
        <w:t xml:space="preserve">);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ומעודכנת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 xml:space="preserve">),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103-10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בצבעים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323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כהוויתם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סיפורה</w:t>
      </w:r>
      <w:r>
        <w:rPr>
          <w:rtl w:val="true"/>
        </w:rPr>
        <w:t>ּ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, </w:t>
      </w:r>
      <w:r>
        <w:rPr>
          <w:rtl w:val="true"/>
        </w:rPr>
        <w:t>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בחירה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למסירה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השומע</w:t>
      </w:r>
      <w:r>
        <w:rPr>
          <w:rtl w:val="true"/>
        </w:rPr>
        <w:t xml:space="preserve">, </w:t>
      </w:r>
      <w:r>
        <w:rPr>
          <w:rtl w:val="true"/>
        </w:rPr>
        <w:t>והרושם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107-104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העצ</w:t>
      </w:r>
      <w:r>
        <w:rPr>
          <w:rtl w:val="true"/>
        </w:rPr>
        <w:t>י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שמשקלם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הקיפאון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tl w:val="true"/>
        </w:rPr>
        <w:t>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ציינתי</w:t>
      </w:r>
      <w:r>
        <w:rPr>
          <w:rtl w:val="true"/>
        </w:rPr>
        <w:t xml:space="preserve">,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לצדה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לחשיפה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הסוכות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לפנימייה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למדה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מהפנימייה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אציג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סטודנטית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שקטה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ללבן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בשיחת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28.10.2018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ובוכייה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ההטרדה</w:t>
      </w:r>
      <w:r>
        <w:rPr>
          <w:rtl w:val="true"/>
        </w:rPr>
        <w:t xml:space="preserve">" </w:t>
      </w:r>
      <w:r>
        <w:rPr>
          <w:rtl w:val="true"/>
        </w:rPr>
        <w:t>שעברה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18.12.2018</w:t>
      </w:r>
      <w:r>
        <w:rPr>
          <w:rtl w:val="true"/>
        </w:rPr>
        <w:t xml:space="preserve">).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מרוכזת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ובכתה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 xml:space="preserve">).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... </w:t>
      </w:r>
      <w:r>
        <w:rPr>
          <w:rtl w:val="true"/>
        </w:rPr>
        <w:t>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...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'...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הנקודתית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בארוחה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]" 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227-225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נוספה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", </w:t>
      </w:r>
      <w:r>
        <w:rPr>
          <w:rtl w:val="true"/>
        </w:rPr>
        <w:t>בלשונו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בדמותה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התכתבות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וואטסאפ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התכתבות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 </w:t>
      </w:r>
      <w:r>
        <w:rPr>
          <w:rtl w:val="true"/>
        </w:rPr>
        <w:t>וחשפה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238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כשהמתלוננת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" </w:t>
      </w:r>
      <w:r>
        <w:rPr>
          <w:rtl w:val="true"/>
        </w:rPr>
        <w:t>ונשארה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28.10.2018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: "</w:t>
      </w:r>
      <w:r>
        <w:rPr>
          <w:rtl w:val="true"/>
        </w:rPr>
        <w:t>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?",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184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מהתרשומת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16.10.2017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 xml:space="preserve">, </w:t>
      </w:r>
      <w:r>
        <w:rPr>
          <w:rtl w:val="true"/>
        </w:rPr>
        <w:t>ובסופה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במכתב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מורגש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ותיווך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מבולבלת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ואובייקטיבי</w:t>
      </w:r>
      <w:r>
        <w:rPr>
          <w:rtl w:val="true"/>
        </w:rPr>
        <w:t xml:space="preserve">"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משתלבות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מהימן</w:t>
      </w:r>
      <w:r>
        <w:rPr>
          <w:rtl w:val="true"/>
        </w:rPr>
        <w:t xml:space="preserve">, </w:t>
      </w:r>
      <w:r>
        <w:rPr>
          <w:rtl w:val="true"/>
        </w:rPr>
        <w:t>ובהתבסס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217-216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"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אשר</w:t>
      </w:r>
      <w:r>
        <w:rPr>
          <w:rtl w:val="true"/>
        </w:rPr>
        <w:t xml:space="preserve">]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;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;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300-292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המושגי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חריג</w:t>
      </w:r>
      <w:r>
        <w:rPr>
          <w:rtl w:val="true"/>
        </w:rPr>
        <w:t xml:space="preserve">"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21-19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8.9.2011</w:t>
      </w:r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17-15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30.12.2019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13.10.2021</w:t>
      </w:r>
      <w:r>
        <w:rPr>
          <w:rtl w:val="true"/>
        </w:rPr>
        <w:t xml:space="preserve">)). </w:t>
      </w:r>
      <w:r>
        <w:rPr>
          <w:rtl w:val="true"/>
        </w:rPr>
        <w:t>לאמיתו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להיאמר</w:t>
      </w:r>
      <w:r>
        <w:rPr>
          <w:rtl w:val="true"/>
        </w:rPr>
        <w:t xml:space="preserve">: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המושגי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הנמקה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1980</w:t>
      </w:r>
      <w:r>
        <w:rPr>
          <w:rtl w:val="true"/>
        </w:rPr>
        <w:t xml:space="preserve">) </w:t>
      </w:r>
      <w:r>
        <w:rPr>
          <w:rtl w:val="true"/>
        </w:rPr>
        <w:t>כיוונה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לחיזוק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להכניס</w:t>
      </w:r>
      <w:r>
        <w:rPr>
          <w:rtl w:val="true"/>
        </w:rPr>
        <w:t xml:space="preserve">"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ואבקש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כבנסיבות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יידחה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פוגלמן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start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מצטרף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בקצרה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שנתגלעה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"[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]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כדוגמת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8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להצטרף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מתקשרת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היקפו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כאשר עסקינן בעדויות של נפגעי עבירות 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שלגביה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רהוטה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הטראומה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hyperlink r:id="rId8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6375/02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בבקוב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419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426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בבקוב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מדובר בעבירות מין המתבצעות בקטין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ומעשים מבוצעים על ידי בן משפחה כבמקרה דנן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והקורבן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הסותרות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להתרשמותה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8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1419/19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31.12.2020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6691/17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23.1.2020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1987/17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4.6.2019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2106/15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אקוע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19.4.2016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9468/10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16.4.2012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1072/15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שייניס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10.11.2015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3873/08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אטיאס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6.9.2010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 </w:t>
      </w:r>
      <w:hyperlink r:id="rId9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1694/08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זוהר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14.1.2009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9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6402/06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8.12.2008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hyperlink r:id="rId9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6295/05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וקנין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25.1.2007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בבקוב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426-425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למאפיינים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אפריורי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54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0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הראיות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הרחבת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מהרשאות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בקפדנות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0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3250/10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482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539-538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0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5633/12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0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814/12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סויסה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25.10.2012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0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7653/11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ידען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כתוארו אז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26.7.2012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ניתן ליישב בין העמדות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זאת מאחר שאין סתירה בין בחינה קפדנית של ממצאי העובדה והמהימנות לבין אמת מידה מצמצמת להתערבות בהן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0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0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3966/19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30.4.2020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0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5633/12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10.7.2013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0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4487/10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6.11.2012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23-22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זילברטל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hyperlink r:id="rId10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5484/11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,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19.4.2012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1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5203/15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23.6.2016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1933/14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11.2.2015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1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7147/12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סרנגה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14.1.2014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11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7015/09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18.11.2012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 לתת משקל מיוחד להתרשמותה הבלתי אמצעית של הערכאה הדיונית במקרים אלה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נוכח הקושי שבמתן עדות רהוטה או כאשר הכרעת הדין מתבססת אך על שתי עדויות סותרות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אין הדבר סותר בחינה קפדנית של מסקנותיה של הערכאה הדיונית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כאשר מדובר בהרשעת נאשם על יסוד עדות יחידה ללא תוספת ראייתית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0000"/>
          <w:spacing w:val="10"/>
          <w:sz w:val="22"/>
          <w:szCs w:val="28"/>
        </w:rPr>
      </w:pPr>
      <w:r>
        <w:rPr>
          <w:rFonts w:cs="FrankRuehl" w:ascii="Arial TUR" w:hAnsi="Arial TUR"/>
          <w:color w:val="00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חיובי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החווייתית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הנרטיב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מהתמודדות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בסיפור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הפנימית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והמשכנעות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והסנגור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המעוררים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ממקבץ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ובעקבותיו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האינדיקציות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בחלקים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ועשויים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1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3636/15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19.6.2016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1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993/00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205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216-215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26.6.2022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/>
        <w:t>08-978-7377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08-978-7336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). </w:t>
      </w:r>
      <w:bookmarkEnd w:id="22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2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20087940</w:t>
      </w:r>
      <w:r>
        <w:rPr>
          <w:sz w:val="16"/>
          <w:rtl w:val="true"/>
        </w:rPr>
        <w:t>_</w:t>
      </w:r>
      <w:r>
        <w:rPr>
          <w:sz w:val="16"/>
        </w:rPr>
        <w:t>F12.docx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6">
        <w:r>
          <w:rPr>
            <w:rStyle w:val="Hyperlink"/>
            <w:sz w:val="16"/>
          </w:rPr>
          <w:t>https://supreme.court.gov.il</w:t>
        </w:r>
      </w:hyperlink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keepNext w:val="true"/>
        <w:ind w:end="0"/>
        <w:jc w:val="start"/>
        <w:rPr>
          <w:rFonts w:ascii="David" w:hAnsi="David" w:cs="David"/>
          <w:color w:val="000000"/>
          <w:sz w:val="24"/>
          <w:szCs w:val="22"/>
          <w:u w:val="single"/>
        </w:rPr>
      </w:pPr>
      <w:r>
        <w:rPr>
          <w:rFonts w:cs="David" w:ascii="David" w:hAnsi="David"/>
          <w:color w:val="000000"/>
          <w:sz w:val="24"/>
          <w:szCs w:val="22"/>
          <w:u w:val="single"/>
          <w:rtl w:val="true"/>
        </w:rPr>
      </w:r>
    </w:p>
    <w:p>
      <w:pPr>
        <w:pStyle w:val="Ruller42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54678313-8794/20</w:t>
      </w:r>
    </w:p>
    <w:p>
      <w:pPr>
        <w:pStyle w:val="Ruller42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42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center"/>
        <w:rPr>
          <w:rFonts w:cs="David"/>
          <w:color w:val="0000FF"/>
          <w:szCs w:val="24"/>
          <w:u w:val="single"/>
        </w:rPr>
      </w:pPr>
      <w:hyperlink r:id="rId1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42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18"/>
      <w:footerReference w:type="default" r:id="rId1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8794/20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6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overflowPunct w:val="true"/>
      <w:autoSpaceDE w:val="true"/>
      <w:bidi w:val="0"/>
      <w:spacing w:before="280" w:after="280"/>
      <w:textAlignment w:val="auto"/>
      <w:outlineLvl w:val="3"/>
    </w:pPr>
    <w:rPr>
      <w:rFonts w:cs="Times New Roman"/>
      <w:b/>
      <w:bCs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b/>
      <w:bCs/>
      <w:sz w:val="24"/>
      <w:szCs w:val="24"/>
    </w:rPr>
  </w:style>
  <w:style w:type="character" w:styleId="Ruller4">
    <w:name w:val="Ruller 4 ממוספר תו"/>
    <w:qFormat/>
    <w:rPr>
      <w:rFonts w:ascii="Garamond" w:hAnsi="Garamond" w:cs="David"/>
      <w:sz w:val="24"/>
      <w:szCs w:val="24"/>
    </w:rPr>
  </w:style>
  <w:style w:type="character" w:styleId="Ruller41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EndnoteTextChar">
    <w:name w:val="Endnote Text Char"/>
    <w:qFormat/>
    <w:rPr>
      <w:rFonts w:cs="David"/>
    </w:rPr>
  </w:style>
  <w:style w:type="character" w:styleId="EndnoteCharacters">
    <w:name w:val="Endnote Characters"/>
    <w:qFormat/>
    <w:rPr>
      <w:vertAlign w:val="superscript"/>
    </w:rPr>
  </w:style>
  <w:style w:type="character" w:styleId="ruller500">
    <w:name w:val="ruller500"/>
    <w:basedOn w:val="DefaultParagraphFont"/>
    <w:qFormat/>
    <w:rPr/>
  </w:style>
  <w:style w:type="character" w:styleId="legds">
    <w:name w:val="legds"/>
    <w:basedOn w:val="DefaultParagraphFont"/>
    <w:qFormat/>
    <w:rPr/>
  </w:style>
  <w:style w:type="character" w:styleId="legchangedelimiter">
    <w:name w:val="legchangedelimiter"/>
    <w:basedOn w:val="DefaultParagraphFont"/>
    <w:qFormat/>
    <w:rPr/>
  </w:style>
  <w:style w:type="character" w:styleId="legaddition">
    <w:name w:val="legaddition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smallcaps">
    <w:name w:val="smallcaps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  <w:spacing w:lineRule="auto" w:line="240"/>
    </w:pPr>
    <w:rPr>
      <w:rFonts w:ascii="Garamond" w:hAnsi="Garamond" w:cs="David"/>
      <w:spacing w:val="0"/>
      <w:sz w:val="24"/>
      <w:szCs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  <w:spacing w:lineRule="auto" w:line="240"/>
    </w:pPr>
    <w:rPr>
      <w:rFonts w:cs="David"/>
      <w:spacing w:val="0"/>
      <w:szCs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pacing w:val="10"/>
      <w:sz w:val="24"/>
    </w:rPr>
  </w:style>
  <w:style w:type="paragraph" w:styleId="EndnoteText">
    <w:name w:val="endnote text"/>
    <w:basedOn w:val="Normal"/>
    <w:pPr/>
    <w:rPr>
      <w:szCs w:val="20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egclearfix">
    <w:name w:val="legclearfix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73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4kb.a" TargetMode="External"/><Relationship Id="rId9" Type="http://schemas.openxmlformats.org/officeDocument/2006/relationships/hyperlink" Target="http://www.nevo.co.il/law/70301/351.c.1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54a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case/23527056" TargetMode="External"/><Relationship Id="rId14" Type="http://schemas.openxmlformats.org/officeDocument/2006/relationships/hyperlink" Target="http://www.nevo.co.il/law/70301/351.c.1" TargetMode="External"/><Relationship Id="rId15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009110" TargetMode="External"/><Relationship Id="rId20" Type="http://schemas.openxmlformats.org/officeDocument/2006/relationships/hyperlink" Target="http://www.nevo.co.il/case/5596221" TargetMode="External"/><Relationship Id="rId21" Type="http://schemas.openxmlformats.org/officeDocument/2006/relationships/hyperlink" Target="http://www.nevo.co.il/case/26396573" TargetMode="External"/><Relationship Id="rId22" Type="http://schemas.openxmlformats.org/officeDocument/2006/relationships/hyperlink" Target="http://www.nevo.co.il/case/26986954" TargetMode="External"/><Relationship Id="rId23" Type="http://schemas.openxmlformats.org/officeDocument/2006/relationships/hyperlink" Target="http://www.nevo.co.il/case/26830322" TargetMode="External"/><Relationship Id="rId24" Type="http://schemas.openxmlformats.org/officeDocument/2006/relationships/hyperlink" Target="http://www.nevo.co.il/case/26538274" TargetMode="External"/><Relationship Id="rId25" Type="http://schemas.openxmlformats.org/officeDocument/2006/relationships/hyperlink" Target="http://www.nevo.co.il/case/26117879" TargetMode="External"/><Relationship Id="rId26" Type="http://schemas.openxmlformats.org/officeDocument/2006/relationships/hyperlink" Target="http://www.nevo.co.il/case/6143693" TargetMode="External"/><Relationship Id="rId27" Type="http://schemas.openxmlformats.org/officeDocument/2006/relationships/hyperlink" Target="http://www.nevo.co.il/case/6164956" TargetMode="External"/><Relationship Id="rId28" Type="http://schemas.openxmlformats.org/officeDocument/2006/relationships/hyperlink" Target="http://www.nevo.co.il/case/5756128" TargetMode="External"/><Relationship Id="rId29" Type="http://schemas.openxmlformats.org/officeDocument/2006/relationships/hyperlink" Target="http://www.nevo.co.il/case/26314372" TargetMode="External"/><Relationship Id="rId30" Type="http://schemas.openxmlformats.org/officeDocument/2006/relationships/hyperlink" Target="http://www.nevo.co.il/case/5756128" TargetMode="External"/><Relationship Id="rId31" Type="http://schemas.openxmlformats.org/officeDocument/2006/relationships/hyperlink" Target="http://www.nevo.co.il/case/17913797" TargetMode="External"/><Relationship Id="rId32" Type="http://schemas.openxmlformats.org/officeDocument/2006/relationships/hyperlink" Target="http://www.nevo.co.il/case/17937212" TargetMode="External"/><Relationship Id="rId33" Type="http://schemas.openxmlformats.org/officeDocument/2006/relationships/hyperlink" Target="http://www.nevo.co.il/case/20982179" TargetMode="External"/><Relationship Id="rId34" Type="http://schemas.openxmlformats.org/officeDocument/2006/relationships/hyperlink" Target="http://www.nevo.co.il/case/23880042" TargetMode="External"/><Relationship Id="rId35" Type="http://schemas.openxmlformats.org/officeDocument/2006/relationships/hyperlink" Target="http://www.nevo.co.il/law/98569/54a.b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case/5603199" TargetMode="External"/><Relationship Id="rId40" Type="http://schemas.openxmlformats.org/officeDocument/2006/relationships/hyperlink" Target="http://www.nevo.co.il/case/5951406" TargetMode="External"/><Relationship Id="rId41" Type="http://schemas.openxmlformats.org/officeDocument/2006/relationships/hyperlink" Target="http://www.nevo.co.il/case/5951406" TargetMode="External"/><Relationship Id="rId42" Type="http://schemas.openxmlformats.org/officeDocument/2006/relationships/hyperlink" Target="http://www.nevo.co.il/case/17931238" TargetMode="External"/><Relationship Id="rId43" Type="http://schemas.openxmlformats.org/officeDocument/2006/relationships/hyperlink" Target="http://www.nevo.co.il/law/70301/34kb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3055041" TargetMode="External"/><Relationship Id="rId46" Type="http://schemas.openxmlformats.org/officeDocument/2006/relationships/hyperlink" Target="http://www.nevo.co.il/case/27880979" TargetMode="External"/><Relationship Id="rId47" Type="http://schemas.openxmlformats.org/officeDocument/2006/relationships/hyperlink" Target="http://www.nevo.co.il/law/98569/54a.b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case/6246452" TargetMode="External"/><Relationship Id="rId50" Type="http://schemas.openxmlformats.org/officeDocument/2006/relationships/hyperlink" Target="http://www.nevo.co.il/case/6207886" TargetMode="External"/><Relationship Id="rId51" Type="http://schemas.openxmlformats.org/officeDocument/2006/relationships/hyperlink" Target="http://www.nevo.co.il/case/17910663" TargetMode="External"/><Relationship Id="rId52" Type="http://schemas.openxmlformats.org/officeDocument/2006/relationships/hyperlink" Target="http://www.nevo.co.il/case/25014832" TargetMode="External"/><Relationship Id="rId53" Type="http://schemas.openxmlformats.org/officeDocument/2006/relationships/hyperlink" Target="http://www.nevo.co.il/case/26807414" TargetMode="External"/><Relationship Id="rId54" Type="http://schemas.openxmlformats.org/officeDocument/2006/relationships/hyperlink" Target="http://www.nevo.co.il/case/6246452" TargetMode="External"/><Relationship Id="rId55" Type="http://schemas.openxmlformats.org/officeDocument/2006/relationships/hyperlink" Target="http://www.nevo.co.il/case/5951406" TargetMode="External"/><Relationship Id="rId56" Type="http://schemas.openxmlformats.org/officeDocument/2006/relationships/hyperlink" Target="http://www.nevo.co.il/case/5951406" TargetMode="External"/><Relationship Id="rId57" Type="http://schemas.openxmlformats.org/officeDocument/2006/relationships/hyperlink" Target="http://www.nevo.co.il/case/26807414" TargetMode="External"/><Relationship Id="rId58" Type="http://schemas.openxmlformats.org/officeDocument/2006/relationships/hyperlink" Target="http://www.nevo.co.il/case/17919078" TargetMode="External"/><Relationship Id="rId59" Type="http://schemas.openxmlformats.org/officeDocument/2006/relationships/hyperlink" Target="http://www.nevo.co.il/law/98569/54a.b" TargetMode="External"/><Relationship Id="rId60" Type="http://schemas.openxmlformats.org/officeDocument/2006/relationships/hyperlink" Target="http://www.nevo.co.il/law/98569" TargetMode="External"/><Relationship Id="rId61" Type="http://schemas.openxmlformats.org/officeDocument/2006/relationships/hyperlink" Target="http://www.nevo.co.il/law/98569/54a.b" TargetMode="External"/><Relationship Id="rId62" Type="http://schemas.openxmlformats.org/officeDocument/2006/relationships/hyperlink" Target="http://www.nevo.co.il/law/98569" TargetMode="External"/><Relationship Id="rId63" Type="http://schemas.openxmlformats.org/officeDocument/2006/relationships/hyperlink" Target="http://www.nevo.co.il/law/98569/54a.b" TargetMode="External"/><Relationship Id="rId64" Type="http://schemas.openxmlformats.org/officeDocument/2006/relationships/hyperlink" Target="http://www.nevo.co.il/law/98569" TargetMode="External"/><Relationship Id="rId65" Type="http://schemas.openxmlformats.org/officeDocument/2006/relationships/hyperlink" Target="http://www.nevo.co.il/law/98569/54a" TargetMode="External"/><Relationship Id="rId66" Type="http://schemas.openxmlformats.org/officeDocument/2006/relationships/hyperlink" Target="http://www.nevo.co.il/law/98569" TargetMode="External"/><Relationship Id="rId67" Type="http://schemas.openxmlformats.org/officeDocument/2006/relationships/hyperlink" Target="http://www.nevo.co.il/law/98569" TargetMode="External"/><Relationship Id="rId68" Type="http://schemas.openxmlformats.org/officeDocument/2006/relationships/hyperlink" Target="http://www.nevo.co.il/case/5915912" TargetMode="External"/><Relationship Id="rId69" Type="http://schemas.openxmlformats.org/officeDocument/2006/relationships/hyperlink" Target="http://www.nevo.co.il/case/26255935" TargetMode="External"/><Relationship Id="rId70" Type="http://schemas.openxmlformats.org/officeDocument/2006/relationships/hyperlink" Target="http://www.nevo.co.il/case/26544661" TargetMode="External"/><Relationship Id="rId71" Type="http://schemas.openxmlformats.org/officeDocument/2006/relationships/hyperlink" Target="http://www.nevo.co.il/safrut/bookgroup/4173" TargetMode="External"/><Relationship Id="rId72" Type="http://schemas.openxmlformats.org/officeDocument/2006/relationships/hyperlink" Target="http://www.nevo.co.il/case/17910663" TargetMode="External"/><Relationship Id="rId73" Type="http://schemas.openxmlformats.org/officeDocument/2006/relationships/hyperlink" Target="http://www.nevo.co.il/case/5891519" TargetMode="External"/><Relationship Id="rId74" Type="http://schemas.openxmlformats.org/officeDocument/2006/relationships/hyperlink" Target="http://www.nevo.co.il/case/26964729" TargetMode="External"/><Relationship Id="rId75" Type="http://schemas.openxmlformats.org/officeDocument/2006/relationships/hyperlink" Target="http://www.nevo.co.il/safrut/bookgroup/2156" TargetMode="External"/><Relationship Id="rId76" Type="http://schemas.openxmlformats.org/officeDocument/2006/relationships/hyperlink" Target="http://www.nevo.co.il/case/5756128" TargetMode="External"/><Relationship Id="rId77" Type="http://schemas.openxmlformats.org/officeDocument/2006/relationships/hyperlink" Target="http://www.nevo.co.il/case/25305600" TargetMode="External"/><Relationship Id="rId78" Type="http://schemas.openxmlformats.org/officeDocument/2006/relationships/hyperlink" Target="http://www.nevo.co.il/case/26314372" TargetMode="External"/><Relationship Id="rId79" Type="http://schemas.openxmlformats.org/officeDocument/2006/relationships/hyperlink" Target="http://www.nevo.co.il/law/70301/34kb.a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98569/54a.b" TargetMode="External"/><Relationship Id="rId82" Type="http://schemas.openxmlformats.org/officeDocument/2006/relationships/hyperlink" Target="http://www.nevo.co.il/law/98569" TargetMode="External"/><Relationship Id="rId83" Type="http://schemas.openxmlformats.org/officeDocument/2006/relationships/hyperlink" Target="http://www.nevo.co.il/law/98569" TargetMode="External"/><Relationship Id="rId84" Type="http://schemas.openxmlformats.org/officeDocument/2006/relationships/hyperlink" Target="http://www.nevo.co.il/law/98569/54a.b" TargetMode="External"/><Relationship Id="rId85" Type="http://schemas.openxmlformats.org/officeDocument/2006/relationships/hyperlink" Target="http://www.nevo.co.il/law/98569" TargetMode="External"/><Relationship Id="rId86" Type="http://schemas.openxmlformats.org/officeDocument/2006/relationships/hyperlink" Target="http://www.nevo.co.il/law/98569/54a.b" TargetMode="External"/><Relationship Id="rId87" Type="http://schemas.openxmlformats.org/officeDocument/2006/relationships/hyperlink" Target="http://www.nevo.co.il/law/98569" TargetMode="External"/><Relationship Id="rId88" Type="http://schemas.openxmlformats.org/officeDocument/2006/relationships/hyperlink" Target="http://www.nevo.co.il/case/5758600" TargetMode="External"/><Relationship Id="rId89" Type="http://schemas.openxmlformats.org/officeDocument/2006/relationships/hyperlink" Target="http://www.nevo.co.il/case/25481049" TargetMode="External"/><Relationship Id="rId90" Type="http://schemas.openxmlformats.org/officeDocument/2006/relationships/hyperlink" Target="http://www.nevo.co.il/case/22943250" TargetMode="External"/><Relationship Id="rId91" Type="http://schemas.openxmlformats.org/officeDocument/2006/relationships/hyperlink" Target="http://www.nevo.co.il/case/22303637" TargetMode="External"/><Relationship Id="rId92" Type="http://schemas.openxmlformats.org/officeDocument/2006/relationships/hyperlink" Target="http://www.nevo.co.il/case/20138627" TargetMode="External"/><Relationship Id="rId93" Type="http://schemas.openxmlformats.org/officeDocument/2006/relationships/hyperlink" Target="http://www.nevo.co.il/case/6249173" TargetMode="External"/><Relationship Id="rId94" Type="http://schemas.openxmlformats.org/officeDocument/2006/relationships/hyperlink" Target="http://www.nevo.co.il/case/20028610" TargetMode="External"/><Relationship Id="rId95" Type="http://schemas.openxmlformats.org/officeDocument/2006/relationships/hyperlink" Target="http://www.nevo.co.il/case/5920446" TargetMode="External"/><Relationship Id="rId96" Type="http://schemas.openxmlformats.org/officeDocument/2006/relationships/hyperlink" Target="http://www.nevo.co.il/case/5785061" TargetMode="External"/><Relationship Id="rId97" Type="http://schemas.openxmlformats.org/officeDocument/2006/relationships/hyperlink" Target="http://www.nevo.co.il/case/6233170" TargetMode="External"/><Relationship Id="rId98" Type="http://schemas.openxmlformats.org/officeDocument/2006/relationships/hyperlink" Target="http://www.nevo.co.il/case/6058753" TargetMode="External"/><Relationship Id="rId99" Type="http://schemas.openxmlformats.org/officeDocument/2006/relationships/hyperlink" Target="http://www.nevo.co.il/law/98569/54a.b" TargetMode="External"/><Relationship Id="rId100" Type="http://schemas.openxmlformats.org/officeDocument/2006/relationships/hyperlink" Target="http://www.nevo.co.il/law/98569" TargetMode="External"/><Relationship Id="rId101" Type="http://schemas.openxmlformats.org/officeDocument/2006/relationships/hyperlink" Target="http://www.nevo.co.il/case/5951406" TargetMode="External"/><Relationship Id="rId102" Type="http://schemas.openxmlformats.org/officeDocument/2006/relationships/hyperlink" Target="http://www.nevo.co.il/case/6246489" TargetMode="External"/><Relationship Id="rId103" Type="http://schemas.openxmlformats.org/officeDocument/2006/relationships/hyperlink" Target="http://www.nevo.co.il/case/5573589" TargetMode="External"/><Relationship Id="rId104" Type="http://schemas.openxmlformats.org/officeDocument/2006/relationships/hyperlink" Target="http://www.nevo.co.il/case/5603199" TargetMode="External"/><Relationship Id="rId105" Type="http://schemas.openxmlformats.org/officeDocument/2006/relationships/hyperlink" Target="http://www.nevo.co.il/case/26964729" TargetMode="External"/><Relationship Id="rId106" Type="http://schemas.openxmlformats.org/officeDocument/2006/relationships/hyperlink" Target="http://www.nevo.co.il/case/25772824" TargetMode="External"/><Relationship Id="rId107" Type="http://schemas.openxmlformats.org/officeDocument/2006/relationships/hyperlink" Target="http://www.nevo.co.il/case/6246489" TargetMode="External"/><Relationship Id="rId108" Type="http://schemas.openxmlformats.org/officeDocument/2006/relationships/hyperlink" Target="http://www.nevo.co.il/case/5960048" TargetMode="External"/><Relationship Id="rId109" Type="http://schemas.openxmlformats.org/officeDocument/2006/relationships/hyperlink" Target="http://www.nevo.co.il/case/6246379" TargetMode="External"/><Relationship Id="rId110" Type="http://schemas.openxmlformats.org/officeDocument/2006/relationships/hyperlink" Target="http://www.nevo.co.il/case/20470441" TargetMode="External"/><Relationship Id="rId111" Type="http://schemas.openxmlformats.org/officeDocument/2006/relationships/hyperlink" Target="http://www.nevo.co.il/case/13055209" TargetMode="External"/><Relationship Id="rId112" Type="http://schemas.openxmlformats.org/officeDocument/2006/relationships/hyperlink" Target="http://www.nevo.co.il/case/6247617" TargetMode="External"/><Relationship Id="rId113" Type="http://schemas.openxmlformats.org/officeDocument/2006/relationships/hyperlink" Target="http://www.nevo.co.il/case/6247531" TargetMode="External"/><Relationship Id="rId114" Type="http://schemas.openxmlformats.org/officeDocument/2006/relationships/hyperlink" Target="http://www.nevo.co.il/case/21472193" TargetMode="External"/><Relationship Id="rId115" Type="http://schemas.openxmlformats.org/officeDocument/2006/relationships/hyperlink" Target="http://www.nevo.co.il/case/5739234" TargetMode="External"/><Relationship Id="rId116" Type="http://schemas.openxmlformats.org/officeDocument/2006/relationships/hyperlink" Target="https://supreme.court.gov.il/" TargetMode="External"/><Relationship Id="rId117" Type="http://schemas.openxmlformats.org/officeDocument/2006/relationships/hyperlink" Target="http://www.nevo.co.il/advertisements/nevo-100.doc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numbering" Target="numbering.xm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2022-05-10T09:02:00Z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4173:2;2156:2</vt:lpwstr>
  </property>
  <property fmtid="{D5CDD505-2E9C-101B-9397-08002B2CF9AE}" pid="5" name="CASESLISTTMP1">
    <vt:lpwstr>23527056;6009110;5596221;26396573;26986954;26830322;26538274;26117879;6143693;6164956;5756128:3;26314372:2;17913797;17937212;20982179;23880042;5603199:2;5951406:5;17931238;13055041;27880979;6246452:2;6207886;17910663:2;25014832;26807414:2;17919078</vt:lpwstr>
  </property>
  <property fmtid="{D5CDD505-2E9C-101B-9397-08002B2CF9AE}" pid="6" name="CASESLISTTMP2">
    <vt:lpwstr>5915912;26255935;26544661;5891519;26964729:2;25305600;5758600;25481049;22943250;22303637;20138627;6249173;20028610;5920446;5785061;6233170;6058753;6246489:2;5573589;25772824;5960048;6246379;20470441;13055209;6247617;6247531;21472193;5739234</vt:lpwstr>
  </property>
  <property fmtid="{D5CDD505-2E9C-101B-9397-08002B2CF9AE}" pid="7" name="DATE">
    <vt:lpwstr>20220510</vt:lpwstr>
  </property>
  <property fmtid="{D5CDD505-2E9C-101B-9397-08002B2CF9AE}" pid="8" name="ISABSTRACT">
    <vt:lpwstr>Y</vt:lpwstr>
  </property>
  <property fmtid="{D5CDD505-2E9C-101B-9397-08002B2CF9AE}" pid="9" name="JUDGE">
    <vt:lpwstr>ד' ברק ארז;א' שטיין;ע' פוגלמן</vt:lpwstr>
  </property>
  <property fmtid="{D5CDD505-2E9C-101B-9397-08002B2CF9AE}" pid="10" name="LAWLISTTMP1">
    <vt:lpwstr>70301/351.c.1;348.a;345.a.3;34kb.a:2</vt:lpwstr>
  </property>
  <property fmtid="{D5CDD505-2E9C-101B-9397-08002B2CF9AE}" pid="11" name="LAWLISTTMP2">
    <vt:lpwstr>98569/054a.b:9;054a</vt:lpwstr>
  </property>
  <property fmtid="{D5CDD505-2E9C-101B-9397-08002B2CF9AE}" pid="12" name="LAWYER">
    <vt:lpwstr>יובל קדר;אורי דייגי;רותי לוין רפפורט</vt:lpwstr>
  </property>
  <property fmtid="{D5CDD505-2E9C-101B-9397-08002B2CF9AE}" pid="13" name="METAKZER">
    <vt:lpwstr>פאני</vt:lpwstr>
  </property>
  <property fmtid="{D5CDD505-2E9C-101B-9397-08002B2CF9AE}" pid="14" name="NOSE11">
    <vt:lpwstr>דיון פלילי</vt:lpwstr>
  </property>
  <property fmtid="{D5CDD505-2E9C-101B-9397-08002B2CF9AE}" pid="15" name="NOSE12">
    <vt:lpwstr>ראיות</vt:lpwstr>
  </property>
  <property fmtid="{D5CDD505-2E9C-101B-9397-08002B2CF9AE}" pid="16" name="NOSE13">
    <vt:lpwstr>ראיות</vt:lpwstr>
  </property>
  <property fmtid="{D5CDD505-2E9C-101B-9397-08002B2CF9AE}" pid="17" name="NOSE14">
    <vt:lpwstr>ראיות</vt:lpwstr>
  </property>
  <property fmtid="{D5CDD505-2E9C-101B-9397-08002B2CF9AE}" pid="18" name="NOSE15">
    <vt:lpwstr>ראיות</vt:lpwstr>
  </property>
  <property fmtid="{D5CDD505-2E9C-101B-9397-08002B2CF9AE}" pid="19" name="NOSE16">
    <vt:lpwstr>ראיות</vt:lpwstr>
  </property>
  <property fmtid="{D5CDD505-2E9C-101B-9397-08002B2CF9AE}" pid="20" name="NOSE17">
    <vt:lpwstr>בתי-משפט</vt:lpwstr>
  </property>
  <property fmtid="{D5CDD505-2E9C-101B-9397-08002B2CF9AE}" pid="21" name="NOSE18">
    <vt:lpwstr>עונשין</vt:lpwstr>
  </property>
  <property fmtid="{D5CDD505-2E9C-101B-9397-08002B2CF9AE}" pid="22" name="NOSE1ID">
    <vt:lpwstr>18;89;89;89;89;89;14;77</vt:lpwstr>
  </property>
  <property fmtid="{D5CDD505-2E9C-101B-9397-08002B2CF9AE}" pid="23" name="NOSE21">
    <vt:lpwstr>הרשעה</vt:lpwstr>
  </property>
  <property fmtid="{D5CDD505-2E9C-101B-9397-08002B2CF9AE}" pid="24" name="NOSE22">
    <vt:lpwstr>עדות</vt:lpwstr>
  </property>
  <property fmtid="{D5CDD505-2E9C-101B-9397-08002B2CF9AE}" pid="25" name="NOSE23">
    <vt:lpwstr>עדות</vt:lpwstr>
  </property>
  <property fmtid="{D5CDD505-2E9C-101B-9397-08002B2CF9AE}" pid="26" name="NOSE24">
    <vt:lpwstr>מהימנות</vt:lpwstr>
  </property>
  <property fmtid="{D5CDD505-2E9C-101B-9397-08002B2CF9AE}" pid="27" name="NOSE25">
    <vt:lpwstr>מהימנות</vt:lpwstr>
  </property>
  <property fmtid="{D5CDD505-2E9C-101B-9397-08002B2CF9AE}" pid="28" name="NOSE26">
    <vt:lpwstr>מידת ההוכחה</vt:lpwstr>
  </property>
  <property fmtid="{D5CDD505-2E9C-101B-9397-08002B2CF9AE}" pid="29" name="NOSE27">
    <vt:lpwstr>ערעור</vt:lpwstr>
  </property>
  <property fmtid="{D5CDD505-2E9C-101B-9397-08002B2CF9AE}" pid="30" name="NOSE28">
    <vt:lpwstr>ענישה</vt:lpwstr>
  </property>
  <property fmtid="{D5CDD505-2E9C-101B-9397-08002B2CF9AE}" pid="31" name="NOSE2ID">
    <vt:lpwstr>465;1654;1654;1635;1635;1638;333;1446</vt:lpwstr>
  </property>
  <property fmtid="{D5CDD505-2E9C-101B-9397-08002B2CF9AE}" pid="32" name="NOSE31">
    <vt:lpwstr>ספק סביר</vt:lpwstr>
  </property>
  <property fmtid="{D5CDD505-2E9C-101B-9397-08002B2CF9AE}" pid="33" name="NOSE32">
    <vt:lpwstr>עדות יחידה</vt:lpwstr>
  </property>
  <property fmtid="{D5CDD505-2E9C-101B-9397-08002B2CF9AE}" pid="34" name="NOSE33">
    <vt:lpwstr>קורבן עבירת מין</vt:lpwstr>
  </property>
  <property fmtid="{D5CDD505-2E9C-101B-9397-08002B2CF9AE}" pid="35" name="NOSE34">
    <vt:lpwstr>בחינתה</vt:lpwstr>
  </property>
  <property fmtid="{D5CDD505-2E9C-101B-9397-08002B2CF9AE}" pid="36" name="NOSE35">
    <vt:lpwstr>התערבות ערכאת ערעור</vt:lpwstr>
  </property>
  <property fmtid="{D5CDD505-2E9C-101B-9397-08002B2CF9AE}" pid="37" name="NOSE36">
    <vt:lpwstr>ספק סביר</vt:lpwstr>
  </property>
  <property fmtid="{D5CDD505-2E9C-101B-9397-08002B2CF9AE}" pid="38" name="NOSE37">
    <vt:lpwstr>התערבות בממצאי מהימנות</vt:lpwstr>
  </property>
  <property fmtid="{D5CDD505-2E9C-101B-9397-08002B2CF9AE}" pid="39" name="NOSE38">
    <vt:lpwstr>מדיניות ענישה: עבירות מין במשפחה</vt:lpwstr>
  </property>
  <property fmtid="{D5CDD505-2E9C-101B-9397-08002B2CF9AE}" pid="40" name="NOSE3ID">
    <vt:lpwstr>3635;10409;12270;10195;10199;10229;15229;16241</vt:lpwstr>
  </property>
  <property fmtid="{D5CDD505-2E9C-101B-9397-08002B2CF9AE}" pid="41" name="PADIDATE">
    <vt:lpwstr>20220511</vt:lpwstr>
  </property>
  <property fmtid="{D5CDD505-2E9C-101B-9397-08002B2CF9AE}" pid="42" name="PADIMAIL">
    <vt:lpwstr>YES</vt:lpwstr>
  </property>
  <property fmtid="{D5CDD505-2E9C-101B-9397-08002B2CF9AE}" pid="43" name="PROCESS">
    <vt:lpwstr>עפ</vt:lpwstr>
  </property>
  <property fmtid="{D5CDD505-2E9C-101B-9397-08002B2CF9AE}" pid="44" name="PROCNUM">
    <vt:lpwstr>8794</vt:lpwstr>
  </property>
  <property fmtid="{D5CDD505-2E9C-101B-9397-08002B2CF9AE}" pid="45" name="PROCYEAR">
    <vt:lpwstr>20</vt:lpwstr>
  </property>
  <property fmtid="{D5CDD505-2E9C-101B-9397-08002B2CF9AE}" pid="46" name="PSAKDIN">
    <vt:lpwstr>פסק-דין</vt:lpwstr>
  </property>
  <property fmtid="{D5CDD505-2E9C-101B-9397-08002B2CF9AE}" pid="47" name="TYPE">
    <vt:lpwstr>1</vt:lpwstr>
  </property>
  <property fmtid="{D5CDD505-2E9C-101B-9397-08002B2CF9AE}" pid="48" name="TYPE_ABS_DATE">
    <vt:lpwstr>410120220510</vt:lpwstr>
  </property>
  <property fmtid="{D5CDD505-2E9C-101B-9397-08002B2CF9AE}" pid="49" name="TYPE_N_DATE">
    <vt:lpwstr>41020220510</vt:lpwstr>
  </property>
  <property fmtid="{D5CDD505-2E9C-101B-9397-08002B2CF9AE}" pid="50" name="WORDNUMPAGES">
    <vt:lpwstr>41</vt:lpwstr>
  </property>
</Properties>
</file>