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-3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8861/22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ושולה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סטודיו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15.12.2022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במסגרת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38491-12-20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רפי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תאריכי הישיבות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י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בטבת התשפ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ג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cs="David" w:ascii="David" w:hAnsi="David"/>
              </w:rPr>
              <w:t>3.1.2023</w:t>
            </w:r>
            <w:r>
              <w:rPr>
                <w:rFonts w:cs="David" w:ascii="David" w:hAnsi="David"/>
                <w:rtl w:val="true"/>
              </w:rPr>
              <w:t>)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ז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באדר התשפ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ג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cs="David" w:ascii="David" w:hAnsi="David"/>
              </w:rPr>
              <w:t>28.</w:t>
            </w:r>
            <w:r>
              <w:rPr>
                <w:rFonts w:cs="David" w:ascii="David" w:hAnsi="David"/>
              </w:rPr>
              <w:t>2</w:t>
            </w:r>
            <w:r>
              <w:rPr>
                <w:rFonts w:cs="David" w:ascii="David" w:hAnsi="David"/>
              </w:rPr>
              <w:t>.</w:t>
            </w:r>
            <w:r>
              <w:rPr>
                <w:rFonts w:cs="David" w:ascii="David" w:hAnsi="David"/>
              </w:rPr>
              <w:t>2023</w:t>
            </w:r>
            <w:r>
              <w:rPr>
                <w:rFonts w:cs="David" w:ascii="David" w:hAnsi="David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נודלמן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bookmarkStart w:id="3" w:name="FirstLawyer"/>
            <w:bookmarkEnd w:id="3"/>
            <w:r>
              <w:rPr>
                <w:rFonts w:ascii="David" w:hAnsi="David"/>
                <w:rtl w:val="true"/>
              </w:rPr>
              <w:t xml:space="preserve">בשם המשיבה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בשם המשיב </w:t>
            </w:r>
            <w:r>
              <w:rPr>
                <w:rFonts w:cs="David" w:ascii="David" w:hAnsi="David"/>
              </w:rPr>
              <w:t>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בסקי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4" w:name="Links_Kitvei_Start"/>
      <w:bookmarkStart w:id="5" w:name="Links_Kitvei_Start"/>
      <w:bookmarkEnd w:id="5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inks_Kitvei_Start"/>
      <w:bookmarkEnd w:id="6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מיכאל בירנהק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חשיפה מקוונת וחשיפה משפטית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 פרטיות ופומביות של פסקי דין ברשת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מח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נובמבר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2018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31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inks_Kitvei_End"/>
      <w:bookmarkStart w:id="8" w:name="Links_Kitvei_End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9" w:name="Links_Start"/>
      <w:bookmarkEnd w:id="9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יצחק עמית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חסיונות ואינטרסים מוגנים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הליכי גילוי ועיון במשפט האזרחי והפלילי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10" w:name="LawTable"/>
      <w:bookmarkStart w:id="11" w:name="Links_End"/>
      <w:bookmarkStart w:id="12" w:name="LawTable"/>
      <w:bookmarkStart w:id="13" w:name="Links_End"/>
      <w:bookmarkEnd w:id="12"/>
      <w:bookmarkEnd w:id="13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טיפול בחולי נפש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68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70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70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70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70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78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יסוד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השפיטה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הגנת הפרטיות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6" w:name="ABSTRACT_START"/>
      <w:bookmarkEnd w:id="16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הרשות שמקנה סעיף </w:t>
      </w:r>
      <w:r>
        <w:rPr>
          <w:rFonts w:cs="Times New Roman" w:ascii="Times New Roman" w:hAnsi="Times New Roman"/>
          <w:spacing w:val="0"/>
          <w:szCs w:val="26"/>
        </w:rPr>
        <w:t>70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בתי המשפט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לאסור על פרסום פרט מפרטי ההליך השיפוטי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נועדת להגנה על ביטחונו של אדם ולהגנה על פגיעה בפרטיותו של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נדרש לעבור שני שלבים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 לבחון אם איסור הפרסום הנדון נדרש לשם מניעת פגיעה בפרטיות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אופיו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המידע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שפרסומו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אומנם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גורם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מרכזי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בבחינת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החשש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התוכן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פרסום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המידע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לזיהוי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שהוא מגיע למסקנה חיובית בעניין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 לשקול האם יש מקום לאסור את הפרסום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תוך איזון בין עקרון פומביות הדיון וחשיבות פרסום המידע הנדון לבין הערך הנעוץ בהגנת הפרטיות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כאשר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מחליט כי יש הצדקה לאיסור פרסום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 לצמצם את הגבלת הפרסום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בייחוד כשקיימת חשיבות ציבורית בחשיפת המידע לציבור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פומביות הדיון – הגבלתה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פומביות הדיון – עקרונותיה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נגד 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הוגש כתב אישום המייחס לו עבירות של ניסיון רצח בגין אירוע בו דקר בסכין מספר קורבנות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ברקע הפרשה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התמודדות נפשית של המשיב שמקורה בהתעללות קשה ואכזרית שעבר כשהיה ילד צעיר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הביאה לאשפוז של המשיב בבי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פסיכיאטרי זמן מה לפני הפרשה – אשפוז ממנו שוחרר בניגוד לרצונו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ההליך הוגשו חוות דעת פסיכיאטריות מהן עולה כי המשיב חווה בעת האירוע התקף פסיכוטי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כנגזר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בהכרעת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כי ביחס למעשי המשיב חל סעיף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ח ל</w:t>
      </w:r>
      <w:hyperlink r:id="rId2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ולפיכך כי המשיב אינו בר עונשין בגין הפרשה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מספר חודשים לאחר 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ולאחר שהפרשה וההליך המשפטי זכו לפרסום במקומות 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הורה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על מתן צו איסור פרסום לגבי התיק בכללותו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למתן צו זה לא קדמה בקשה של מי מהמשיבים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בעת שניתן הצו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הפיקה המערערת סדרה תיעודית שעוקבת אחר עבודת הפרקליטים בפרקליטות ירושלים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אחד ההליכים אליו התכוונה המערערת להתייחס הוא בפרשה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ולשם כך ליוותה עובר למתן הצו את ההליך המשפטי ותיעדה תכנים הקשורים בהם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יצירת הפרק נעשתה בשיתוף פעולה עם באי כוח המשיב והמשיבה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המערערת הופתעה לגלות על צו איסור הפרסום הגורף שניתן בהליך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והגישה בקשה לביטולו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ולחלופין למתן היתר לפרסום חומרים תחת מגבלות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הבקשה 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ומכאן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קיבל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שתי הערות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העיסוק בהגבלת הפרסום בהליך המשפטי שהתנהל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נפתח בהוצאת צו איסור פרסום גורף ביוזמת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מקור סמכותו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להוציא את צו איסור הפרסום מלכתחילה נבעה מסעיף </w:t>
      </w:r>
      <w:r>
        <w:rPr>
          <w:rFonts w:cs="Times New Roman" w:ascii="Times New Roman" w:hAnsi="Times New Roman"/>
          <w:spacing w:val="0"/>
          <w:szCs w:val="26"/>
        </w:rPr>
        <w:t>70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בתי המשפט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החלטה זו הגישה המערערת בקשה לביטול איסור פרסום לפי סעיף </w:t>
      </w:r>
      <w:r>
        <w:rPr>
          <w:rFonts w:cs="Times New Roman" w:ascii="Times New Roman" w:hAnsi="Times New Roman"/>
          <w:spacing w:val="0"/>
          <w:szCs w:val="26"/>
        </w:rPr>
        <w:t>70</w:t>
      </w:r>
      <w:r>
        <w:rPr>
          <w:rFonts w:ascii="Times New Roman" w:hAnsi="Times New Roman" w:cs="Times New Roman"/>
          <w:spacing w:val="0"/>
          <w:szCs w:val="26"/>
          <w:rtl w:val="true"/>
        </w:rPr>
        <w:t>ג ל</w:t>
      </w:r>
      <w:hyperlink r:id="rId2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בתי המשפט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ומשזו נדחתה פנתה 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זה מכוח סעיף </w:t>
      </w:r>
      <w:r>
        <w:rPr>
          <w:rFonts w:cs="Times New Roman" w:ascii="Times New Roman" w:hAnsi="Times New Roman"/>
          <w:spacing w:val="0"/>
          <w:szCs w:val="26"/>
        </w:rPr>
        <w:t>70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בתי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החלטותיו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במקרה דנן צריכה להיעשות אפוא באספקלריא של סעיף </w:t>
      </w:r>
      <w:r>
        <w:rPr>
          <w:rFonts w:cs="Times New Roman" w:ascii="Times New Roman" w:hAnsi="Times New Roman"/>
          <w:spacing w:val="0"/>
          <w:szCs w:val="26"/>
        </w:rPr>
        <w:t>70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בגדרו מסור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שק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רחב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עליו לבחון את מכלול הנסיבות הרלוונטיות ולהחליט כחוכמתו לאור הדין והפסיקה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בהכריעו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70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מוטל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להגדיר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בקווים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כלליים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תוכנו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וגבולותיו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איסור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הפרסום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הנדון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ללא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קביעה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כללית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כזו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תיווצר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ודאות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לגבולות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שעלולה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להוביל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בסופו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יום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לפגיעה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הן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בעקרון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פומביות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הדיון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הן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בפרטיות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מושאי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הפרסום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קיים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אפוא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מתח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מסוים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אופיו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הפרטני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לבין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התוצאה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הכללית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עתיד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להוביל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מתח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מהוראות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ידרוש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ההכרעה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הפרסום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הפרטני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הנדון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לעיצוב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כוללני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המידע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האסורים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בפרסום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כבכל דיון שעניינו הגבלת פרסומים בנוגע להליך המתנהל 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נקודת המוצא היא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בית משפט ידון בפומבי</w:t>
      </w:r>
      <w:r>
        <w:rPr>
          <w:rFonts w:cs="Times New Roman" w:ascii="Times New Roman" w:hAnsi="Times New Roman"/>
          <w:spacing w:val="0"/>
          <w:szCs w:val="26"/>
          <w:rtl w:val="true"/>
        </w:rPr>
        <w:t>" (</w:t>
      </w:r>
      <w:r>
        <w:rPr>
          <w:rFonts w:ascii="Times New Roman" w:hAnsi="Times New Roman" w:cs="Times New Roman"/>
          <w:spacing w:val="0"/>
          <w:szCs w:val="26"/>
          <w:rtl w:val="true"/>
        </w:rPr>
        <w:t>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יסוד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השפיטה 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cs="Times New Roman" w:ascii="Times New Roman" w:hAnsi="Times New Roman"/>
          <w:spacing w:val="0"/>
          <w:szCs w:val="26"/>
        </w:rPr>
        <w:t>68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בתי המשפט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עקרון פומביות הדיון הוא בעל חשיבות רבה בשיטתנו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יסודותיו והצדקותיו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הקשורים במידה רבה לעקרונות היסוד של המשטר הדמוקרטי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נכתב 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עקרון פומביות הדיון איננו אך נקודת מוצא תיאורטית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בסיסו של כלל מעשי שעל פיו פרט הליך שיפוטי יהיו גלויים וחשופים לעיני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למעט במקרים חריגים הקבועים בחוק ומגלמים אינטרסים 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 אחד כזה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שהוחל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קבוע בסעיף </w:t>
      </w:r>
      <w:r>
        <w:rPr>
          <w:rFonts w:cs="Times New Roman" w:ascii="Times New Roman" w:hAnsi="Times New Roman"/>
          <w:spacing w:val="0"/>
          <w:szCs w:val="26"/>
        </w:rPr>
        <w:t>70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הרשות שמקנה סעיף זה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לחרוג מהכלל ולאסור על פרסום פרט מפרטי ההליך השיפוטי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נועדת להגנה על ביטחונו של אדם ולהגנה על פגיעה בפרטיותו של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 לשון הסעיף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המבקש להכריע אם לאסור על פרסום בקשר לדיון המתנהל בפניו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בו עסקינן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 לעבור שני שלבים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 לבחון אם איסור הפרסום הנדון נדרש לשם מניעת פגיעה בפרטיות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שהוא מגיע למסקנה חיובית בעניין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 לשקול האם יש מקום לאסור את הפרסום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תוך איזון בין עקרון פומביות הדיון וחשיבות פרסום המידע הנדון לבין הערך הנעוץ בהגנת הפרטיות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זיהוי פגיעה בפרטיות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מדידת חומרתה של פגיעה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אינן מלאכות פשוטות בהכרח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hyperlink r:id="rId2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הגנת הפרטיות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מהווה אומנם נקודת מוצא לבחינה כזו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כפי שנפסק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הפרטיות הוגדרה בחוק באופן שאינו מכסה את כל מקרי הפרטיות המקובלים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הנוגע לפגיעה בפרטיות שמעבר להגדרת 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ממשיך לחול המשפט המקובל הישראלי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hyperlink r:id="rId2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הגנת הפרטיות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אף אינו מתווה דרך ברורה בהערכת חומרת הפגיעה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כל פנים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חולק כי פרסום פרטי מידע מסוימים הנוגעים 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צנעת חייו האישיים של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ובהם מידע באשר למצב בריאותו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עולה כדי פגיעה בפרטיות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לעוצמת הפגיעה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מקובל שמידת חומרתה של פגיעה בפרטיות תלויה באופי המידע הפוגע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ממילא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מפורסם מידע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המתייחס לעניינים המצויים בליבת הזכות לפרטיות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תגבר הנטייה לזהות את הפגיעה כפגיעה חמורה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אופיו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המידע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שפרסומו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אומנם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גורם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מרכזי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בבחינת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החשש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הגורם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היחיד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התוכן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מישור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שפרסומו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מבוקש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לזיהוי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שפרטיותו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להיפגע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למנוע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מוחלט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זיהוי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דהיינו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להשיג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התממה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אנונימיזציה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המידע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במידע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חשיפתו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בפרטיותו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הקושי ביישום מישור הזיהוי נובע משני טעמים משלימים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הטעם הראשון הוא כי חיסוי שמו של אדם לא תמיד מונע את זיהויו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פוטנציאל הזיהוי הגלום בקישור בין פרטי מידע שונים ביחס לאדם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הטעם השני הוא כי זיהוי ואי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זיהוי אינן שתי אפשרויות בינריות ובלעדיות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 אפשרויות ביניים אשר פרושות על גבי ציר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יותר 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מטה את הכף להגבלת הפרסום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ולהיפך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גורם אחד שמשפיע על הצבה על גבי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ציר הזיהוי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קשור בפרטי המידע שעלולים להוביל לזיהוי האדם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דהיינו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פוטנציאל הזיהוי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שהם נושאים עמם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בתוך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שבתוכן שפרסומו עומד לדיון מצויים יותר פרטים כאלו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וככל שתוכנם מזהה באופן מובהק יותר את האדם – הפרסום הנדון ימוקם על גבי הציר בנקודה המשקפת פגיעה חמורה יותר בפרטיות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גורם נוסף בעל משקל במסגרת בחינת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ציר הזיהוי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 באוכלוסיית 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מזהים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ובגדרו יש להביא בחשבון באיזה היקף יזוהה האדם אם יתרחש הפרסום הנדון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לאיזון עם האינטרסים התומכים בפרסום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הבכורה שניתנה לערכים התומכים בפרסום פרטי הליכים שיפוטיים לא רק מתווה את הכלל הנוהג כשלא קיים חשש לפגיעה בפרטיות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גם מעצבת את האיזון הנדרש בהתקיים חשש כזה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ברירת המחדל שעניינה פומביות הדיון אינה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ניטרלית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מבחינה נורמטיבית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טעונה בערכי חופש הביטוי וזכות הציבור לדעת ומבטאת אותם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מטעם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כאשר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מחליט כי יש הצדקה לאיסור פרסום לפי סעיף </w:t>
      </w:r>
      <w:r>
        <w:rPr>
          <w:rFonts w:cs="Times New Roman" w:ascii="Times New Roman" w:hAnsi="Times New Roman"/>
          <w:spacing w:val="0"/>
          <w:szCs w:val="26"/>
        </w:rPr>
        <w:t>70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–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 לצמצם את הגבלת הפרסום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בייחוד כשקיימת חשיבות ציבורית בחשיפת המידע לציבור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 נכונים ביתר שאת כאשר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מוגשת בקשה לביטול איסור פרסום מכוח סעיף </w:t>
      </w:r>
      <w:r>
        <w:rPr>
          <w:rFonts w:cs="Times New Roman" w:ascii="Times New Roman" w:hAnsi="Times New Roman"/>
          <w:spacing w:val="0"/>
          <w:szCs w:val="26"/>
        </w:rPr>
        <w:t>70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ושיקול הדעת המסור לו בגדר ההכרעה בה רחב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הפרשה מושא דיוננו משובצת בפרטים רגישים שפרסומם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ללא הסכמת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צפוי לפגוע בפרטיות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בעיקר כך בנוגע למצבו הרפואי הנוכחי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וכך בנוגע לאירועים הטראומתיים שעבר כשהיה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זו אף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שרגישותו של חלק מהמידע בעניין הפרשה מצוי בליבת הזכות לפרטיות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ומשכך פרסומו עלול להביא לפגיעה חמורה בפרטיות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מתקיימת גם החלופה השנייה הנזכרת בסעיף </w:t>
      </w:r>
      <w:r>
        <w:rPr>
          <w:rFonts w:cs="Times New Roman" w:ascii="Times New Roman" w:hAnsi="Times New Roman"/>
          <w:spacing w:val="0"/>
          <w:szCs w:val="26"/>
        </w:rPr>
        <w:t>70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שעניינה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פגיעה בפרטיות של אדם בשל חשיפת מידע רפואי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התנאי הראשון הנדרש לשם הגבלת פרסום מכוח סעיף </w:t>
      </w:r>
      <w:r>
        <w:rPr>
          <w:rFonts w:cs="Times New Roman" w:ascii="Times New Roman" w:hAnsi="Times New Roman"/>
          <w:spacing w:val="0"/>
          <w:szCs w:val="26"/>
        </w:rPr>
        <w:t>70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שעניינו פגיעה בפרטיות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מתקיים אפוא ללא ספק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שלא כטענת המערערת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כי הפרסומים הקיימים בנוגע לפרשה דווקא מחזקים את החשש הנזכר מהפגיעה בפרטיותו של המשיב בנסיבות המקרה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לעתים מהווים פרסומים מוקדמים בעניין מסוים כגורם המחליש את הטעם בהגבלת הפרסום של אותו 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שנקבע זה מכבר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 תלוי בנזק העלול להיגרם מפרסום נוסף ובשאלה האם הפרסום הנוסף עלול להעצים את הנזק שנגרם ממילא כתוצאה מהפרסום הקודם וללא קשר אליו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דנן ניכר כי הפרסומים הקיימים ביחס לפרשה מחזקים את החשש מפני פגיעה בפרטיות מושאי המידע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וזאת הן בבחינת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מישור הזיהוי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הן בבחינת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מישור התוכן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ידיעות אחדות שפורסמו באינטרנט בטרם ניתן צו איסור הפרסום ועודן מפורסמות כוללות פרטים מזהים שחיבורם לפרק שהפיקה המערערת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כאשר הוא נעדר פרטים מזהים ברורים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עשויה להביא לזיהוי המשיב ולחיבור פרטי מידע רגישים נוספים אליו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מסיבה זו פרסום הפרק תוך הסרת פרטים מזהים של המשיב עלול שלא למנוע באופן מוחלט וודאי פגיעה בפרטיותו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פומביות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האינטרס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שבהבאת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הפרשה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המתנהל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בעקבותיה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לידיעת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הפשטה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גבוהה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לצמצם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איסור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הפרסום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הגורף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צמצום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פרסום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שיאפשרו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זיהוי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ונפגעי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דהיינו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תבוצע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התממה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הגבוהה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האפשרית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פרסום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החורגים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מהמפורט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הפרשה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החשש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ההתממה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תמנע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זיהוי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מוחלט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והכל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לתנאים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שיפורטו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עוברת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בשלושה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שערים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נטייתה של שיטת משפטנו היא למעט ככל שניתן בהגבלת פרסום בנוגע להליכים משפטיים ולצמצם בהגבלה כזו ככל שהיא נעשית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כאשר מוצדק להחיל הגבלה על פרסומים 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לשרטטה באופן שיעניק משקל מספק לערכי חופש הביטוי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חופש העיתונות וזכות הציבור לדעת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 איסור פרסום גורף כמו זה שנתן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צריך לעמוד על כנו רק במקרים חריגים אפוא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אין דרך לצמצמו באופן שמאזן כראוי בין הערכים והאינטרסים העומדים על הפרק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כי קיימת חשיבות ציבורית בהבאת קווי המתאר הכלליים של הפרשה לידיעת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הערך הגלום בהבאת אלו לידיעת הציבור נוגע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להכרה בהשלכות רחוקות הטווח של התעללויות על קורבנותיהן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ולהכרה בקיומם של הליכים משפטיים שמורכבותם נובעת מהשלכות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שלישית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ובהמשך לאמור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נקל לזהות את האינטרס הציבורי שבפרסום הפרק שהפיקה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העיסוק בפרשה מנקודת המבט שמציעה הסדרה מאפשרת את העלאתן של סוגיות בעלות חשיבות ציבורית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דוגמת הטיפול המשפטי בנאשמים שביצעו מעשי אלימות בעקבות לקות נפשית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והתמודדות הפרקליטות עם תיקים בהם הנאשם עצמו הוא נפגע 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והדבר מחזק את הנטייה לתת פומבי לפרטים מסוימים הנוגעים לפרשה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לנכון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לאסור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פרסום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נוספים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פרטיו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המזהים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גולמיים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חלקם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במטרה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להפחית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היתכנות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זיהויו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דהיינו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"), </w:t>
      </w:r>
      <w:r>
        <w:rPr>
          <w:rFonts w:ascii="Times New Roman" w:hAnsi="Times New Roman" w:cs="Times New Roman"/>
          <w:spacing w:val="0"/>
          <w:szCs w:val="26"/>
          <w:rtl w:val="true"/>
        </w:rPr>
        <w:t>וחלקם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במטרה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להפחית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בפרטיותו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שמאן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דהו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יזהה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ההגבלות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דהיינו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התוכן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"). 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7" w:name="ABSTRACT_END"/>
      <w:bookmarkStart w:id="18" w:name="ABSTRACT_END"/>
      <w:bookmarkEnd w:id="1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9" w:name="PsakDin"/>
            <w:bookmarkStart w:id="20" w:name="BeginProtocol"/>
            <w:bookmarkStart w:id="21" w:name="secretary"/>
            <w:bookmarkEnd w:id="19"/>
            <w:bookmarkEnd w:id="20"/>
            <w:bookmarkEnd w:id="2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2" w:name="Start_Write"/>
      <w:bookmarkStart w:id="23" w:name="Writer_Name"/>
      <w:bookmarkEnd w:id="22"/>
      <w:bookmarkEnd w:id="23"/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38491-12-20</w:t>
        </w:r>
      </w:hyperlink>
      <w:r>
        <w:rPr>
          <w:rtl w:val="true"/>
        </w:rPr>
        <w:t xml:space="preserve"> 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כרמל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15.12.2022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דנה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סטודיו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המערערת</w:t>
      </w:r>
      <w:r>
        <w:rPr>
          <w:rtl w:val="true"/>
        </w:rPr>
        <w:t xml:space="preserve">), </w:t>
      </w:r>
      <w:r>
        <w:rPr>
          <w:rtl w:val="true"/>
        </w:rPr>
        <w:t>לבטל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לצמצמו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והשתלשלות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העניינים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מפאת רגישות הנסיבות שברקע ההליך קמא</w:t>
      </w:r>
      <w:r>
        <w:rPr>
          <w:rtl w:val="true"/>
        </w:rPr>
        <w:t xml:space="preserve">, </w:t>
      </w:r>
      <w:r>
        <w:rPr>
          <w:rtl w:val="true"/>
        </w:rPr>
        <w:t>אסתפק בתיאור עיקרי הדברים</w:t>
      </w:r>
      <w:r>
        <w:rPr>
          <w:rtl w:val="true"/>
        </w:rPr>
        <w:t xml:space="preserve">: </w:t>
      </w:r>
      <w:r>
        <w:rPr>
          <w:rtl w:val="true"/>
        </w:rPr>
        <w:t xml:space="preserve">נגד המשיב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tl w:val="true"/>
        </w:rPr>
        <w:t xml:space="preserve">) </w:t>
      </w:r>
      <w:r>
        <w:rPr>
          <w:rtl w:val="true"/>
        </w:rPr>
        <w:t xml:space="preserve">הוגש כתב אישום המייחס לו עבירות של ניסיון רצח בגין אירוע שארע בשנים האחרונות בו דקר בסכין מספר קורבנות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ברקע הפרשה</w:t>
      </w:r>
      <w:r>
        <w:rPr>
          <w:rtl w:val="true"/>
        </w:rPr>
        <w:t xml:space="preserve">, </w:t>
      </w:r>
      <w:r>
        <w:rPr>
          <w:rtl w:val="true"/>
        </w:rPr>
        <w:t>התמודדות נפשית של המשיב שמקורה בהתעללות קשה ואכזרית שעבר לפני שנים</w:t>
      </w:r>
      <w:r>
        <w:rPr>
          <w:rtl w:val="true"/>
        </w:rPr>
        <w:t xml:space="preserve">, </w:t>
      </w:r>
      <w:r>
        <w:rPr>
          <w:rtl w:val="true"/>
        </w:rPr>
        <w:t>כשהיה ילד צעיר</w:t>
      </w:r>
      <w:r>
        <w:rPr>
          <w:rtl w:val="true"/>
        </w:rPr>
        <w:t xml:space="preserve">, </w:t>
      </w:r>
      <w:r>
        <w:rPr>
          <w:rtl w:val="true"/>
        </w:rPr>
        <w:t xml:space="preserve">אשר הביאה לאשפוז של המשיב בבית חולים פסיכיאטרי זמן מה לפניי הפרשה </w:t>
      </w:r>
      <w:r>
        <w:rPr>
          <w:rtl w:val="true"/>
        </w:rPr>
        <w:t>–</w:t>
      </w:r>
      <w:r>
        <w:rPr>
          <w:rtl w:val="true"/>
        </w:rPr>
        <w:t xml:space="preserve"> אשפוז ממנו שוחרר בניגוד לרצונו בסמוך להתרחשותה</w:t>
      </w:r>
      <w:r>
        <w:rPr>
          <w:rtl w:val="true"/>
        </w:rPr>
        <w:t xml:space="preserve">. </w:t>
      </w:r>
      <w:r>
        <w:rPr>
          <w:rtl w:val="true"/>
        </w:rPr>
        <w:t>במסגרת ההליך הוגשו חוות הדעת הפסיכיאטריות מהן עולה כי המשיב חווה בעת האירוע התקף פסיכוטי על רקע פוסט טראומה ושימוש בסמים</w:t>
      </w:r>
      <w:r>
        <w:rPr>
          <w:rtl w:val="true"/>
        </w:rPr>
        <w:t xml:space="preserve">. </w:t>
      </w:r>
      <w:r>
        <w:rPr>
          <w:rtl w:val="true"/>
        </w:rPr>
        <w:t>כנגזר מכך</w:t>
      </w:r>
      <w:r>
        <w:rPr>
          <w:rtl w:val="true"/>
        </w:rPr>
        <w:t xml:space="preserve">, </w:t>
      </w:r>
      <w:r>
        <w:rPr>
          <w:rtl w:val="true"/>
        </w:rPr>
        <w:t xml:space="preserve">נקבע בהכרעת דינו של בית משפט קמא כי ביחס למעשיו של המשיב חל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ח</w:t>
        </w:r>
      </w:hyperlink>
      <w:r>
        <w:rPr>
          <w:rtl w:val="true"/>
        </w:rPr>
        <w:t xml:space="preserve"> 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שעניינו אי שפיות הדעת בעת המעשה</w:t>
      </w:r>
      <w:r>
        <w:rPr>
          <w:rtl w:val="true"/>
        </w:rPr>
        <w:t xml:space="preserve">, </w:t>
      </w:r>
      <w:r>
        <w:rPr>
          <w:rtl w:val="true"/>
        </w:rPr>
        <w:t xml:space="preserve">ולפיכך כי המשיב אינו בר עונשין בגין הפרשה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נקבע כי בשל מצבו הנפשי יאושפז המשיב למשך שנה מכוח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1991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ערעור שהגישה המשיבה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המשיבה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החלטה אחרונה זו עודנו תלוי ועומד בפני בית משפט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21.9.2022</w:t>
      </w:r>
      <w:r>
        <w:rPr>
          <w:rtl w:val="true"/>
        </w:rPr>
        <w:t xml:space="preserve">, </w:t>
      </w:r>
      <w:r>
        <w:rPr>
          <w:rtl w:val="true"/>
        </w:rPr>
        <w:t>מספר חודשים לאחר הכרעת הדין</w:t>
      </w:r>
      <w:r>
        <w:rPr>
          <w:rtl w:val="true"/>
        </w:rPr>
        <w:t xml:space="preserve">, </w:t>
      </w:r>
      <w:r>
        <w:rPr>
          <w:rtl w:val="true"/>
        </w:rPr>
        <w:t>ולאחר שהפרשה וההליך המשפטי זכו לפרסום במקומות שונים</w:t>
      </w:r>
      <w:r>
        <w:rPr>
          <w:rtl w:val="true"/>
        </w:rPr>
        <w:t xml:space="preserve">, </w:t>
      </w:r>
      <w:r>
        <w:rPr>
          <w:rtl w:val="true"/>
        </w:rPr>
        <w:t xml:space="preserve">הורה בית המשפט המחוזי כי </w:t>
      </w:r>
      <w:r>
        <w:rPr>
          <w:rtl w:val="true"/>
        </w:rPr>
        <w:t>"</w:t>
      </w:r>
      <w:r>
        <w:rPr>
          <w:rFonts w:ascii="Miriam" w:hAnsi="Miriam" w:cs="Miriam"/>
          <w:sz w:val="22"/>
          <w:sz w:val="22"/>
          <w:szCs w:val="24"/>
          <w:rtl w:val="true"/>
        </w:rPr>
        <w:t>נוכח הרגישות והאפשרות לפגיעה קשה בפרטיות הנאשם</w:t>
      </w:r>
      <w:r>
        <w:rPr>
          <w:rFonts w:cs="Miriam" w:ascii="Miriam" w:hAnsi="Miriam"/>
          <w:sz w:val="22"/>
          <w:szCs w:val="24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4"/>
          <w:rtl w:val="true"/>
        </w:rPr>
        <w:t>פגיעות שנוצרו מגורמים שאינם קשורים בו</w:t>
      </w:r>
      <w:r>
        <w:rPr>
          <w:rFonts w:cs="Miriam" w:ascii="Miriam" w:hAnsi="Miriam"/>
          <w:sz w:val="22"/>
          <w:szCs w:val="24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4"/>
          <w:rtl w:val="true"/>
        </w:rPr>
        <w:t>ניתן צו איסור פרסום לגבי התיק בכללותו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הפרסום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tl w:val="true"/>
        </w:rPr>
        <w:t xml:space="preserve">). </w:t>
      </w:r>
      <w:r>
        <w:rPr>
          <w:rtl w:val="true"/>
        </w:rPr>
        <w:t>יוער כי למתן צו זה לא קדמה בקשה של מי מהמשיבים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חברה שמתמחה בהפקות טלוויזיוניות</w:t>
      </w:r>
      <w:r>
        <w:rPr>
          <w:rtl w:val="true"/>
        </w:rPr>
        <w:t xml:space="preserve">, </w:t>
      </w:r>
      <w:r>
        <w:rPr>
          <w:rtl w:val="true"/>
        </w:rPr>
        <w:t>הפיקה בעת שניתן הצו סדרה תיעודית שעוקבת אחר עבודת הפרקליטים בפרקליטות מחוז ירושלים</w:t>
      </w:r>
      <w:r>
        <w:rPr>
          <w:rtl w:val="true"/>
        </w:rPr>
        <w:t xml:space="preserve">, </w:t>
      </w:r>
      <w:r>
        <w:rPr>
          <w:rtl w:val="true"/>
        </w:rPr>
        <w:t xml:space="preserve">ואשר מיועדת לשידור בערוץ </w:t>
      </w:r>
      <w:r>
        <w:rPr>
          <w:rtl w:val="true"/>
        </w:rPr>
        <w:t>"</w:t>
      </w:r>
      <w:r>
        <w:rPr>
          <w:rFonts w:cs="Times New Roman" w:ascii="Times New Roman" w:hAnsi="Times New Roman"/>
        </w:rPr>
        <w:t>yes</w:t>
      </w:r>
      <w:r>
        <w:rPr>
          <w:rtl w:val="true"/>
        </w:rPr>
        <w:t xml:space="preserve"> </w:t>
      </w:r>
      <w:r>
        <w:rPr>
          <w:rtl w:val="true"/>
        </w:rPr>
        <w:t>דוקו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הסדרה</w:t>
      </w:r>
      <w:r>
        <w:rPr>
          <w:rtl w:val="true"/>
        </w:rPr>
        <w:t xml:space="preserve">). </w:t>
      </w:r>
      <w:r>
        <w:rPr>
          <w:rtl w:val="true"/>
        </w:rPr>
        <w:t>אחד ההליכים אליו התכוונה המערערת להתייחס במסגרת הסדרה הוא זה בעניין הפרשה דנן</w:t>
      </w:r>
      <w:r>
        <w:rPr>
          <w:rtl w:val="true"/>
        </w:rPr>
        <w:t xml:space="preserve">, </w:t>
      </w:r>
      <w:r>
        <w:rPr>
          <w:rtl w:val="true"/>
        </w:rPr>
        <w:t xml:space="preserve">ולשם הפקת הפרק שיעסוק בו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הפרק</w:t>
      </w:r>
      <w:r>
        <w:rPr>
          <w:rtl w:val="true"/>
        </w:rPr>
        <w:t xml:space="preserve">), </w:t>
      </w:r>
      <w:r>
        <w:rPr>
          <w:rtl w:val="true"/>
        </w:rPr>
        <w:t>בחודשים שקדמו למתן צו איסור הפרסום ליוותה המערערת את ההליך המשפטי ותיעדה תכנים הקשורים בהם</w:t>
      </w:r>
      <w:r>
        <w:rPr>
          <w:rtl w:val="true"/>
        </w:rPr>
        <w:t xml:space="preserve">. </w:t>
      </w:r>
      <w:r>
        <w:rPr>
          <w:rtl w:val="true"/>
        </w:rPr>
        <w:t>יצוין כי יצירת הפרק נעשתה בשיתוף פעולה עם באי כוח המשיב והמשיבה ובהסכמתם</w:t>
      </w:r>
      <w:r>
        <w:rPr>
          <w:rtl w:val="true"/>
        </w:rPr>
        <w:t xml:space="preserve">. </w:t>
      </w:r>
      <w:r>
        <w:rPr>
          <w:rtl w:val="true"/>
        </w:rPr>
        <w:t>המערערת הופתעה אפוא לגלות על צו איסור הפרסום הגורף שניתן בהליך המשפטי</w:t>
      </w:r>
      <w:r>
        <w:rPr>
          <w:rtl w:val="true"/>
        </w:rPr>
        <w:t xml:space="preserve">, </w:t>
      </w:r>
      <w:r>
        <w:rPr>
          <w:rtl w:val="true"/>
        </w:rPr>
        <w:t>אשר מטבע הדברים שיבש את תוכניתה המקורית לפרסום הפרק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זמן קצר לאחר הוצאת צו איסור הפרסום הגישה המערערת לבית משפט קמא בקשה לביטולו</w:t>
      </w:r>
      <w:r>
        <w:rPr>
          <w:rtl w:val="true"/>
        </w:rPr>
        <w:t xml:space="preserve">, </w:t>
      </w:r>
      <w:r>
        <w:rPr>
          <w:rtl w:val="true"/>
        </w:rPr>
        <w:t>ולחלופין למתן היתר לפרסום חומרים תחת מגבלות שונות שמטרתן שמירה על פרטיות המשיב</w:t>
      </w:r>
      <w:r>
        <w:rPr>
          <w:rtl w:val="true"/>
        </w:rPr>
        <w:t xml:space="preserve">. </w:t>
      </w:r>
      <w:r>
        <w:rPr>
          <w:rtl w:val="true"/>
        </w:rPr>
        <w:t>במסגרת בקשתה הדגישה המערערת כי הגבלת פרסומו של הפרק איננה מוצדקת בהינתן הפרסומים הקיימים ברשת</w:t>
      </w:r>
      <w:r>
        <w:rPr>
          <w:rtl w:val="true"/>
        </w:rPr>
        <w:t xml:space="preserve">, </w:t>
      </w:r>
      <w:r>
        <w:rPr>
          <w:rtl w:val="true"/>
        </w:rPr>
        <w:t>הבהירה כי היא מסכימה להסרת פרטים מזהים שונים מהפרק</w:t>
      </w:r>
      <w:r>
        <w:rPr>
          <w:rtl w:val="true"/>
        </w:rPr>
        <w:t xml:space="preserve">, </w:t>
      </w:r>
      <w:r>
        <w:rPr>
          <w:rtl w:val="true"/>
        </w:rPr>
        <w:t>וטענה כי מכל מקום</w:t>
      </w:r>
      <w:r>
        <w:rPr>
          <w:rtl w:val="true"/>
        </w:rPr>
        <w:t xml:space="preserve">,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יש לבכר את חופש העיתונות וחופש הביטוי על פני הפגיעה האפשרית בפרטיותו של המשיב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30.11.2022</w:t>
      </w:r>
      <w:r>
        <w:rPr>
          <w:rtl w:val="true"/>
        </w:rPr>
        <w:t xml:space="preserve"> </w:t>
      </w:r>
      <w:r>
        <w:rPr>
          <w:rtl w:val="true"/>
        </w:rPr>
        <w:t>דחה בית המשפט את בקשת המערערת ללא נימוקים</w:t>
      </w:r>
      <w:r>
        <w:rPr>
          <w:rtl w:val="true"/>
        </w:rPr>
        <w:t xml:space="preserve">, </w:t>
      </w:r>
      <w:r>
        <w:rPr>
          <w:rtl w:val="true"/>
        </w:rPr>
        <w:t>והותיר את צו איסור הפרסום הגורף על כנו</w:t>
      </w:r>
      <w:r>
        <w:rPr>
          <w:rtl w:val="true"/>
        </w:rPr>
        <w:t xml:space="preserve">. </w:t>
      </w:r>
      <w:r>
        <w:rPr>
          <w:rtl w:val="true"/>
        </w:rPr>
        <w:t>על החלטה זו ערערה המערערת לבית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12.12.2022</w:t>
      </w:r>
      <w:r>
        <w:rPr>
          <w:rtl w:val="true"/>
        </w:rPr>
        <w:t xml:space="preserve">, </w:t>
      </w:r>
      <w:r>
        <w:rPr>
          <w:rtl w:val="true"/>
        </w:rPr>
        <w:t xml:space="preserve">נקבע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להסכמת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4"/>
          <w:rtl w:val="true"/>
        </w:rPr>
        <w:t>הערעור מתקבל במובן זה שהדיון בבקשה לביטול צו איסור הפרסום יוחזר לבית המשפט המחוזי לצורך מתן החלטה מנומקת</w:t>
      </w:r>
      <w:r>
        <w:rPr>
          <w:rtl w:val="true"/>
        </w:rPr>
        <w:t>" 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8351/22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12.12.2022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עקב כך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15.12.2022</w:t>
      </w:r>
      <w:r>
        <w:rPr>
          <w:rtl w:val="true"/>
        </w:rPr>
        <w:t xml:space="preserve"> </w:t>
      </w:r>
      <w:r>
        <w:rPr>
          <w:rtl w:val="true"/>
        </w:rPr>
        <w:t>נתן בית המשפט קמא את החלטתו מושא הערעור דנן</w:t>
      </w:r>
      <w:r>
        <w:rPr>
          <w:rtl w:val="true"/>
        </w:rPr>
        <w:t xml:space="preserve">, </w:t>
      </w:r>
      <w:r>
        <w:rPr>
          <w:rtl w:val="true"/>
        </w:rPr>
        <w:t>המובאת להלן במלואה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12.12.2022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רגישות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והטראומטיים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  <w:t>התרת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, </w:t>
      </w:r>
      <w:r>
        <w:rPr>
          <w:rtl w:val="true"/>
        </w:rPr>
        <w:t>ובעובדה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ההחלטה</w:t>
      </w:r>
      <w:r>
        <w:rPr>
          <w:rtl w:val="true"/>
        </w:rPr>
        <w:t>)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22.12.2022</w:t>
      </w:r>
      <w:r>
        <w:rPr>
          <w:rtl w:val="true"/>
        </w:rPr>
        <w:t xml:space="preserve"> </w:t>
      </w:r>
      <w:r>
        <w:rPr>
          <w:rtl w:val="true"/>
        </w:rPr>
        <w:t>הוגש הערעור דנן</w:t>
      </w:r>
      <w:r>
        <w:rPr>
          <w:rtl w:val="true"/>
        </w:rPr>
        <w:t xml:space="preserve">, </w:t>
      </w:r>
      <w:r>
        <w:rPr>
          <w:rtl w:val="true"/>
        </w:rPr>
        <w:t>ובו שבה המערערת על בקשתה כי צו איסור הפרסום הגורף שחל כעת יבוטל</w:t>
      </w:r>
      <w:r>
        <w:rPr>
          <w:rtl w:val="true"/>
        </w:rPr>
        <w:t xml:space="preserve">, </w:t>
      </w:r>
      <w:r>
        <w:rPr>
          <w:rtl w:val="true"/>
        </w:rPr>
        <w:t>ולחלופין כי יותר לה לפרסם את הפרק שערכה על פי מתווה שבמסגרתו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לא תיפגע כלל פרטיותו של המשיב</w:t>
      </w:r>
      <w:r>
        <w:rPr>
          <w:rtl w:val="true"/>
        </w:rPr>
        <w:t xml:space="preserve">. </w:t>
      </w:r>
      <w:r>
        <w:rPr>
          <w:rtl w:val="true"/>
        </w:rPr>
        <w:t>על פי המתווה שמציעה המערערת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בסדרה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מוגבלת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נפגעי העבירה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יוצגו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ופניהם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נפגעי העבירה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שמופיעים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יטושטשו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רפואיים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להבדיל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מתיאור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יפורסמו</w:t>
      </w:r>
      <w:r>
        <w:rPr>
          <w:rtl w:val="true"/>
        </w:rPr>
        <w:t xml:space="preserve">"; </w:t>
      </w:r>
      <w:r>
        <w:rPr>
          <w:rtl w:val="true"/>
        </w:rPr>
        <w:t>ופרטי האירועים הקשים אותם חווה המשיב בילדותו לא יוצגו אף הם</w:t>
      </w:r>
      <w:r>
        <w:rPr>
          <w:rtl w:val="true"/>
        </w:rPr>
        <w:t xml:space="preserve">. </w:t>
      </w:r>
      <w:r>
        <w:rPr>
          <w:rtl w:val="true"/>
        </w:rPr>
        <w:t>לשיטת המערערת</w:t>
      </w:r>
      <w:r>
        <w:rPr>
          <w:rtl w:val="true"/>
        </w:rPr>
        <w:t xml:space="preserve">, </w:t>
      </w:r>
      <w:r>
        <w:rPr>
          <w:rtl w:val="true"/>
        </w:rPr>
        <w:t>פרסום בנסיבות כאלה לא יגרום כל פגיעה בפרטיותו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קל וחומר פגיעה חמורה </w:t>
      </w:r>
      <w:r>
        <w:rPr>
          <w:rtl w:val="true"/>
        </w:rPr>
        <w:t>–</w:t>
      </w:r>
      <w:r>
        <w:rPr>
          <w:rtl w:val="true"/>
        </w:rPr>
        <w:t xml:space="preserve"> אשר מהווה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 xml:space="preserve">תנאי למתן הוראה בדבר איסור פרסום לפי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המערערת שבה וטוענת כי העובדה שמרבית פרטי הפרשה פורסמו בעבר ועודם גלויים ברשת האינטרנט תומכת אף היא במסקנה האמורה</w:t>
      </w:r>
      <w:r>
        <w:rPr>
          <w:rtl w:val="true"/>
        </w:rPr>
        <w:t xml:space="preserve">. </w:t>
      </w:r>
      <w:r>
        <w:rPr>
          <w:rtl w:val="true"/>
        </w:rPr>
        <w:t>מטעמים אלו</w:t>
      </w:r>
      <w:r>
        <w:rPr>
          <w:rtl w:val="true"/>
        </w:rPr>
        <w:t xml:space="preserve">, </w:t>
      </w:r>
      <w:r>
        <w:rPr>
          <w:rtl w:val="true"/>
        </w:rPr>
        <w:t>כך היא גורסת</w:t>
      </w:r>
      <w:r>
        <w:rPr>
          <w:rtl w:val="true"/>
        </w:rPr>
        <w:t xml:space="preserve">, </w:t>
      </w:r>
      <w:r>
        <w:rPr>
          <w:rtl w:val="true"/>
        </w:rPr>
        <w:t>החלטת בית משפט קמא פוגעת בפומביות הדיון</w:t>
      </w:r>
      <w:r>
        <w:rPr>
          <w:rtl w:val="true"/>
        </w:rPr>
        <w:t xml:space="preserve">, </w:t>
      </w:r>
      <w:r>
        <w:rPr>
          <w:rtl w:val="true"/>
        </w:rPr>
        <w:t>בחופש הביטוי ובזכות הציבור לדעת באופן שאינו מוצדק ואיננו מידתי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במסגרת דיונים שהתקיימו בפניי בימים </w:t>
      </w:r>
      <w:r>
        <w:rPr/>
        <w:t>3.1.2023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28.2.2023</w:t>
      </w:r>
      <w:r>
        <w:rPr>
          <w:rtl w:val="true"/>
        </w:rPr>
        <w:t xml:space="preserve"> </w:t>
      </w:r>
      <w:r>
        <w:rPr>
          <w:rtl w:val="true"/>
        </w:rPr>
        <w:t>הציגו הצדדים את עיקרי טענותיהם בעל</w:t>
      </w:r>
      <w:r>
        <w:rPr>
          <w:rtl w:val="true"/>
        </w:rPr>
        <w:t>-</w:t>
      </w:r>
      <w:r>
        <w:rPr>
          <w:rtl w:val="true"/>
        </w:rPr>
        <w:t>פה ונעשו מאמצים להגיע להסכמות ביחס לצמצומו של צו איסור הפרסום וביחס למידע שיכלול הפרק שמפיקה המערערת</w:t>
      </w:r>
      <w:r>
        <w:rPr>
          <w:rtl w:val="true"/>
        </w:rPr>
        <w:t xml:space="preserve">. </w:t>
      </w:r>
      <w:r>
        <w:rPr>
          <w:rtl w:val="true"/>
        </w:rPr>
        <w:t>על אף שינויים שנעשו בפרק לבקשת המשיב</w:t>
      </w:r>
      <w:r>
        <w:rPr>
          <w:rtl w:val="true"/>
        </w:rPr>
        <w:t xml:space="preserve">, </w:t>
      </w:r>
      <w:r>
        <w:rPr>
          <w:rtl w:val="true"/>
        </w:rPr>
        <w:t>הסכמות כאמור לא הושגו</w:t>
      </w:r>
      <w:r>
        <w:rPr>
          <w:rtl w:val="true"/>
        </w:rPr>
        <w:t xml:space="preserve">, </w:t>
      </w:r>
      <w:r>
        <w:rPr>
          <w:rtl w:val="true"/>
        </w:rPr>
        <w:t>ומכאן פסק דין זה</w:t>
      </w:r>
      <w:r>
        <w:rPr>
          <w:rtl w:val="true"/>
        </w:rPr>
        <w:t>.</w:t>
      </w:r>
    </w:p>
    <w:p>
      <w:pPr>
        <w:pStyle w:val="Ruller5"/>
        <w:ind w:end="1282"/>
        <w:jc w:val="both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p>
      <w:pPr>
        <w:pStyle w:val="Ruller5"/>
        <w:ind w:end="1282"/>
        <w:jc w:val="both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בהודעת הערעור ובנספחיה ושמעתי את טענות הצדדים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יש לקבל את הערעור ולצמצם במידת מה את צו איסור הפרסום שניתן בבית המשפט המחוזי</w:t>
      </w:r>
      <w:r>
        <w:rPr>
          <w:rtl w:val="true"/>
        </w:rPr>
        <w:t xml:space="preserve">. </w:t>
      </w:r>
      <w:r>
        <w:rPr>
          <w:rtl w:val="true"/>
        </w:rPr>
        <w:t>בטרם אפרט את טעמיי לתוצאה זו ואת פרטיה</w:t>
      </w:r>
      <w:r>
        <w:rPr>
          <w:rtl w:val="true"/>
        </w:rPr>
        <w:t xml:space="preserve">, </w:t>
      </w:r>
      <w:r>
        <w:rPr>
          <w:rtl w:val="true"/>
        </w:rPr>
        <w:t>אעמוד בקצרה על שתי נקודות המצויות ברקע ההכרעה בערעור דנן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באשר למסגרת הדיונית בה אנו מצויים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 xml:space="preserve">העיסוק בהגבלת הפרסום בהליך המשפטי שהתנהל בבית משפט קמא נפתח בהוצאת צו איסור פרסום גורף ביום </w:t>
      </w:r>
      <w:r>
        <w:rPr/>
        <w:t>21.9.2022</w:t>
      </w:r>
      <w:r>
        <w:rPr>
          <w:rtl w:val="true"/>
        </w:rPr>
        <w:t xml:space="preserve">, </w:t>
      </w:r>
      <w:r>
        <w:rPr>
          <w:rtl w:val="true"/>
        </w:rPr>
        <w:t>וזאת ביוזמת בית המשפט קמא</w:t>
      </w:r>
      <w:r>
        <w:rPr>
          <w:rtl w:val="true"/>
        </w:rPr>
        <w:t xml:space="preserve">. </w:t>
      </w:r>
      <w:r>
        <w:rPr>
          <w:rtl w:val="true"/>
        </w:rPr>
        <w:t>כפי שיובהר בהמשך</w:t>
      </w:r>
      <w:r>
        <w:rPr>
          <w:rtl w:val="true"/>
        </w:rPr>
        <w:t xml:space="preserve">, </w:t>
      </w:r>
      <w:r>
        <w:rPr>
          <w:rtl w:val="true"/>
        </w:rPr>
        <w:t xml:space="preserve">מקור סמכותו של בית משפט קמא להוציא את צו איסור הפרסום מלכתחילה נבעה </w:t>
      </w:r>
      <w:hyperlink r:id="rId36">
        <w:r>
          <w:rPr>
            <w:rStyle w:val="Hyperlink"/>
            <w:rtl w:val="true"/>
          </w:rPr>
          <w:t>מסעיף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על החלטה זו הגישה המערערת בקשה לביטול איסור פרסום לפי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ומשזו נדחתה פנתה לבית משפט זה מכוח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בתי המשפט</w:t>
      </w:r>
      <w:r>
        <w:rPr>
          <w:rtl w:val="true"/>
        </w:rPr>
        <w:t xml:space="preserve">. </w:t>
      </w:r>
      <w:r>
        <w:rPr>
          <w:rtl w:val="true"/>
        </w:rPr>
        <w:t xml:space="preserve">בחינת החלטותיו של בית משפט קמא במקרה דנן צריכה להיעשות אפוא באספקלריא של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בגדרו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2783/19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2.1.2020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, </w:t>
      </w:r>
      <w:r>
        <w:rPr>
          <w:rtl w:val="true"/>
        </w:rPr>
        <w:t xml:space="preserve">כאשר עליו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הרלוונטיות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ולהחליט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כחוכמתו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והפסיקה</w:t>
      </w:r>
      <w:r>
        <w:rPr>
          <w:rFonts w:cs="Century" w:ascii="Century" w:hAnsi="Century"/>
          <w:sz w:val="22"/>
          <w:rtl w:val="true"/>
        </w:rPr>
        <w:t>" (</w:t>
      </w:r>
      <w:hyperlink r:id="rId4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6988/19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הוצאת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הארץ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26.11.2019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shd w:fill="FFFFFF" w:val="clear"/>
        <w:ind w:hanging="0" w:start="0" w:end="0"/>
        <w:jc w:val="both"/>
        <w:rPr/>
      </w:pPr>
      <w:r>
        <w:rPr>
          <w:rtl w:val="true"/>
        </w:rPr>
        <w:t xml:space="preserve">נקודה שנייה עניינה ביחס שבין אופייה הפרטני של בקשת המערערת במסגרת ערעורה לבין אופיו הכללי של הסעד שניתן בערעור מכוח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. </w:t>
      </w:r>
      <w:r>
        <w:rPr>
          <w:rtl w:val="true"/>
        </w:rPr>
        <w:t>הן בבקשה שהגישה לבית משפט קמא והן בערעור שלפניי</w:t>
      </w:r>
      <w:r>
        <w:rPr>
          <w:rtl w:val="true"/>
        </w:rPr>
        <w:t xml:space="preserve">, </w:t>
      </w:r>
      <w:r>
        <w:rPr>
          <w:rtl w:val="true"/>
        </w:rPr>
        <w:t>בקשתה החלופית של המבקשת</w:t>
      </w:r>
      <w:r>
        <w:rPr>
          <w:rtl w:val="true"/>
        </w:rPr>
        <w:t xml:space="preserve">, </w:t>
      </w:r>
      <w:r>
        <w:rPr>
          <w:rtl w:val="true"/>
        </w:rPr>
        <w:t>לצד הסרת צו איסור הפרסום</w:t>
      </w:r>
      <w:r>
        <w:rPr>
          <w:rtl w:val="true"/>
        </w:rPr>
        <w:t xml:space="preserve">, </w:t>
      </w:r>
      <w:r>
        <w:rPr>
          <w:rtl w:val="true"/>
        </w:rPr>
        <w:t>היא למתן היתר ספציפי לפרסום הפרק שהפיקה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אף במנותק מבקשתה זו של המערערת</w:t>
      </w:r>
      <w:r>
        <w:rPr>
          <w:rtl w:val="true"/>
        </w:rPr>
        <w:t xml:space="preserve">, </w:t>
      </w:r>
      <w:r>
        <w:rPr>
          <w:rtl w:val="true"/>
        </w:rPr>
        <w:t>הפרק שהפיקה הוא הפרסום היחיד העומד בפניי בהליך זה</w:t>
      </w:r>
      <w:r>
        <w:rPr>
          <w:rtl w:val="true"/>
        </w:rPr>
        <w:t xml:space="preserve">, </w:t>
      </w:r>
      <w:r>
        <w:rPr>
          <w:rtl w:val="true"/>
        </w:rPr>
        <w:t>וממילא הוא הפרסום שאת חשיבותו ביכולתי לבחון באופן פרטני במסגרת ההכרעה בערעור</w:t>
      </w:r>
      <w:r>
        <w:rPr>
          <w:rtl w:val="true"/>
        </w:rPr>
        <w:t xml:space="preserve">, </w:t>
      </w:r>
      <w:r>
        <w:rPr>
          <w:rtl w:val="true"/>
        </w:rPr>
        <w:t>מה גם שהצדדים ניהלו משא ומתן ביחס לתכניו במסגרת ההליך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כפי שהודגש בדיונים שהתקיימו בפניי על ידי באת כוח המשיבה</w:t>
      </w:r>
      <w:r>
        <w:rPr>
          <w:rtl w:val="true"/>
        </w:rPr>
        <w:t xml:space="preserve">, </w:t>
      </w:r>
      <w:r>
        <w:rPr>
          <w:rtl w:val="true"/>
        </w:rPr>
        <w:t xml:space="preserve">בהכריעו בערעור לפי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מוטל על בית </w:t>
      </w:r>
      <w:r>
        <w:rPr>
          <w:shd w:fill="FFFFFF" w:val="clear"/>
          <w:rtl w:val="true"/>
        </w:rPr>
        <w:t>המשפט להגדיר בקווים כלליים את תוכנו וגבולותיו של צו איסור הפרסום הנדון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ללא קביעה כללית כזו תיווצר אי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ודאות ביחס לגבולות הצו שעלולה להוביל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בסופו של יום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לפגיעה הן בעקרון פומביות הדיון הן בפרטיות מושאי הפרסום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קיים אפוא מתח מסוים בין אופיו הפרטני של הערעור לבין התוצאה הכללית</w:t>
      </w:r>
      <w:r>
        <w:rPr>
          <w:rtl w:val="true"/>
        </w:rPr>
        <w:t xml:space="preserve"> אליה הוא עתיד להוביל</w:t>
      </w:r>
      <w:r>
        <w:rPr>
          <w:rtl w:val="true"/>
        </w:rPr>
        <w:t xml:space="preserve">. </w:t>
      </w:r>
      <w:r>
        <w:rPr>
          <w:rtl w:val="true"/>
        </w:rPr>
        <w:t>מתח זה</w:t>
      </w:r>
      <w:r>
        <w:rPr>
          <w:rtl w:val="true"/>
        </w:rPr>
        <w:t xml:space="preserve">, </w:t>
      </w:r>
      <w:r>
        <w:rPr>
          <w:rtl w:val="true"/>
        </w:rPr>
        <w:t>אשר נובע מהוראות הדין</w:t>
      </w:r>
      <w:r>
        <w:rPr>
          <w:rtl w:val="true"/>
        </w:rPr>
        <w:t xml:space="preserve">, </w:t>
      </w:r>
      <w:r>
        <w:rPr>
          <w:rtl w:val="true"/>
        </w:rPr>
        <w:t>ידרוש במסגרת שלב ההכרעה מעבר מעניינו של הפרסום הפרטני הנדון לעיצוב כוללני של רכיבי המידע האסורים בפרסום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hd w:fill="FFFFFF" w:val="clear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hd w:fill="FFFFFF" w:val="clear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ועתה להכרעה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הנורמטיבית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כבכל דיון שעניינו הגבלת פרסומים בנוגע להליך המתנהל בבית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נקודת המוצא היא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בפומבי</w:t>
      </w:r>
      <w:r>
        <w:rPr>
          <w:rFonts w:cs="Century" w:ascii="Century" w:hAnsi="Century"/>
          <w:sz w:val="22"/>
          <w:rtl w:val="true"/>
        </w:rPr>
        <w:t>" (</w:t>
      </w:r>
      <w:hyperlink r:id="rId4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יסוד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השפיטה</w:t>
      </w:r>
      <w:r>
        <w:rPr>
          <w:rFonts w:cs="Century" w:ascii="Century" w:hAnsi="Century"/>
          <w:sz w:val="22"/>
          <w:rtl w:val="true"/>
        </w:rPr>
        <w:t xml:space="preserve">, </w:t>
      </w:r>
      <w:hyperlink r:id="rId48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וסעיף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68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4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בתי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המשפט</w:t>
        </w:r>
      </w:hyperlink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עקרון פומביות הדיון הוא בעל חשיבות רבה בשיטת משפטנו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ועל יסודותיו והצדקותיו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הקשורים במידה רבה לעקרונות היסוד של המשטר הדמוקרטי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נכתב רבות </w:t>
      </w:r>
      <w:r>
        <w:rPr>
          <w:rFonts w:cs="Century" w:ascii="Century" w:hAnsi="Century"/>
          <w:sz w:val="22"/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4963/07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27.2.2008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אחרונות</w:t>
      </w:r>
      <w:r>
        <w:rPr>
          <w:rtl w:val="true"/>
        </w:rPr>
        <w:t xml:space="preserve">);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8225/12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24.2.2013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52"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יצחק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עמית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חסיונות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ואינטרסים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מוגנים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האזרחי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והפלילי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415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(</w:t>
      </w:r>
      <w:r>
        <w:rPr/>
        <w:t>2021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יפים לענייננו הדברים שכתב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הפומביות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העיתונות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להיגיון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היבטים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ציבוריות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tl w:val="true"/>
        </w:rPr>
        <w:t xml:space="preserve">, </w:t>
      </w:r>
      <w:r>
        <w:rPr>
          <w:rtl w:val="true"/>
        </w:rPr>
        <w:t>מתאפשרת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ביקורת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ציבורית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הרשויות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ביקורת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המשטר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הדמוקרטי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11793/05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החדשות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הישראלית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5.4.2006</w:t>
      </w:r>
      <w:r>
        <w:rPr>
          <w:rFonts w:cs="Century" w:ascii="Century" w:hAnsi="Century"/>
          <w:rtl w:val="true"/>
        </w:rPr>
        <w:t>)...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ההיבט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בתרומה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וסיוע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השקפותיהם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ודעותיהם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eastAsia="Century" w:cs="Century"/>
          <w:sz w:val="22"/>
        </w:rPr>
      </w:pPr>
      <w:r>
        <w:rPr>
          <w:rFonts w:eastAsia="Century" w:cs="Century" w:ascii="Century" w:hAnsi="Century"/>
          <w:sz w:val="22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Century" w:cs="Century" w:ascii="Century" w:hAnsi="Century"/>
          <w:sz w:val="22"/>
          <w:rtl w:val="true"/>
        </w:rPr>
        <w:t xml:space="preserve"> </w:t>
      </w:r>
      <w:r>
        <w:rPr>
          <w:rtl w:val="true"/>
        </w:rPr>
        <w:t>עקרון פומביות הדיון איננו אך נקודת מוצא תיאורטית</w:t>
      </w:r>
      <w:r>
        <w:rPr>
          <w:rtl w:val="true"/>
        </w:rPr>
        <w:t xml:space="preserve">, </w:t>
      </w:r>
      <w:r>
        <w:rPr>
          <w:rtl w:val="true"/>
        </w:rPr>
        <w:t>אלא בסיסו של כלל מעשי שעל פיו פרטיו של הליך שיפוטי יהיו גלויים וחשופים לעיני הציבור</w:t>
      </w:r>
      <w:r>
        <w:rPr>
          <w:rtl w:val="true"/>
        </w:rPr>
        <w:t xml:space="preserve">, </w:t>
      </w:r>
      <w:r>
        <w:rPr>
          <w:rtl w:val="true"/>
        </w:rPr>
        <w:t>למעט במקרים חריגים הקבועים בחוק ומגלמים אינטרסים שונים</w:t>
      </w:r>
      <w:r>
        <w:rPr>
          <w:rtl w:val="true"/>
        </w:rPr>
        <w:t xml:space="preserve">. </w:t>
      </w:r>
      <w:r>
        <w:rPr>
          <w:rtl w:val="true"/>
        </w:rPr>
        <w:t>חריג אחד כזה</w:t>
      </w:r>
      <w:r>
        <w:rPr>
          <w:rtl w:val="true"/>
        </w:rPr>
        <w:t xml:space="preserve">, </w:t>
      </w:r>
      <w:r>
        <w:rPr>
          <w:rtl w:val="true"/>
        </w:rPr>
        <w:t>אשר הוחל על ידי בית משפט קמא בהליך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קבוע </w:t>
      </w:r>
      <w:hyperlink r:id="rId5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שזו לשונו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כהגדרתם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נועדת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לפי לשון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נוכח ברירת המחדל שעניינה פומביות הדיון ובהתאם לפסיקות עבר </w:t>
      </w:r>
      <w:r>
        <w:rPr>
          <w:rtl w:val="true"/>
        </w:rPr>
        <w:t>–</w:t>
      </w:r>
      <w:r>
        <w:rPr>
          <w:rtl w:val="true"/>
        </w:rPr>
        <w:t xml:space="preserve"> בית משפט אשר מבקש להכריע אם לאסור על פרסום בקשר לדיון המתנהל בפניו</w:t>
      </w:r>
      <w:r>
        <w:rPr>
          <w:rtl w:val="true"/>
        </w:rPr>
        <w:t xml:space="preserve">, </w:t>
      </w:r>
      <w:r>
        <w:rPr>
          <w:rtl w:val="true"/>
        </w:rPr>
        <w:t>בהקשר בו עסקינן</w:t>
      </w:r>
      <w:r>
        <w:rPr>
          <w:rtl w:val="true"/>
        </w:rPr>
        <w:t xml:space="preserve">, </w:t>
      </w:r>
      <w:r>
        <w:rPr>
          <w:rtl w:val="true"/>
        </w:rPr>
        <w:t>נדרש לעבור שני שלבים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עליו לבחון אם איסור הפרסום הנדון נדרש לשם מניעת פגיעה בפרטיות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ככל שהוא מגיע למסקנה חיובית בעניין זה</w:t>
      </w:r>
      <w:r>
        <w:rPr>
          <w:rtl w:val="true"/>
        </w:rPr>
        <w:t xml:space="preserve">, </w:t>
      </w:r>
      <w:r>
        <w:rPr>
          <w:rtl w:val="true"/>
        </w:rPr>
        <w:t>עליו לשקול האם יש מקום להפעיל את סמכותו ולאסור פרסום</w:t>
      </w:r>
      <w:r>
        <w:rPr>
          <w:rtl w:val="true"/>
        </w:rPr>
        <w:t xml:space="preserve">, </w:t>
      </w:r>
      <w:r>
        <w:rPr>
          <w:rtl w:val="true"/>
        </w:rPr>
        <w:t xml:space="preserve">וזאת תוך איזון בין עקרון פומביות הדיון וחשיבות פרסום המידע הנדון לבין הערך הנעוץ בהגנת הפרטיות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אחרונות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11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17</w:t>
      </w:r>
      <w:r>
        <w:rPr>
          <w:rtl w:val="true"/>
        </w:rPr>
        <w:t xml:space="preserve">). </w:t>
      </w:r>
      <w:r>
        <w:rPr>
          <w:rtl w:val="true"/>
        </w:rPr>
        <w:t>נרחיב קמעה ביחס לאבני היסוד המרכיבות מהלך דו</w:t>
      </w:r>
      <w:r>
        <w:rPr>
          <w:rtl w:val="true"/>
        </w:rPr>
        <w:t>-</w:t>
      </w:r>
      <w:r>
        <w:rPr>
          <w:rtl w:val="true"/>
        </w:rPr>
        <w:t>שלבי זה</w:t>
      </w:r>
      <w:r>
        <w:rPr>
          <w:rtl w:val="true"/>
        </w:rPr>
        <w:t xml:space="preserve">, </w:t>
      </w:r>
      <w:r>
        <w:rPr>
          <w:rtl w:val="true"/>
        </w:rPr>
        <w:t>ולאחר מכן נבחן לאור הכללים שיוצגו את המקרה בו עסקינן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Miriam" w:hAnsi="Miriam" w:cs="Miriam"/>
          <w:sz w:val="22"/>
          <w:sz w:val="22"/>
          <w:szCs w:val="24"/>
          <w:rtl w:val="true"/>
        </w:rPr>
        <w:t>פגיעה בפרטיות</w:t>
      </w:r>
      <w:r>
        <w:rPr>
          <w:rFonts w:cs="Miriam" w:ascii="Miriam" w:hAnsi="Miriam"/>
          <w:sz w:val="22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זיהוי פגיעה בפרטיות</w:t>
      </w:r>
      <w:r>
        <w:rPr>
          <w:rtl w:val="true"/>
        </w:rPr>
        <w:t xml:space="preserve">, </w:t>
      </w:r>
      <w:r>
        <w:rPr>
          <w:rtl w:val="true"/>
        </w:rPr>
        <w:t>כמו גם מדידת חומרתה של פגיעה זו</w:t>
      </w:r>
      <w:r>
        <w:rPr>
          <w:rtl w:val="true"/>
        </w:rPr>
        <w:t xml:space="preserve">, </w:t>
      </w:r>
      <w:r>
        <w:rPr>
          <w:rtl w:val="true"/>
        </w:rPr>
        <w:t>אינן מלאכות פשוטות בהכרח</w:t>
      </w:r>
      <w:r>
        <w:rPr>
          <w:rtl w:val="true"/>
        </w:rPr>
        <w:t xml:space="preserve">. 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הפרטיות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-</w:t>
      </w:r>
      <w:r>
        <w:rPr/>
        <w:t>1980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הפרטיות</w:t>
      </w:r>
      <w:r>
        <w:rPr>
          <w:rtl w:val="true"/>
        </w:rPr>
        <w:t xml:space="preserve">) </w:t>
      </w:r>
      <w:r>
        <w:rPr>
          <w:rtl w:val="true"/>
        </w:rPr>
        <w:t>מהווה אומנם נקודת מוצא לבחינה כזו</w:t>
      </w:r>
      <w:r>
        <w:rPr>
          <w:rtl w:val="true"/>
        </w:rPr>
        <w:t xml:space="preserve">, </w:t>
      </w:r>
      <w:r>
        <w:rPr>
          <w:rtl w:val="true"/>
        </w:rPr>
        <w:t xml:space="preserve">אך כפי שנקבע זה מכבר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שהוגדרה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המקובלים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בפרטיות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להגדרת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הישראלי</w:t>
      </w:r>
      <w:r>
        <w:rPr>
          <w:rtl w:val="true"/>
        </w:rPr>
        <w:t>" (</w:t>
      </w:r>
      <w:hyperlink r:id="rId57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6650/04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האזורי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בנתניה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14.5.2006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וראו גם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אחרונות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מיכאל </w:t>
      </w:r>
      <w:hyperlink r:id="rId5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בירנהק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חשיפה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מקוונת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וחשיפה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משפטית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: 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 פרטיות ופומביות של פסקי דין ברשת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Fonts w:ascii="Century" w:hAnsi="Century" w:cs="Century"/>
          <w:sz w:val="22"/>
          <w:sz w:val="22"/>
          <w:rtl w:val="true"/>
        </w:rPr>
        <w:t xml:space="preserve"> מח </w:t>
      </w:r>
      <w:r>
        <w:rPr>
          <w:rFonts w:cs="Century" w:ascii="Century" w:hAnsi="Century"/>
          <w:sz w:val="22"/>
        </w:rPr>
        <w:t>31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43-42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התשע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ט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Miriam" w:hAnsi="Miriam" w:cs="Miriam"/>
          <w:sz w:val="20"/>
          <w:sz w:val="20"/>
          <w:szCs w:val="24"/>
          <w:rtl w:val="true"/>
        </w:rPr>
        <w:t>בירנהק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הפרטיות</w:t>
        </w:r>
      </w:hyperlink>
      <w:r>
        <w:rPr>
          <w:rtl w:val="true"/>
        </w:rPr>
        <w:t xml:space="preserve"> אף אינו מתווה דרך ברורה בהערכת חומרת הפגיעה</w:t>
      </w:r>
      <w:r>
        <w:rPr>
          <w:rtl w:val="true"/>
        </w:rPr>
        <w:t xml:space="preserve">. </w:t>
      </w:r>
      <w:r>
        <w:rPr>
          <w:rtl w:val="true"/>
        </w:rPr>
        <w:t>על כל פנים</w:t>
      </w:r>
      <w:r>
        <w:rPr>
          <w:rtl w:val="true"/>
        </w:rPr>
        <w:t xml:space="preserve">, </w:t>
      </w:r>
      <w:r>
        <w:rPr>
          <w:rtl w:val="true"/>
        </w:rPr>
        <w:t>אין חולק כי פרסומם של פרטי מידע מסוימים הנוגעים ל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צנעת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tl w:val="true"/>
        </w:rPr>
        <w:t xml:space="preserve">", </w:t>
      </w:r>
      <w:r>
        <w:rPr>
          <w:rtl w:val="true"/>
        </w:rPr>
        <w:t>ובהם מידע באשר למצב בריאותו</w:t>
      </w:r>
      <w:r>
        <w:rPr>
          <w:rtl w:val="true"/>
        </w:rPr>
        <w:t xml:space="preserve">, </w:t>
      </w:r>
      <w:r>
        <w:rPr>
          <w:rtl w:val="true"/>
        </w:rPr>
        <w:t>עולה כדי פגיעה בפרטיות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הפרטיות</w:t>
        </w:r>
      </w:hyperlink>
      <w:r>
        <w:rPr>
          <w:rtl w:val="true"/>
        </w:rPr>
        <w:t xml:space="preserve">; </w:t>
      </w:r>
      <w:r>
        <w:rPr>
          <w:rtl w:val="true"/>
        </w:rPr>
        <w:t xml:space="preserve">וראו גם 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שמכיר בכך שחשיפת מידע רפואי מובילה לפגיעה בפרטיות</w:t>
      </w:r>
      <w:r>
        <w:rPr>
          <w:rtl w:val="true"/>
        </w:rPr>
        <w:t xml:space="preserve">). </w:t>
      </w:r>
      <w:r>
        <w:rPr>
          <w:rtl w:val="true"/>
        </w:rPr>
        <w:t>אשר לעוצמת הפגיעה</w:t>
      </w:r>
      <w:r>
        <w:rPr>
          <w:rtl w:val="true"/>
        </w:rPr>
        <w:t xml:space="preserve">, </w:t>
      </w:r>
      <w:r>
        <w:rPr>
          <w:rtl w:val="true"/>
        </w:rPr>
        <w:t>מקובל שמידת חומרתה של פגיעה בפרטיות תלויה באופי המידע הפוגע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כאשר מפורסם מידע כאמור</w:t>
      </w:r>
      <w:r>
        <w:rPr>
          <w:rtl w:val="true"/>
        </w:rPr>
        <w:t xml:space="preserve">, </w:t>
      </w:r>
      <w:r>
        <w:rPr>
          <w:rtl w:val="true"/>
        </w:rPr>
        <w:t>המתייחס לעניינים המצויים בליבת הזכות לפרטיות</w:t>
      </w:r>
      <w:r>
        <w:rPr>
          <w:rtl w:val="true"/>
        </w:rPr>
        <w:t xml:space="preserve">, </w:t>
      </w:r>
      <w:r>
        <w:rPr>
          <w:rtl w:val="true"/>
        </w:rPr>
        <w:t xml:space="preserve">תגבר הנטייה לזהות את הפגיעה כפגיעה חמורה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אחרונות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בירנהק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43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אופיו של המידע שפרסומו עומד על הפרק הוא אומנם גורם מרכזי בבחינת החשש מפני פגיעה בפרטיות</w:t>
      </w:r>
      <w:r>
        <w:rPr>
          <w:rtl w:val="true"/>
        </w:rPr>
        <w:t xml:space="preserve">, </w:t>
      </w:r>
      <w:r>
        <w:rPr>
          <w:rtl w:val="true"/>
        </w:rPr>
        <w:t>אך הוא אינו הגורם היחיד</w:t>
      </w:r>
      <w:r>
        <w:rPr>
          <w:rtl w:val="true"/>
        </w:rPr>
        <w:t xml:space="preserve">. </w:t>
      </w:r>
      <w:r>
        <w:rPr>
          <w:rtl w:val="true"/>
        </w:rPr>
        <w:t xml:space="preserve">לצד </w:t>
      </w:r>
      <w:r>
        <w:rPr>
          <w:rtl w:val="true"/>
        </w:rPr>
        <w:t>"</w:t>
      </w:r>
      <w:r>
        <w:rPr>
          <w:rtl w:val="true"/>
        </w:rPr>
        <w:t>מישור התוכן</w:t>
      </w:r>
      <w:r>
        <w:rPr>
          <w:rtl w:val="true"/>
        </w:rPr>
        <w:t xml:space="preserve">", </w:t>
      </w:r>
      <w:r>
        <w:rPr>
          <w:rtl w:val="true"/>
        </w:rPr>
        <w:t>ששקילתו הוזכרה לעיל ועניינו רגישות המידע הנדון</w:t>
      </w:r>
      <w:r>
        <w:rPr>
          <w:rtl w:val="true"/>
        </w:rPr>
        <w:t xml:space="preserve">, </w:t>
      </w:r>
      <w:r>
        <w:rPr>
          <w:rtl w:val="true"/>
        </w:rPr>
        <w:t xml:space="preserve">פועל </w:t>
      </w:r>
      <w:r>
        <w:rPr>
          <w:rtl w:val="true"/>
        </w:rPr>
        <w:t>"</w:t>
      </w:r>
      <w:r>
        <w:rPr>
          <w:rtl w:val="true"/>
        </w:rPr>
        <w:t>מישור הזיהוי</w:t>
      </w:r>
      <w:r>
        <w:rPr>
          <w:rtl w:val="true"/>
        </w:rPr>
        <w:t xml:space="preserve">", </w:t>
      </w:r>
      <w:r>
        <w:rPr>
          <w:rtl w:val="true"/>
        </w:rPr>
        <w:t>שרלוונטי גם כן בבחינת פגיעה כאמור</w:t>
      </w:r>
      <w:r>
        <w:rPr>
          <w:rtl w:val="true"/>
        </w:rPr>
        <w:t>. "</w:t>
      </w:r>
      <w:r>
        <w:rPr>
          <w:rtl w:val="true"/>
        </w:rPr>
        <w:t>מישור הזיהוי</w:t>
      </w:r>
      <w:r>
        <w:rPr>
          <w:rtl w:val="true"/>
        </w:rPr>
        <w:t xml:space="preserve">" </w:t>
      </w:r>
      <w:r>
        <w:rPr>
          <w:rtl w:val="true"/>
        </w:rPr>
        <w:t xml:space="preserve">נוגע למידה שבה התוכן שפרסומו מבוקש עלול להביא לזיהויו של האדם שפרטיותו עשויה להיפגע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Fonts w:ascii="Miriam" w:hAnsi="Miriam" w:cs="Miriam"/>
          <w:sz w:val="20"/>
          <w:sz w:val="20"/>
          <w:szCs w:val="24"/>
          <w:rtl w:val="true"/>
        </w:rPr>
        <w:t>בירנהק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61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6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1697/11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א</w:t>
      </w:r>
      <w:r>
        <w:rPr>
          <w:rFonts w:cs="Miriam" w:ascii="Miriam" w:hAnsi="Miriam"/>
          <w:sz w:val="20"/>
          <w:szCs w:val="24"/>
          <w:rtl w:val="true"/>
        </w:rPr>
        <w:t xml:space="preserve">. </w:t>
      </w:r>
      <w:r>
        <w:rPr>
          <w:rFonts w:ascii="Miriam" w:hAnsi="Miriam" w:cs="Miriam"/>
          <w:sz w:val="20"/>
          <w:sz w:val="20"/>
          <w:szCs w:val="24"/>
          <w:rtl w:val="true"/>
        </w:rPr>
        <w:t>גוטסמן אדריכלות בע</w:t>
      </w:r>
      <w:r>
        <w:rPr>
          <w:rFonts w:cs="Miriam" w:ascii="Miriam" w:hAnsi="Miriam"/>
          <w:sz w:val="20"/>
          <w:szCs w:val="24"/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מ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ורדי</w:t>
      </w:r>
      <w:r>
        <w:rPr>
          <w:rFonts w:cs="Miriam" w:ascii="Miriam" w:hAnsi="Miriam"/>
          <w:sz w:val="20"/>
          <w:szCs w:val="24"/>
          <w:rtl w:val="true"/>
        </w:rPr>
        <w:t>,</w:t>
      </w:r>
      <w:r>
        <w:rPr>
          <w:rFonts w:cs="Century" w:ascii="Century" w:hAnsi="Century"/>
          <w:sz w:val="20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23.1.2013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ככל שניתן למנוע באופן מוחלט את זיהויו של האדם בו מדובר</w:t>
      </w:r>
      <w:r>
        <w:rPr>
          <w:rtl w:val="true"/>
        </w:rPr>
        <w:t xml:space="preserve">, </w:t>
      </w:r>
      <w:r>
        <w:rPr>
          <w:rtl w:val="true"/>
        </w:rPr>
        <w:t xml:space="preserve">דהיינו להשיג התממה מלאה </w:t>
      </w:r>
      <w:r>
        <w:rPr>
          <w:rtl w:val="true"/>
        </w:rPr>
        <w:t>(</w:t>
      </w:r>
      <w:r>
        <w:rPr>
          <w:rtl w:val="true"/>
        </w:rPr>
        <w:t>אנונימיזציה בלעז</w:t>
      </w:r>
      <w:r>
        <w:rPr>
          <w:rtl w:val="true"/>
        </w:rPr>
        <w:t xml:space="preserve">) </w:t>
      </w:r>
      <w:r>
        <w:rPr>
          <w:rtl w:val="true"/>
        </w:rPr>
        <w:t>של המידע בו מדובר</w:t>
      </w:r>
      <w:r>
        <w:rPr>
          <w:rtl w:val="true"/>
        </w:rPr>
        <w:t xml:space="preserve">, </w:t>
      </w:r>
      <w:r>
        <w:rPr>
          <w:rtl w:val="true"/>
        </w:rPr>
        <w:t xml:space="preserve">הרי שגם אם </w:t>
      </w:r>
      <w:r>
        <w:rPr>
          <w:rFonts w:ascii="Century" w:hAnsi="Century" w:cs="Century"/>
          <w:sz w:val="22"/>
          <w:sz w:val="22"/>
          <w:rtl w:val="true"/>
        </w:rPr>
        <w:t>מדובר במידע אישי מאד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חשיפתו מהווה פגיעה בפרטיותו של אותו אדם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תלו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לדוגמא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תיאור בדבר מצבו הרפואי של חולה במחלה קשה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כל עוד אין אפשרות לאיש לזהות מיהו אותו חולה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הרי שחשיפת המידע הרפואי כשלעצמה אינה מהווה פגיעה בצנעת הפרט של מאן דהוא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הקושי ביישומו של מישור הזיהוי כגורם בעל משמעות בבחינת הפגיעה בפרטיות נובע משני טעמים המשלימים זה את זה</w:t>
      </w:r>
      <w:r>
        <w:rPr>
          <w:rtl w:val="true"/>
        </w:rPr>
        <w:t xml:space="preserve">. </w:t>
      </w:r>
      <w:r>
        <w:rPr>
          <w:rtl w:val="true"/>
        </w:rPr>
        <w:t>הטעם הראשון הוא כי</w:t>
      </w:r>
      <w:r>
        <w:rPr>
          <w:rtl w:val="true"/>
        </w:rPr>
        <w:t xml:space="preserve">,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חיסוי שמו של אדם לא תמיד מונע את זיהויו</w:t>
      </w:r>
      <w:r>
        <w:rPr>
          <w:rtl w:val="true"/>
        </w:rPr>
        <w:t xml:space="preserve">, </w:t>
      </w:r>
      <w:r>
        <w:rPr>
          <w:rtl w:val="true"/>
        </w:rPr>
        <w:t xml:space="preserve">בהינתן פוטנציאל הזיהוי הגלום בקישור בין פרטי מידע שונים ביחס לאדם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Miriam" w:hAnsi="Miriam" w:cs="Miriam"/>
          <w:sz w:val="22"/>
          <w:sz w:val="22"/>
          <w:szCs w:val="24"/>
          <w:rtl w:val="true"/>
        </w:rPr>
        <w:t>בירנהק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55-54</w:t>
      </w:r>
      <w:r>
        <w:rPr>
          <w:rtl w:val="true"/>
        </w:rPr>
        <w:t xml:space="preserve">). </w:t>
      </w:r>
      <w:r>
        <w:rPr>
          <w:rtl w:val="true"/>
        </w:rPr>
        <w:t>הטעם השני הוא כי זיהוי ואי</w:t>
      </w:r>
      <w:r>
        <w:rPr>
          <w:rtl w:val="true"/>
        </w:rPr>
        <w:t>-</w:t>
      </w:r>
      <w:r>
        <w:rPr>
          <w:rtl w:val="true"/>
        </w:rPr>
        <w:t xml:space="preserve">זיהוי אינן שתי אפשרויות בינריות ובלעדיות אשר </w:t>
      </w:r>
      <w:r>
        <w:rPr>
          <w:rtl w:val="true"/>
        </w:rPr>
        <w:t>"</w:t>
      </w:r>
      <w:r>
        <w:rPr>
          <w:rtl w:val="true"/>
        </w:rPr>
        <w:t>ביניהן אין</w:t>
      </w:r>
      <w:r>
        <w:rPr>
          <w:rtl w:val="true"/>
        </w:rPr>
        <w:t xml:space="preserve">";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 xml:space="preserve">כי ישנן אפשרויות ביניים אשר פרושות על גבי ציר לפי קריטריונים שעניינם </w:t>
      </w:r>
      <w:r>
        <w:rPr>
          <w:rtl w:val="true"/>
        </w:rPr>
        <w:t>"</w:t>
      </w:r>
      <w:r>
        <w:rPr>
          <w:rtl w:val="true"/>
        </w:rPr>
        <w:t>יותר זיהוי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פחות זיהוי</w:t>
      </w:r>
      <w:r>
        <w:rPr>
          <w:rtl w:val="true"/>
        </w:rPr>
        <w:t xml:space="preserve">", </w:t>
      </w:r>
      <w:r>
        <w:rPr>
          <w:rtl w:val="true"/>
        </w:rPr>
        <w:t xml:space="preserve">כאשר </w:t>
      </w:r>
      <w:r>
        <w:rPr>
          <w:rtl w:val="true"/>
        </w:rPr>
        <w:t>"</w:t>
      </w:r>
      <w:r>
        <w:rPr>
          <w:rtl w:val="true"/>
        </w:rPr>
        <w:t>יותר זיהוי</w:t>
      </w:r>
      <w:r>
        <w:rPr>
          <w:rtl w:val="true"/>
        </w:rPr>
        <w:t xml:space="preserve">" </w:t>
      </w:r>
      <w:r>
        <w:rPr>
          <w:rtl w:val="true"/>
        </w:rPr>
        <w:t>מטה את הכף להגבלת הפרסום</w:t>
      </w:r>
      <w:r>
        <w:rPr>
          <w:rtl w:val="true"/>
        </w:rPr>
        <w:t xml:space="preserve">, </w:t>
      </w:r>
      <w:r>
        <w:rPr>
          <w:rtl w:val="true"/>
        </w:rPr>
        <w:t xml:space="preserve">ולהיפך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14</w:t>
      </w:r>
      <w:r>
        <w:rPr>
          <w:rtl w:val="true"/>
        </w:rPr>
        <w:t xml:space="preserve">). </w:t>
      </w:r>
      <w:r>
        <w:rPr>
          <w:rtl w:val="true"/>
        </w:rPr>
        <w:t xml:space="preserve">גורם אחד שמשפיע על הצבה על גבי </w:t>
      </w:r>
      <w:r>
        <w:rPr>
          <w:rtl w:val="true"/>
        </w:rPr>
        <w:t>"</w:t>
      </w:r>
      <w:r>
        <w:rPr>
          <w:rtl w:val="true"/>
        </w:rPr>
        <w:t>ציר הזיהוי</w:t>
      </w:r>
      <w:r>
        <w:rPr>
          <w:rtl w:val="true"/>
        </w:rPr>
        <w:t xml:space="preserve">" </w:t>
      </w:r>
      <w:r>
        <w:rPr>
          <w:rtl w:val="true"/>
        </w:rPr>
        <w:t>קשור בפרטי המידע אשר עלולים להוביל לזיהוי האדם</w:t>
      </w:r>
      <w:r>
        <w:rPr>
          <w:rtl w:val="true"/>
        </w:rPr>
        <w:t xml:space="preserve">, </w:t>
      </w:r>
      <w:r>
        <w:rPr>
          <w:rtl w:val="true"/>
        </w:rPr>
        <w:t>דהיינו ב</w:t>
      </w:r>
      <w:r>
        <w:rPr>
          <w:rtl w:val="true"/>
        </w:rPr>
        <w:t>"</w:t>
      </w:r>
      <w:r>
        <w:rPr>
          <w:rtl w:val="true"/>
        </w:rPr>
        <w:t>פוטנציאל הזיהוי</w:t>
      </w:r>
      <w:r>
        <w:rPr>
          <w:rtl w:val="true"/>
        </w:rPr>
        <w:t xml:space="preserve">" </w:t>
      </w:r>
      <w:r>
        <w:rPr>
          <w:rtl w:val="true"/>
        </w:rPr>
        <w:t>שהם נושאים עמם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ככל שבתוכן שפרסומו עומד לדיון מצויים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cs="Century"/>
          <w:sz w:val="22"/>
          <w:sz w:val="22"/>
          <w:rtl w:val="true"/>
        </w:rPr>
        <w:t xml:space="preserve"> פרטים כאלו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וככל 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תוכנם</w:t>
      </w:r>
      <w:r>
        <w:rPr>
          <w:rFonts w:ascii="Century" w:hAnsi="Century" w:cs="Century"/>
          <w:sz w:val="22"/>
          <w:sz w:val="22"/>
          <w:rtl w:val="true"/>
        </w:rPr>
        <w:t xml:space="preserve"> מזהה באופן מובהק יותר את האדם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הפרסום הנדון ימוקם על גבי הציר בנקודה המשקפת פגיעה חמורה יותר בפרטיות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גורם נוסף בעל משקל במסגרת בחינת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ציר הזיהוי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עניינו באוכלוסיית ה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מזהים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ובגדרו יש להביא בחשבון באיזה היקף יזוהה האדם אם יתרחש הפרסום הנדון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לדוגמא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במקרים רבים פרטי מידע מסוימים מביאים לזיהוי אדם עם פרסום נתון רק עבור מעגל הקרובים 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להם ידוע הקשר בין פרטי המידע לבינו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כפי שיובהר להלן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חידוד אחרון זה רלוונטי להכרעה בענייננו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Miriam" w:hAnsi="Miriam" w:cs="Miriam"/>
          <w:sz w:val="22"/>
          <w:sz w:val="22"/>
          <w:szCs w:val="24"/>
          <w:rtl w:val="true"/>
        </w:rPr>
        <w:t>איזון עם האינטרסים התומכים בפרסום</w:t>
      </w:r>
      <w:r>
        <w:rPr>
          <w:rFonts w:cs="Miriam" w:ascii="Miriam" w:hAnsi="Miriam"/>
          <w:sz w:val="22"/>
          <w:szCs w:val="24"/>
          <w:rtl w:val="true"/>
        </w:rPr>
        <w:t>.</w:t>
      </w:r>
      <w:r>
        <w:rPr>
          <w:sz w:val="22"/>
          <w:szCs w:val="24"/>
          <w:rtl w:val="true"/>
        </w:rPr>
        <w:t xml:space="preserve"> </w:t>
      </w:r>
      <w:r>
        <w:rPr>
          <w:rtl w:val="true"/>
        </w:rPr>
        <w:t>קיומו של חשש לפגיעה בפרטיותו של אדם אינו מוביל בהכרח להגבלת פרסום</w:t>
      </w:r>
      <w:r>
        <w:rPr>
          <w:rtl w:val="true"/>
        </w:rPr>
        <w:t xml:space="preserve">. </w:t>
      </w:r>
      <w:r>
        <w:rPr>
          <w:rtl w:val="true"/>
        </w:rPr>
        <w:t>את הרצון למנוע פגיעה זו יש לאזן עם הערך הנעוץ בפומביות הדיון</w:t>
      </w:r>
      <w:r>
        <w:rPr>
          <w:rtl w:val="true"/>
        </w:rPr>
        <w:t xml:space="preserve">, </w:t>
      </w:r>
      <w:r>
        <w:rPr>
          <w:rtl w:val="true"/>
        </w:rPr>
        <w:t>וזאת תוך מתן משקל למידת הפגיעה האפשרית בפרטיות מזה ולמידת הפגיעה בפומביות ההליך</w:t>
      </w:r>
      <w:r>
        <w:rPr>
          <w:rtl w:val="true"/>
        </w:rPr>
        <w:t xml:space="preserve">, </w:t>
      </w:r>
      <w:r>
        <w:rPr>
          <w:rtl w:val="true"/>
        </w:rPr>
        <w:t>וכן לאינטרס הציבורי הנעוץ בפרסום המידע שעניינו נדון</w:t>
      </w:r>
      <w:r>
        <w:rPr>
          <w:rtl w:val="true"/>
        </w:rPr>
        <w:t xml:space="preserve">, </w:t>
      </w:r>
      <w:r>
        <w:rPr>
          <w:rtl w:val="true"/>
        </w:rPr>
        <w:t xml:space="preserve">מזה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Miriam" w:hAnsi="Miriam" w:cs="Miriam"/>
          <w:sz w:val="22"/>
          <w:sz w:val="22"/>
          <w:szCs w:val="24"/>
          <w:rtl w:val="true"/>
        </w:rPr>
        <w:t>בירנהק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42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>, "</w:t>
      </w:r>
      <w:r>
        <w:rPr>
          <w:rtl w:val="true"/>
        </w:rPr>
        <w:t xml:space="preserve">בית משפט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רשאי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לאסור פרסום כאשר קיים חשש לפגיעה כאמור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רשאי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חייב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וזאת אף כאשר הפרסום עשוי להביא לפגיעה בפרטיותו של מושא המידע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6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2211/15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14.4.2015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ובנוגע לאיסור פרסום מכוח </w:t>
      </w:r>
      <w:hyperlink r:id="rId6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70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ה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6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בתי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המשפט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hyperlink r:id="rId6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1039/19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הוצאת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שופטת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אלמונית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13.3.2019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הארץ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וכן </w:t>
      </w:r>
      <w:r>
        <w:rPr>
          <w:rFonts w:ascii="Miriam" w:hAnsi="Miriam" w:cs="Miriam"/>
          <w:sz w:val="20"/>
          <w:sz w:val="20"/>
          <w:szCs w:val="24"/>
          <w:rtl w:val="true"/>
        </w:rPr>
        <w:t>בירנהק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52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הבכורה שניתנה לערכים התומכים בפרסום פרטיהם של הליכים שיפוטיים לא רק מתווה את הכלל הנוהג כאשר לא קיים חשש לפגיעה בפרטיות</w:t>
      </w:r>
      <w:r>
        <w:rPr>
          <w:rtl w:val="true"/>
        </w:rPr>
        <w:t xml:space="preserve">, </w:t>
      </w:r>
      <w:r>
        <w:rPr>
          <w:rtl w:val="true"/>
        </w:rPr>
        <w:t>אלא גם מעצבת את האיזון הנדרש בהתקיים חשש כזה</w:t>
      </w:r>
      <w:r>
        <w:rPr>
          <w:rtl w:val="true"/>
        </w:rPr>
        <w:t xml:space="preserve">. </w:t>
      </w:r>
      <w:r>
        <w:rPr>
          <w:rtl w:val="true"/>
        </w:rPr>
        <w:t>כפי שהוזכר זה מכבר</w:t>
      </w:r>
      <w:r>
        <w:rPr>
          <w:rtl w:val="true"/>
        </w:rPr>
        <w:t xml:space="preserve">, </w:t>
      </w:r>
      <w:r>
        <w:rPr>
          <w:rtl w:val="true"/>
        </w:rPr>
        <w:t xml:space="preserve">ברירת המחדל שעניינה פומביות הדיון איננה </w:t>
      </w:r>
      <w:r>
        <w:rPr>
          <w:rtl w:val="true"/>
        </w:rPr>
        <w:t>"</w:t>
      </w:r>
      <w:r>
        <w:rPr>
          <w:rtl w:val="true"/>
        </w:rPr>
        <w:t>ניטרלית</w:t>
      </w:r>
      <w:r>
        <w:rPr>
          <w:rtl w:val="true"/>
        </w:rPr>
        <w:t xml:space="preserve">" </w:t>
      </w:r>
      <w:r>
        <w:rPr>
          <w:rtl w:val="true"/>
        </w:rPr>
        <w:t>מבחינה נורמטיבית</w:t>
      </w:r>
      <w:r>
        <w:rPr>
          <w:rtl w:val="true"/>
        </w:rPr>
        <w:t xml:space="preserve">, </w:t>
      </w:r>
      <w:r>
        <w:rPr>
          <w:rtl w:val="true"/>
        </w:rPr>
        <w:t>אלא טעונה בערכי חופש הביטוי וזכות הציבור לדעת ומבטאת אותם</w:t>
      </w:r>
      <w:r>
        <w:rPr>
          <w:rtl w:val="true"/>
        </w:rPr>
        <w:t xml:space="preserve">. </w:t>
      </w:r>
      <w:r>
        <w:rPr>
          <w:rtl w:val="true"/>
        </w:rPr>
        <w:t>מטעם זה</w:t>
      </w:r>
      <w:r>
        <w:rPr>
          <w:rtl w:val="true"/>
        </w:rPr>
        <w:t xml:space="preserve">, </w:t>
      </w:r>
      <w:r>
        <w:rPr>
          <w:rtl w:val="true"/>
        </w:rPr>
        <w:t xml:space="preserve">אף כאשר בית משפט מחליט כי יש הצדקה לאיסור פרסום לפי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עליו לצמצם את הגבלת הפרסום</w:t>
      </w:r>
      <w:r>
        <w:rPr>
          <w:rtl w:val="true"/>
        </w:rPr>
        <w:t xml:space="preserve">, </w:t>
      </w:r>
      <w:r>
        <w:rPr>
          <w:rtl w:val="true"/>
        </w:rPr>
        <w:t xml:space="preserve">וזאת בייחוד כאשר קיימת חשיבות ציבורית בחשיפת המידע הנדון לציבור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7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482/13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לביטוח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23.4.2013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cs="Century" w:ascii="Century" w:hAnsi="Century"/>
          <w:sz w:val="22"/>
          <w:rtl w:val="true"/>
        </w:rPr>
        <w:t>);</w:t>
      </w:r>
      <w:r>
        <w:rPr>
          <w:rtl w:val="true"/>
        </w:rPr>
        <w:t xml:space="preserve">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הארץ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8</w:t>
      </w:r>
      <w:r>
        <w:rPr>
          <w:rtl w:val="true"/>
        </w:rPr>
        <w:t xml:space="preserve">). </w:t>
      </w:r>
      <w:r>
        <w:rPr>
          <w:rtl w:val="true"/>
        </w:rPr>
        <w:t xml:space="preserve">דברים אלה נכונים ביתר שאת כאשר לבית המשפט מוגשת בקשה לביטול איסור פרסום מכוח 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</w:t>
      </w:r>
      <w:hyperlink r:id="rId7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, </w:t>
      </w:r>
      <w:r>
        <w:rPr>
          <w:rtl w:val="true"/>
        </w:rPr>
        <w:t>ושיקול הדעת המסור לו בגדר ההכרעה בה הוא רחב</w:t>
      </w:r>
      <w:r>
        <w:rPr>
          <w:rtl w:val="true"/>
        </w:rPr>
        <w:t xml:space="preserve">, </w:t>
      </w:r>
      <w:r>
        <w:rPr>
          <w:rtl w:val="true"/>
        </w:rPr>
        <w:t>כמובהר 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ספק כי הפרשה מושא דיוננו משובצת בפרטים רגישים שפרסומם</w:t>
      </w:r>
      <w:r>
        <w:rPr>
          <w:rtl w:val="true"/>
        </w:rPr>
        <w:t xml:space="preserve">, </w:t>
      </w:r>
      <w:r>
        <w:rPr>
          <w:rtl w:val="true"/>
        </w:rPr>
        <w:t>ללא הסכמת המשיב</w:t>
      </w:r>
      <w:r>
        <w:rPr>
          <w:rtl w:val="true"/>
        </w:rPr>
        <w:t xml:space="preserve">, </w:t>
      </w:r>
      <w:r>
        <w:rPr>
          <w:rtl w:val="true"/>
        </w:rPr>
        <w:t>צפוי לפגוע בפרטיותו של המשיב</w:t>
      </w:r>
      <w:r>
        <w:rPr>
          <w:rtl w:val="true"/>
        </w:rPr>
        <w:t xml:space="preserve">. </w:t>
      </w:r>
      <w:r>
        <w:rPr>
          <w:rtl w:val="true"/>
        </w:rPr>
        <w:t>מבלי להרחיב בעניין</w:t>
      </w:r>
      <w:r>
        <w:rPr>
          <w:rtl w:val="true"/>
        </w:rPr>
        <w:t xml:space="preserve">, </w:t>
      </w:r>
      <w:r>
        <w:rPr>
          <w:rtl w:val="true"/>
        </w:rPr>
        <w:t>אציין כי בעיקר כך בנוגע למצבו הרפואי הנוכחי של המשיב</w:t>
      </w:r>
      <w:r>
        <w:rPr>
          <w:rtl w:val="true"/>
        </w:rPr>
        <w:t xml:space="preserve">, </w:t>
      </w:r>
      <w:r>
        <w:rPr>
          <w:rtl w:val="true"/>
        </w:rPr>
        <w:t>וכך בנוגע לאירועים הטראומתיים שעבר כאשר היה קטין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>נראה שרגישותו של חלק מהמידע בעניין הפרשה מצוי בליבת הזכות לפרטיות</w:t>
      </w:r>
      <w:r>
        <w:rPr>
          <w:rtl w:val="true"/>
        </w:rPr>
        <w:t xml:space="preserve">, </w:t>
      </w:r>
      <w:r>
        <w:rPr>
          <w:rtl w:val="true"/>
        </w:rPr>
        <w:t xml:space="preserve">ומשכך פרסומו עלול להביא לפגיעה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חמורה</w:t>
      </w:r>
      <w:r>
        <w:rPr>
          <w:rtl w:val="true"/>
        </w:rPr>
        <w:t xml:space="preserve"> בפרטיותם של המשיב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>;</w:t>
      </w:r>
      <w:r>
        <w:rPr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382/16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יהל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פקיד שומה תל</w:t>
      </w:r>
      <w:r>
        <w:rPr>
          <w:rFonts w:cs="Miriam" w:ascii="Miriam" w:hAnsi="Miriam"/>
          <w:sz w:val="22"/>
          <w:szCs w:val="24"/>
          <w:rtl w:val="true"/>
        </w:rPr>
        <w:t>-</w:t>
      </w:r>
      <w:r>
        <w:rPr>
          <w:rFonts w:ascii="Miriam" w:hAnsi="Miriam" w:cs="Miriam"/>
          <w:sz w:val="22"/>
          <w:sz w:val="22"/>
          <w:szCs w:val="24"/>
          <w:rtl w:val="true"/>
        </w:rPr>
        <w:t xml:space="preserve">אביב </w:t>
      </w:r>
      <w:r>
        <w:rPr>
          <w:rFonts w:cs="Miriam" w:ascii="Miriam" w:hAnsi="Miriam"/>
          <w:sz w:val="22"/>
          <w:szCs w:val="24"/>
        </w:rPr>
        <w:t>4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13.7.2016</w:t>
      </w:r>
      <w:r>
        <w:rPr>
          <w:rtl w:val="true"/>
        </w:rPr>
        <w:t xml:space="preserve">)).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בעניינו מתקיימות גם החלופה השנייה הנזכרת </w:t>
      </w:r>
      <w:hyperlink r:id="rId7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שעניינה 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בפרטיות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רפואי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התנאי הראשון הנדרש לשם הגבלת פרסום מכוח </w:t>
      </w: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 פגיעה בפרטיות</w:t>
      </w:r>
      <w:r>
        <w:rPr>
          <w:rtl w:val="true"/>
        </w:rPr>
        <w:t xml:space="preserve">, </w:t>
      </w:r>
      <w:r>
        <w:rPr>
          <w:rtl w:val="true"/>
        </w:rPr>
        <w:t>מתקיים אפוא ללא ספק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זה המקום לציין כי לדידי</w:t>
      </w:r>
      <w:r>
        <w:rPr>
          <w:rtl w:val="true"/>
        </w:rPr>
        <w:t xml:space="preserve">, </w:t>
      </w:r>
      <w:r>
        <w:rPr>
          <w:rtl w:val="true"/>
        </w:rPr>
        <w:t>שלא כטענת המערערת</w:t>
      </w:r>
      <w:r>
        <w:rPr>
          <w:rtl w:val="true"/>
        </w:rPr>
        <w:t xml:space="preserve">, </w:t>
      </w:r>
      <w:r>
        <w:rPr>
          <w:rtl w:val="true"/>
        </w:rPr>
        <w:t>הפרסומים הקיימים בנוגע לפרשה דווקא מחזקים את החשש הנזכר מהפגיעה בפרטיותו של המשיב בנסיבות המקרה דנן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לעתים מהווים פרסומים מוקדמים בעניין מסוים כגורם המחליש את הטעם בהגבלת הפרסום של אותו עניין</w:t>
      </w:r>
      <w:r>
        <w:rPr>
          <w:rtl w:val="true"/>
        </w:rPr>
        <w:t xml:space="preserve">, </w:t>
      </w:r>
      <w:r>
        <w:rPr>
          <w:rtl w:val="true"/>
        </w:rPr>
        <w:t xml:space="preserve">בין היתר בשל הפחתת הפגיעה הפוטנציאלית בפרטיות מושא המידע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7276/13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פינטו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והאסמכתאות המובאות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12.11.2013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כפי שנקבע זה מכבר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להיגרם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מפרסום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ובשאלה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הפרסום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להעצים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ממילא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מהפרסום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אליו</w:t>
      </w:r>
      <w:r>
        <w:rPr>
          <w:rFonts w:cs="Century" w:ascii="Century" w:hAnsi="Century"/>
          <w:sz w:val="22"/>
          <w:rtl w:val="true"/>
        </w:rPr>
        <w:t>" (</w:t>
      </w:r>
      <w:hyperlink r:id="rId7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1421/20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סלוצקי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אפיקי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תקשורת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9.3.2020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7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3456/21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מנהל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8.7.2021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ניכר כי הפרסומים הקיימים ביחס לפרשה מחזקים את החשש מפני פגיעה בפרטיות מושאי המידע</w:t>
      </w:r>
      <w:r>
        <w:rPr>
          <w:rtl w:val="true"/>
        </w:rPr>
        <w:t xml:space="preserve">, </w:t>
      </w:r>
      <w:r>
        <w:rPr>
          <w:rtl w:val="true"/>
        </w:rPr>
        <w:t xml:space="preserve">וזאת הן בבחינת </w:t>
      </w:r>
      <w:r>
        <w:rPr>
          <w:rtl w:val="true"/>
        </w:rPr>
        <w:t>"</w:t>
      </w:r>
      <w:r>
        <w:rPr>
          <w:rtl w:val="true"/>
        </w:rPr>
        <w:t>מישור הזיהוי</w:t>
      </w:r>
      <w:r>
        <w:rPr>
          <w:rtl w:val="true"/>
        </w:rPr>
        <w:t xml:space="preserve">" </w:t>
      </w:r>
      <w:r>
        <w:rPr>
          <w:rtl w:val="true"/>
        </w:rPr>
        <w:t xml:space="preserve">הן בבחינת </w:t>
      </w:r>
      <w:r>
        <w:rPr>
          <w:rtl w:val="true"/>
        </w:rPr>
        <w:t>"</w:t>
      </w:r>
      <w:r>
        <w:rPr>
          <w:rtl w:val="true"/>
        </w:rPr>
        <w:t>מישור התוכן</w:t>
      </w:r>
      <w:r>
        <w:rPr>
          <w:rtl w:val="true"/>
        </w:rPr>
        <w:t xml:space="preserve">". </w:t>
      </w:r>
      <w:r>
        <w:rPr>
          <w:rtl w:val="true"/>
        </w:rPr>
        <w:t>ידיעות אחדות שפורסמו באינטרנט בטרם ניתן צו איסור הפרסום ועודן מפורסמות כוללות פרטים מזהים שחיבורם לפרק שהפיקה המערערת</w:t>
      </w:r>
      <w:r>
        <w:rPr>
          <w:rtl w:val="true"/>
        </w:rPr>
        <w:t xml:space="preserve">, </w:t>
      </w:r>
      <w:r>
        <w:rPr>
          <w:rtl w:val="true"/>
        </w:rPr>
        <w:t>אף כאשר הוא נעדר פרטים מזהים ברורים</w:t>
      </w:r>
      <w:r>
        <w:rPr>
          <w:rtl w:val="true"/>
        </w:rPr>
        <w:t xml:space="preserve">, </w:t>
      </w:r>
      <w:r>
        <w:rPr>
          <w:rtl w:val="true"/>
        </w:rPr>
        <w:t>עשויה להביא לזיהוי המשיב ולחיבור פרטי מידע רגישים נוספים אליו</w:t>
      </w:r>
      <w:r>
        <w:rPr>
          <w:rtl w:val="true"/>
        </w:rPr>
        <w:t xml:space="preserve">. </w:t>
      </w:r>
      <w:r>
        <w:rPr>
          <w:rtl w:val="true"/>
        </w:rPr>
        <w:t>מסיבה זו פרסום הפרק תוך הסרת פרטים מזהים של המשיב עלול שלא למנוע באופן מוחלט וודאי פגיעה בפרטיותו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על אף האמור</w:t>
      </w:r>
      <w:r>
        <w:rPr>
          <w:rtl w:val="true"/>
        </w:rPr>
        <w:t xml:space="preserve">, </w:t>
      </w:r>
      <w:r>
        <w:rPr>
          <w:rtl w:val="true"/>
        </w:rPr>
        <w:t>נוכח הכלל שעניינו פומביות ההליך ונוכח האינטרס הציבורי שבהבאת הפרשה וההליך המשפטי המתנהל בעקבותיה לידיעת הציבור</w:t>
      </w:r>
      <w:r>
        <w:rPr>
          <w:rtl w:val="true"/>
        </w:rPr>
        <w:t xml:space="preserve">, </w:t>
      </w:r>
      <w:r>
        <w:rPr>
          <w:rtl w:val="true"/>
        </w:rPr>
        <w:t>ולו ברמת הפשטה גבוהה</w:t>
      </w:r>
      <w:r>
        <w:rPr>
          <w:rtl w:val="true"/>
        </w:rPr>
        <w:t xml:space="preserve">, </w:t>
      </w:r>
      <w:r>
        <w:rPr>
          <w:rtl w:val="true"/>
        </w:rPr>
        <w:t>לדידי יש מקום לצמצם את צו איסור הפרסום הגורף שניתן</w:t>
      </w:r>
      <w:r>
        <w:rPr>
          <w:rtl w:val="true"/>
        </w:rPr>
        <w:t xml:space="preserve">. </w:t>
      </w:r>
      <w:r>
        <w:rPr>
          <w:rtl w:val="true"/>
        </w:rPr>
        <w:t xml:space="preserve">צמצום זה משמעו שיאסר על פרסום פרטים שיאפשרו זיהוי של המשיב ונפגעי העבירה </w:t>
      </w:r>
      <w:r>
        <w:rPr>
          <w:rtl w:val="true"/>
        </w:rPr>
        <w:t>(</w:t>
      </w:r>
      <w:r>
        <w:rPr>
          <w:rtl w:val="true"/>
        </w:rPr>
        <w:t>דהיינו תבוצע התממה ברמה הגבוהה ביותר האפשרית</w:t>
      </w:r>
      <w:r>
        <w:rPr>
          <w:rtl w:val="true"/>
        </w:rPr>
        <w:t xml:space="preserve">), </w:t>
      </w:r>
      <w:r>
        <w:rPr>
          <w:rtl w:val="true"/>
        </w:rPr>
        <w:t>וכמו כן יאסר על פרסום פרטים החורגים מהמפורט בפסק דין זה בדבר מצבו הרפואי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הפרשה וההליך המשפטי </w:t>
      </w:r>
      <w:r>
        <w:rPr>
          <w:rtl w:val="true"/>
        </w:rPr>
        <w:t>(</w:t>
      </w:r>
      <w:r>
        <w:rPr>
          <w:rtl w:val="true"/>
        </w:rPr>
        <w:t>וזאת לאור החשש כי ההתממה לא תמנע זיהוי באופן מוחלט</w:t>
      </w:r>
      <w:r>
        <w:rPr>
          <w:rtl w:val="true"/>
        </w:rPr>
        <w:t xml:space="preserve">), </w:t>
      </w:r>
      <w:r>
        <w:rPr>
          <w:rtl w:val="true"/>
        </w:rPr>
        <w:t>והכל בהתאם לתנאים שיפורטו בהמשך</w:t>
      </w:r>
      <w:r>
        <w:rPr>
          <w:rtl w:val="true"/>
        </w:rPr>
        <w:t xml:space="preserve">. </w:t>
      </w:r>
      <w:r>
        <w:rPr>
          <w:rtl w:val="true"/>
        </w:rPr>
        <w:t>דרכי למסקנה זו עוברת בשלושה שערים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שהובהר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נטייתה של שיטת משפטנו היא למעט ככל שניתן בהגבלת פרסום בנוגע להליכים משפטיים ולצמצם בהגבלה כזו ככל שהיא נעשית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כאשר מוצדק להחיל הגבלה על פרסומים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לשרטטה באופן שיעניק משקל מספק לערכי חופש הביטוי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חופש העיתונות וזכות הציבור לדעת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 איסור פרסום גורף כמו זה שנתן בית משפט קמא צריך לעמוד על כנו רק במקרים חריגים 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אין דרך לצמצמו באופן שמאזן כראוי בין הערכים והאינטרסים העומדים על הפרק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28-24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התרשמתי כי קיימת חשיבות ציבורית בהבאת קווי המתאר הכלליים של הפרשה לידיעת הציבור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ברמת הפשטה גבוהה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עיקרי הפרשה שלפרסומם יש לגישתי ערך הם אלו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אדם שהיה קרבן התעללות בצעירותו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נאשם לאחר מספר שנים בניסיון לרצח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ברקע אישום זה ניצבות השלכותיה של ההתעללות שעבר על מצבו הנפשי בעת ביצוע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הערך הגלום בהבאת עובדות אלו לידיעת הציבור נוגע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להכרה בהשלכות רחוקות הטווח של התעללויות על קורבנותיהן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ולהכרה בקיומם של הליכים משפטיים שמורכבותם נובעת מהשלכות אלו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 לאמור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לדידי נקל לזהות 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שכותבת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מטרתה של הסדרה היא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אותנטי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הפרקליטות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מורכבים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אנושית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עסקינן בפרשה שמאפשרת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להמחיש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ולהעביר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עוצמת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האתגרים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נדרשים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הפרקליטים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בעבודתם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באופן יוצא דופן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לכתב הערעור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העיסוק בפרשה מנקודת המבט שמציעה הסדרה מאפשרת את העלאתן של סוגיות בעלות חשיבות ציבורית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דוגמת הטיפול המשפטי בנאשמים שביצעו מעשי אלימות בעקבות לקות נפשית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והתמודדות הפרקליטות עם תיקים בהם הנאשם עצמו הוא נפגע 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והדבר מחזק את הנטייה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פומבי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ניתן היה להסתפק בהימנעות מפרסום פרטיו המזהים של המשיב כדי להשיג את ההגנה הרצויה על פרטיותו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כפי שצוין זה מכבר</w:t>
      </w:r>
      <w:r>
        <w:rPr>
          <w:rtl w:val="true"/>
        </w:rPr>
        <w:t xml:space="preserve">, </w:t>
      </w:r>
      <w:r>
        <w:rPr>
          <w:rtl w:val="true"/>
        </w:rPr>
        <w:t>הפרסומים העוסקים בפרשה ובהליך המשפטי טרם הוסרו כוללים פרטים שצירופם לפרטי מידע אחרים</w:t>
      </w:r>
      <w:r>
        <w:rPr>
          <w:rtl w:val="true"/>
        </w:rPr>
        <w:t xml:space="preserve">, </w:t>
      </w:r>
      <w:r>
        <w:rPr>
          <w:rtl w:val="true"/>
        </w:rPr>
        <w:t>אשר מצויים בפרק</w:t>
      </w:r>
      <w:r>
        <w:rPr>
          <w:rtl w:val="true"/>
        </w:rPr>
        <w:t xml:space="preserve">, </w:t>
      </w:r>
      <w:r>
        <w:rPr>
          <w:rtl w:val="true"/>
        </w:rPr>
        <w:t>עלולים להביא לזיהוי המשיב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, </w:t>
      </w:r>
      <w:r>
        <w:rPr>
          <w:rtl w:val="true"/>
        </w:rPr>
        <w:t>אני מוצא לנכון לאסור על פרסום פרטים נוספים שאינם פרטיו המזהים ה</w:t>
      </w:r>
      <w:r>
        <w:rPr>
          <w:rtl w:val="true"/>
        </w:rPr>
        <w:t>"</w:t>
      </w:r>
      <w:r>
        <w:rPr>
          <w:rtl w:val="true"/>
        </w:rPr>
        <w:t>גולמיים</w:t>
      </w:r>
      <w:r>
        <w:rPr>
          <w:rtl w:val="true"/>
        </w:rPr>
        <w:t xml:space="preserve">" </w:t>
      </w:r>
      <w:r>
        <w:rPr>
          <w:rtl w:val="true"/>
        </w:rPr>
        <w:t xml:space="preserve">של המשיב </w:t>
      </w:r>
      <w:r>
        <w:rPr>
          <w:rtl w:val="true"/>
        </w:rPr>
        <w:t>–</w:t>
      </w:r>
      <w:r>
        <w:rPr>
          <w:rtl w:val="true"/>
        </w:rPr>
        <w:t xml:space="preserve"> חלקם במטרה להפחית את היתכנות זיהויו </w:t>
      </w:r>
      <w:r>
        <w:rPr>
          <w:rtl w:val="true"/>
        </w:rPr>
        <w:t>(</w:t>
      </w:r>
      <w:r>
        <w:rPr>
          <w:rtl w:val="true"/>
        </w:rPr>
        <w:t>דהיינו ב</w:t>
      </w:r>
      <w:r>
        <w:rPr>
          <w:rtl w:val="true"/>
        </w:rPr>
        <w:t>"</w:t>
      </w:r>
      <w:r>
        <w:rPr>
          <w:rtl w:val="true"/>
        </w:rPr>
        <w:t>מישור הזיהוי</w:t>
      </w:r>
      <w:r>
        <w:rPr>
          <w:rtl w:val="true"/>
        </w:rPr>
        <w:t xml:space="preserve">"), </w:t>
      </w:r>
      <w:r>
        <w:rPr>
          <w:rtl w:val="true"/>
        </w:rPr>
        <w:t xml:space="preserve">וחלקם במטרה להפחית את הפגיעה בפרטיותו ככל שמאן דהו יזהה אותו למרות ההגבלות </w:t>
      </w:r>
      <w:r>
        <w:rPr>
          <w:rtl w:val="true"/>
        </w:rPr>
        <w:t>(</w:t>
      </w:r>
      <w:r>
        <w:rPr>
          <w:rtl w:val="true"/>
        </w:rPr>
        <w:t>דהיינו ב</w:t>
      </w:r>
      <w:r>
        <w:rPr>
          <w:rtl w:val="true"/>
        </w:rPr>
        <w:t>"</w:t>
      </w:r>
      <w:r>
        <w:rPr>
          <w:rtl w:val="true"/>
        </w:rPr>
        <w:t>מישור התוכן</w:t>
      </w:r>
      <w:r>
        <w:rPr>
          <w:rtl w:val="true"/>
        </w:rPr>
        <w:t>") (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21</w:t>
      </w:r>
      <w:r>
        <w:rPr>
          <w:rtl w:val="true"/>
        </w:rPr>
        <w:t xml:space="preserve">). </w:t>
      </w:r>
      <w:r>
        <w:rPr>
          <w:rtl w:val="true"/>
        </w:rPr>
        <w:t>יצוין כי למסקנה זו אני מגיע לאחר עיון בפרסומים שעודם מצויים ברשת האינטרנט ובגרסתו העדכנית של הפרק שהפיקה המערערת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צו איסור הפרסום שניתן בהחלטת בית משפט קמא מיום </w:t>
      </w:r>
      <w:r>
        <w:rPr/>
        <w:t>21.9.2022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יבוטל החל מיום </w:t>
      </w:r>
      <w:r>
        <w:rPr/>
        <w:t>14.5.2023</w:t>
      </w:r>
      <w:r>
        <w:rPr>
          <w:rtl w:val="true"/>
        </w:rPr>
        <w:t xml:space="preserve">. </w:t>
      </w:r>
      <w:r>
        <w:rPr>
          <w:rtl w:val="true"/>
        </w:rPr>
        <w:t>חלף הצו האמור</w:t>
      </w:r>
      <w:r>
        <w:rPr>
          <w:rtl w:val="true"/>
        </w:rPr>
        <w:t xml:space="preserve">, </w:t>
      </w:r>
      <w:r>
        <w:rPr>
          <w:rtl w:val="true"/>
        </w:rPr>
        <w:t>ניתן בזאת צו האוסר על פרסום הפרטים המפורטים להלן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tabs>
          <w:tab w:val="clear" w:pos="720"/>
          <w:tab w:val="left" w:pos="651" w:leader="none"/>
        </w:tabs>
        <w:ind w:hanging="720" w:start="793" w:end="0"/>
        <w:jc w:val="both"/>
        <w:rPr/>
      </w:pPr>
      <w:r>
        <w:rPr>
          <w:rtl w:val="true"/>
        </w:rPr>
        <w:t xml:space="preserve">(-)    </w:t>
      </w:r>
      <w:r>
        <w:rPr>
          <w:rtl w:val="true"/>
        </w:rPr>
        <w:tab/>
        <w:tab/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תמונתו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לזיהויו</w:t>
      </w:r>
      <w:r>
        <w:rPr>
          <w:rtl w:val="true"/>
        </w:rPr>
        <w:t>.</w:t>
      </w:r>
    </w:p>
    <w:p>
      <w:pPr>
        <w:pStyle w:val="Ruller4"/>
        <w:tabs>
          <w:tab w:val="clear" w:pos="720"/>
          <w:tab w:val="left" w:pos="651" w:leader="none"/>
        </w:tabs>
        <w:ind w:hanging="720" w:start="793" w:end="0"/>
        <w:jc w:val="both"/>
        <w:rPr/>
      </w:pPr>
      <w:r>
        <w:rPr>
          <w:rtl w:val="true"/>
        </w:rPr>
        <w:t>(-)</w:t>
        <w:tab/>
      </w:r>
      <w:r>
        <w:rPr>
          <w:rtl w:val="true"/>
        </w:rPr>
        <w:tab/>
      </w:r>
      <w:r>
        <w:rPr>
          <w:rtl w:val="true"/>
        </w:rPr>
        <w:t>שמותיהם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תמונותיהם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לזיהויים</w:t>
      </w:r>
      <w:r>
        <w:rPr>
          <w:rtl w:val="true"/>
        </w:rPr>
        <w:t>.</w:t>
      </w:r>
    </w:p>
    <w:p>
      <w:pPr>
        <w:pStyle w:val="Ruller4"/>
        <w:tabs>
          <w:tab w:val="clear" w:pos="720"/>
          <w:tab w:val="left" w:pos="651" w:leader="none"/>
        </w:tabs>
        <w:ind w:hanging="720" w:start="793" w:end="0"/>
        <w:jc w:val="both"/>
        <w:rPr/>
      </w:pPr>
      <w:r>
        <w:rPr>
          <w:rtl w:val="true"/>
        </w:rPr>
        <w:t>(-)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"/>
        <w:tabs>
          <w:tab w:val="clear" w:pos="720"/>
          <w:tab w:val="left" w:pos="651" w:leader="none"/>
        </w:tabs>
        <w:ind w:hanging="720" w:start="793" w:end="0"/>
        <w:jc w:val="both"/>
        <w:rPr/>
      </w:pPr>
      <w:r>
        <w:rPr>
          <w:rtl w:val="true"/>
        </w:rPr>
        <w:t>(-)</w:t>
      </w:r>
      <w:r>
        <w:rPr>
          <w:rtl w:val="true"/>
        </w:rPr>
        <w:tab/>
        <w:tab/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"/>
        <w:tabs>
          <w:tab w:val="clear" w:pos="720"/>
          <w:tab w:val="left" w:pos="651" w:leader="none"/>
        </w:tabs>
        <w:ind w:hanging="720" w:start="793" w:end="0"/>
        <w:jc w:val="both"/>
        <w:rPr/>
      </w:pPr>
      <w:r>
        <w:rPr>
          <w:rtl w:val="true"/>
        </w:rPr>
        <w:t xml:space="preserve">(-)      </w:t>
      </w:r>
      <w:r>
        <w:rPr>
          <w:rtl w:val="true"/>
        </w:rPr>
        <w:tab/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בצעירותו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יישומו של צו איסור פרסום צריך להתבצע על ידי המפרסם</w:t>
      </w:r>
      <w:r>
        <w:rPr>
          <w:rtl w:val="true"/>
        </w:rPr>
        <w:t xml:space="preserve">, </w:t>
      </w:r>
      <w:r>
        <w:rPr>
          <w:rtl w:val="true"/>
        </w:rPr>
        <w:t xml:space="preserve">ואין זה דרכו של בית המשפט לתת הנחיות פרטניות ביחס לפרסום זה או אחר </w:t>
      </w:r>
      <w:r>
        <w:rPr>
          <w:rtl w:val="true"/>
        </w:rPr>
        <w:t>(</w:t>
      </w:r>
      <w:r>
        <w:rPr>
          <w:rtl w:val="true"/>
        </w:rPr>
        <w:t xml:space="preserve">וראו האמור בפסקה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אציין עם זאת</w:t>
      </w:r>
      <w:r>
        <w:rPr>
          <w:rtl w:val="true"/>
        </w:rPr>
        <w:t xml:space="preserve">, </w:t>
      </w:r>
      <w:r>
        <w:rPr>
          <w:rtl w:val="true"/>
        </w:rPr>
        <w:t xml:space="preserve">כי התרשמותי מצפייה בפרק בגרסתו האחרונה </w:t>
      </w:r>
      <w:r>
        <w:rPr>
          <w:rtl w:val="true"/>
        </w:rPr>
        <w:t>(</w:t>
      </w:r>
      <w:r>
        <w:rPr>
          <w:rtl w:val="true"/>
        </w:rPr>
        <w:t xml:space="preserve">אשר מכונה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במסגרת ההודעה מטעם המערערת מיום </w:t>
      </w:r>
      <w:r>
        <w:rPr>
          <w:rFonts w:cs="Century" w:ascii="Century" w:hAnsi="Century"/>
          <w:sz w:val="22"/>
        </w:rPr>
        <w:t>15.3.2023</w:t>
      </w:r>
      <w:r>
        <w:rPr>
          <w:rtl w:val="true"/>
        </w:rPr>
        <w:t xml:space="preserve">) </w:t>
      </w:r>
      <w:r>
        <w:rPr>
          <w:rtl w:val="true"/>
        </w:rPr>
        <w:t>היא כי ניתן להתאימו למגבלות הפרסום שפורטו לעיל באמצעות שינויים קלים בלבד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בהתאם להודעתה מיום </w:t>
      </w:r>
      <w:r>
        <w:rPr/>
        <w:t>9.3.2023</w:t>
      </w:r>
      <w:r>
        <w:rPr>
          <w:rtl w:val="true"/>
        </w:rPr>
        <w:t xml:space="preserve">, </w:t>
      </w:r>
      <w:r>
        <w:rPr>
          <w:rtl w:val="true"/>
        </w:rPr>
        <w:t>המשיבה תביא לידיעת כלי התקשורת הרלוואנטיים את נוסח צו איסור הפרסום העדכני</w:t>
      </w:r>
      <w:r>
        <w:rPr>
          <w:rtl w:val="true"/>
        </w:rPr>
        <w:t xml:space="preserve">, </w:t>
      </w:r>
      <w:r>
        <w:rPr>
          <w:rtl w:val="true"/>
        </w:rPr>
        <w:t xml:space="preserve">כמפורט בפסקה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 xml:space="preserve">וזאת לא יאוחר מיום </w:t>
      </w:r>
      <w:r>
        <w:rPr/>
        <w:t>30.4.2023</w:t>
      </w:r>
      <w:r>
        <w:rPr>
          <w:rtl w:val="true"/>
        </w:rPr>
        <w:t xml:space="preserve">, </w:t>
      </w:r>
      <w:r>
        <w:rPr>
          <w:rtl w:val="true"/>
        </w:rPr>
        <w:t>ותבהיר להם את הצורך למלא אחריו גם ביחס לפרסומים המצויים במרשתת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למען הסר ספק מובהר בשנית כי צו איסור הפרסום הגורף שנתן בית משפט קמא יעמוד בתוקפו עד ליום </w:t>
      </w:r>
      <w:r>
        <w:rPr/>
        <w:t>14.5.2023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 xml:space="preserve">ובכפוף לאמור בפסקה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פסק דין זה יוותר חסוי עד למועד האמור</w:t>
      </w:r>
      <w:r>
        <w:rPr>
          <w:rtl w:val="true"/>
        </w:rPr>
        <w:t xml:space="preserve">, </w:t>
      </w:r>
      <w:r>
        <w:rPr>
          <w:rtl w:val="true"/>
        </w:rPr>
        <w:t>וישוחרר לפרסום במועד 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4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20.4.2023</w:t>
      </w:r>
      <w:r>
        <w:rPr>
          <w:rtl w:val="true"/>
        </w:rPr>
        <w:t xml:space="preserve">). </w:t>
      </w:r>
      <w:bookmarkEnd w:id="24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22088610</w:t>
      </w:r>
      <w:r>
        <w:rPr>
          <w:sz w:val="16"/>
          <w:rtl w:val="true"/>
        </w:rPr>
        <w:t>_</w:t>
      </w:r>
      <w:r>
        <w:rPr>
          <w:sz w:val="16"/>
        </w:rPr>
        <w:t>Y12.docx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גרוסקופף </w:t>
      </w:r>
      <w:r>
        <w:rPr>
          <w:rFonts w:cs="David" w:ascii="David" w:hAnsi="David"/>
          <w:color w:val="000000"/>
          <w:szCs w:val="22"/>
        </w:rPr>
        <w:t>54678313-8861/22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1"/>
      <w:footerReference w:type="default" r:id="rId82"/>
      <w:type w:val="nextPage"/>
      <w:pgSz w:w="11906" w:h="16838"/>
      <w:pgMar w:left="1797" w:right="1985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8861/22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דנה ושולה סטודיו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246316" TargetMode="External"/><Relationship Id="rId3" Type="http://schemas.openxmlformats.org/officeDocument/2006/relationships/hyperlink" Target="http://www.nevo.co.il/safrut/book/30493" TargetMode="External"/><Relationship Id="rId4" Type="http://schemas.openxmlformats.org/officeDocument/2006/relationships/hyperlink" Target="http://www.nevo.co.il/safrut/book/30493" TargetMode="External"/><Relationship Id="rId5" Type="http://schemas.openxmlformats.org/officeDocument/2006/relationships/hyperlink" Target="http://www.nevo.co.il/safrut/bookgroup/2579" TargetMode="External"/><Relationship Id="rId6" Type="http://schemas.openxmlformats.org/officeDocument/2006/relationships/hyperlink" Target="http://www.nevo.co.il/safrut/bookgroup/2579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h" TargetMode="External"/><Relationship Id="rId9" Type="http://schemas.openxmlformats.org/officeDocument/2006/relationships/hyperlink" Target="http://www.nevo.co.il/law/70314" TargetMode="External"/><Relationship Id="rId10" Type="http://schemas.openxmlformats.org/officeDocument/2006/relationships/hyperlink" Target="http://www.nevo.co.il/law/70314/15.b" TargetMode="External"/><Relationship Id="rId11" Type="http://schemas.openxmlformats.org/officeDocument/2006/relationships/hyperlink" Target="http://www.nevo.co.il/law/74849" TargetMode="External"/><Relationship Id="rId12" Type="http://schemas.openxmlformats.org/officeDocument/2006/relationships/hyperlink" Target="http://www.nevo.co.il/law/74849/68.a" TargetMode="External"/><Relationship Id="rId13" Type="http://schemas.openxmlformats.org/officeDocument/2006/relationships/hyperlink" Target="http://www.nevo.co.il/law/74849/70.d" TargetMode="External"/><Relationship Id="rId14" Type="http://schemas.openxmlformats.org/officeDocument/2006/relationships/hyperlink" Target="http://www.nevo.co.il/law/74849/70.e1.1" TargetMode="External"/><Relationship Id="rId15" Type="http://schemas.openxmlformats.org/officeDocument/2006/relationships/hyperlink" Target="http://www.nevo.co.il/law/74849/70c" TargetMode="External"/><Relationship Id="rId16" Type="http://schemas.openxmlformats.org/officeDocument/2006/relationships/hyperlink" Target="http://www.nevo.co.il/law/74849/70d.a" TargetMode="External"/><Relationship Id="rId17" Type="http://schemas.openxmlformats.org/officeDocument/2006/relationships/hyperlink" Target="http://www.nevo.co.il/law/74849/78.d" TargetMode="External"/><Relationship Id="rId18" Type="http://schemas.openxmlformats.org/officeDocument/2006/relationships/hyperlink" Target="http://www.nevo.co.il/law/74874" TargetMode="External"/><Relationship Id="rId19" Type="http://schemas.openxmlformats.org/officeDocument/2006/relationships/hyperlink" Target="http://www.nevo.co.il/law/74874/3" TargetMode="External"/><Relationship Id="rId20" Type="http://schemas.openxmlformats.org/officeDocument/2006/relationships/hyperlink" Target="http://www.nevo.co.il/law/71631" TargetMode="External"/><Relationship Id="rId21" Type="http://schemas.openxmlformats.org/officeDocument/2006/relationships/hyperlink" Target="http://www.nevo.co.il/law/71631/2.1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4849" TargetMode="External"/><Relationship Id="rId24" Type="http://schemas.openxmlformats.org/officeDocument/2006/relationships/hyperlink" Target="http://www.nevo.co.il/law/74849" TargetMode="External"/><Relationship Id="rId25" Type="http://schemas.openxmlformats.org/officeDocument/2006/relationships/hyperlink" Target="http://www.nevo.co.il/law/74849" TargetMode="External"/><Relationship Id="rId26" Type="http://schemas.openxmlformats.org/officeDocument/2006/relationships/hyperlink" Target="http://www.nevo.co.il/law/71631" TargetMode="External"/><Relationship Id="rId27" Type="http://schemas.openxmlformats.org/officeDocument/2006/relationships/hyperlink" Target="http://www.nevo.co.il/law/71631" TargetMode="External"/><Relationship Id="rId28" Type="http://schemas.openxmlformats.org/officeDocument/2006/relationships/hyperlink" Target="http://www.nevo.co.il/case/27246316" TargetMode="External"/><Relationship Id="rId29" Type="http://schemas.openxmlformats.org/officeDocument/2006/relationships/hyperlink" Target="http://www.nevo.co.il/law/70301/34h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14/15.b" TargetMode="External"/><Relationship Id="rId32" Type="http://schemas.openxmlformats.org/officeDocument/2006/relationships/hyperlink" Target="http://www.nevo.co.il/law/70314" TargetMode="External"/><Relationship Id="rId33" Type="http://schemas.openxmlformats.org/officeDocument/2006/relationships/hyperlink" Target="http://www.nevo.co.il/case/29196600" TargetMode="External"/><Relationship Id="rId34" Type="http://schemas.openxmlformats.org/officeDocument/2006/relationships/hyperlink" Target="http://www.nevo.co.il/law/74849/70.d" TargetMode="External"/><Relationship Id="rId35" Type="http://schemas.openxmlformats.org/officeDocument/2006/relationships/hyperlink" Target="http://www.nevo.co.il/law/74849" TargetMode="External"/><Relationship Id="rId36" Type="http://schemas.openxmlformats.org/officeDocument/2006/relationships/hyperlink" Target="http://www.nevo.co.il/law/74849/70.d" TargetMode="External"/><Relationship Id="rId37" Type="http://schemas.openxmlformats.org/officeDocument/2006/relationships/hyperlink" Target="http://www.nevo.co.il/law/74849" TargetMode="External"/><Relationship Id="rId38" Type="http://schemas.openxmlformats.org/officeDocument/2006/relationships/hyperlink" Target="http://www.nevo.co.il/law/74849/70c" TargetMode="External"/><Relationship Id="rId39" Type="http://schemas.openxmlformats.org/officeDocument/2006/relationships/hyperlink" Target="http://www.nevo.co.il/law/74849" TargetMode="External"/><Relationship Id="rId40" Type="http://schemas.openxmlformats.org/officeDocument/2006/relationships/hyperlink" Target="http://www.nevo.co.il/law/74849/70d.a" TargetMode="External"/><Relationship Id="rId41" Type="http://schemas.openxmlformats.org/officeDocument/2006/relationships/hyperlink" Target="http://www.nevo.co.il/law/74849/70c" TargetMode="External"/><Relationship Id="rId42" Type="http://schemas.openxmlformats.org/officeDocument/2006/relationships/hyperlink" Target="http://www.nevo.co.il/case/25633321" TargetMode="External"/><Relationship Id="rId43" Type="http://schemas.openxmlformats.org/officeDocument/2006/relationships/hyperlink" Target="http://www.nevo.co.il/case/26130960" TargetMode="External"/><Relationship Id="rId44" Type="http://schemas.openxmlformats.org/officeDocument/2006/relationships/hyperlink" Target="http://www.nevo.co.il/law/74849/70d.a" TargetMode="External"/><Relationship Id="rId45" Type="http://schemas.openxmlformats.org/officeDocument/2006/relationships/hyperlink" Target="http://www.nevo.co.il/law/74849" TargetMode="External"/><Relationship Id="rId46" Type="http://schemas.openxmlformats.org/officeDocument/2006/relationships/hyperlink" Target="http://www.nevo.co.il/law/74849/70d.a" TargetMode="External"/><Relationship Id="rId47" Type="http://schemas.openxmlformats.org/officeDocument/2006/relationships/hyperlink" Target="http://www.nevo.co.il/law/74874/3" TargetMode="External"/><Relationship Id="rId48" Type="http://schemas.openxmlformats.org/officeDocument/2006/relationships/hyperlink" Target="http://www.nevo.co.il/law/74849/68.a" TargetMode="External"/><Relationship Id="rId49" Type="http://schemas.openxmlformats.org/officeDocument/2006/relationships/hyperlink" Target="http://www.nevo.co.il/law/74849" TargetMode="External"/><Relationship Id="rId50" Type="http://schemas.openxmlformats.org/officeDocument/2006/relationships/hyperlink" Target="http://www.nevo.co.il/case/2257982" TargetMode="External"/><Relationship Id="rId51" Type="http://schemas.openxmlformats.org/officeDocument/2006/relationships/hyperlink" Target="http://www.nevo.co.il/case/6248297" TargetMode="External"/><Relationship Id="rId52" Type="http://schemas.openxmlformats.org/officeDocument/2006/relationships/hyperlink" Target="http://www.nevo.co.il/safrut/bookgroup/2579" TargetMode="External"/><Relationship Id="rId53" Type="http://schemas.openxmlformats.org/officeDocument/2006/relationships/hyperlink" Target="http://www.nevo.co.il/case/6182043" TargetMode="External"/><Relationship Id="rId54" Type="http://schemas.openxmlformats.org/officeDocument/2006/relationships/hyperlink" Target="http://www.nevo.co.il/law/74849/70.d" TargetMode="External"/><Relationship Id="rId55" Type="http://schemas.openxmlformats.org/officeDocument/2006/relationships/hyperlink" Target="http://www.nevo.co.il/law/74849/70.d" TargetMode="External"/><Relationship Id="rId56" Type="http://schemas.openxmlformats.org/officeDocument/2006/relationships/hyperlink" Target="http://www.nevo.co.il/law/71631" TargetMode="External"/><Relationship Id="rId57" Type="http://schemas.openxmlformats.org/officeDocument/2006/relationships/hyperlink" Target="http://www.nevo.co.il/case/6234232" TargetMode="External"/><Relationship Id="rId58" Type="http://schemas.openxmlformats.org/officeDocument/2006/relationships/hyperlink" Target="http://www.nevo.co.il/safrut/book/30493" TargetMode="External"/><Relationship Id="rId59" Type="http://schemas.openxmlformats.org/officeDocument/2006/relationships/hyperlink" Target="http://www.nevo.co.il/law/71631" TargetMode="External"/><Relationship Id="rId60" Type="http://schemas.openxmlformats.org/officeDocument/2006/relationships/hyperlink" Target="http://www.nevo.co.il/law/71631/2.11" TargetMode="External"/><Relationship Id="rId61" Type="http://schemas.openxmlformats.org/officeDocument/2006/relationships/hyperlink" Target="http://www.nevo.co.il/law/71631" TargetMode="External"/><Relationship Id="rId62" Type="http://schemas.openxmlformats.org/officeDocument/2006/relationships/hyperlink" Target="http://www.nevo.co.il/law/74849/70.d" TargetMode="External"/><Relationship Id="rId63" Type="http://schemas.openxmlformats.org/officeDocument/2006/relationships/hyperlink" Target="http://www.nevo.co.il/law/74849" TargetMode="External"/><Relationship Id="rId64" Type="http://schemas.openxmlformats.org/officeDocument/2006/relationships/hyperlink" Target="http://www.nevo.co.il/case/5785235" TargetMode="External"/><Relationship Id="rId65" Type="http://schemas.openxmlformats.org/officeDocument/2006/relationships/hyperlink" Target="http://www.nevo.co.il/case/20149191" TargetMode="External"/><Relationship Id="rId66" Type="http://schemas.openxmlformats.org/officeDocument/2006/relationships/hyperlink" Target="http://www.nevo.co.il/law/74849/70.e1.1" TargetMode="External"/><Relationship Id="rId67" Type="http://schemas.openxmlformats.org/officeDocument/2006/relationships/hyperlink" Target="http://www.nevo.co.il/law/74849" TargetMode="External"/><Relationship Id="rId68" Type="http://schemas.openxmlformats.org/officeDocument/2006/relationships/hyperlink" Target="http://www.nevo.co.il/case/25434482" TargetMode="External"/><Relationship Id="rId69" Type="http://schemas.openxmlformats.org/officeDocument/2006/relationships/hyperlink" Target="http://www.nevo.co.il/law/74849/78.d" TargetMode="External"/><Relationship Id="rId70" Type="http://schemas.openxmlformats.org/officeDocument/2006/relationships/hyperlink" Target="http://www.nevo.co.il/case/6245917" TargetMode="External"/><Relationship Id="rId71" Type="http://schemas.openxmlformats.org/officeDocument/2006/relationships/hyperlink" Target="http://www.nevo.co.il/law/74849/70c" TargetMode="External"/><Relationship Id="rId72" Type="http://schemas.openxmlformats.org/officeDocument/2006/relationships/hyperlink" Target="http://www.nevo.co.il/law/74849" TargetMode="External"/><Relationship Id="rId73" Type="http://schemas.openxmlformats.org/officeDocument/2006/relationships/hyperlink" Target="http://www.nevo.co.il/case/21472997" TargetMode="External"/><Relationship Id="rId74" Type="http://schemas.openxmlformats.org/officeDocument/2006/relationships/hyperlink" Target="http://www.nevo.co.il/law/74849/70.d" TargetMode="External"/><Relationship Id="rId75" Type="http://schemas.openxmlformats.org/officeDocument/2006/relationships/hyperlink" Target="http://www.nevo.co.il/law/74849/70.d" TargetMode="External"/><Relationship Id="rId76" Type="http://schemas.openxmlformats.org/officeDocument/2006/relationships/hyperlink" Target="http://www.nevo.co.il/case/10443001" TargetMode="External"/><Relationship Id="rId77" Type="http://schemas.openxmlformats.org/officeDocument/2006/relationships/hyperlink" Target="http://www.nevo.co.il/case/26483562" TargetMode="External"/><Relationship Id="rId78" Type="http://schemas.openxmlformats.org/officeDocument/2006/relationships/hyperlink" Target="http://www.nevo.co.il/case/27631964" TargetMode="External"/><Relationship Id="rId79" Type="http://schemas.openxmlformats.org/officeDocument/2006/relationships/hyperlink" Target="https://supreme.court.gov.il/" TargetMode="External"/><Relationship Id="rId80" Type="http://schemas.openxmlformats.org/officeDocument/2006/relationships/hyperlink" Target="http://www.nevo.co.il/advertisements/nevo-100.doc" TargetMode="External"/><Relationship Id="rId81" Type="http://schemas.openxmlformats.org/officeDocument/2006/relationships/header" Target="header1.xml"/><Relationship Id="rId82" Type="http://schemas.openxmlformats.org/officeDocument/2006/relationships/footer" Target="footer1.xml"/><Relationship Id="rId83" Type="http://schemas.openxmlformats.org/officeDocument/2006/relationships/numbering" Target="numbering.xml"/><Relationship Id="rId84" Type="http://schemas.openxmlformats.org/officeDocument/2006/relationships/fontTable" Target="fontTable.xml"/><Relationship Id="rId85" Type="http://schemas.openxmlformats.org/officeDocument/2006/relationships/settings" Target="settings.xml"/><Relationship Id="rId8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2023-08-23T07:56:00Z</dcterms:created>
  <dc:creator>h4</dc:creator>
  <dc:description/>
  <cp:keywords/>
  <dc:language>en-IL</dc:language>
  <cp:lastModifiedBy>h1</cp:lastModifiedBy>
  <cp:lastPrinted>2023-05-14T08:47:00Z</cp:lastPrinted>
  <dcterms:modified xsi:type="dcterms:W3CDTF">2023-08-23T07:56:00Z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דנה ושולה סטודיו בע#מ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2579</vt:lpwstr>
  </property>
  <property fmtid="{D5CDD505-2E9C-101B-9397-08002B2CF9AE}" pid="9" name="BOOKLISTTMP1">
    <vt:lpwstr>30493</vt:lpwstr>
  </property>
  <property fmtid="{D5CDD505-2E9C-101B-9397-08002B2CF9AE}" pid="10" name="CASESLISTTMP1">
    <vt:lpwstr>27246316:2;29196600;25633321;26130960;2257982;6248297;6182043;6234232;5785235;20149191;25434482;6245917;21472997;10443001;26483562;27631964</vt:lpwstr>
  </property>
  <property fmtid="{D5CDD505-2E9C-101B-9397-08002B2CF9AE}" pid="11" name="CITY">
    <vt:lpwstr/>
  </property>
  <property fmtid="{D5CDD505-2E9C-101B-9397-08002B2CF9AE}" pid="12" name="DATE">
    <vt:lpwstr>20230420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ע' גרוסקופף</vt:lpwstr>
  </property>
  <property fmtid="{D5CDD505-2E9C-101B-9397-08002B2CF9AE}" pid="16" name="LAWLISTTMP1">
    <vt:lpwstr>70301/034h</vt:lpwstr>
  </property>
  <property fmtid="{D5CDD505-2E9C-101B-9397-08002B2CF9AE}" pid="17" name="LAWLISTTMP2">
    <vt:lpwstr>70314/015.b</vt:lpwstr>
  </property>
  <property fmtid="{D5CDD505-2E9C-101B-9397-08002B2CF9AE}" pid="18" name="LAWLISTTMP3">
    <vt:lpwstr>74849/070.d:7;070c:3;070d.a:3;068.a;070.e1.1;078.d</vt:lpwstr>
  </property>
  <property fmtid="{D5CDD505-2E9C-101B-9397-08002B2CF9AE}" pid="19" name="LAWLISTTMP4">
    <vt:lpwstr>74874/003</vt:lpwstr>
  </property>
  <property fmtid="{D5CDD505-2E9C-101B-9397-08002B2CF9AE}" pid="20" name="LAWLISTTMP5">
    <vt:lpwstr>71631/002.11</vt:lpwstr>
  </property>
  <property fmtid="{D5CDD505-2E9C-101B-9397-08002B2CF9AE}" pid="21" name="LAWYER">
    <vt:lpwstr>אופיר ביתן;חנן ג'בסקי;אריאל הרמן;נועה נודלמן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METAKZER">
    <vt:lpwstr>קרן</vt:lpwstr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NOSE11">
    <vt:lpwstr>בתי-משפט</vt:lpwstr>
  </property>
  <property fmtid="{D5CDD505-2E9C-101B-9397-08002B2CF9AE}" pid="33" name="NOSE110">
    <vt:lpwstr/>
  </property>
  <property fmtid="{D5CDD505-2E9C-101B-9397-08002B2CF9AE}" pid="34" name="NOSE12">
    <vt:lpwstr>בתי-משפט</vt:lpwstr>
  </property>
  <property fmtid="{D5CDD505-2E9C-101B-9397-08002B2CF9AE}" pid="35" name="NOSE13">
    <vt:lpwstr/>
  </property>
  <property fmtid="{D5CDD505-2E9C-101B-9397-08002B2CF9AE}" pid="36" name="NOSE14">
    <vt:lpwstr/>
  </property>
  <property fmtid="{D5CDD505-2E9C-101B-9397-08002B2CF9AE}" pid="37" name="NOSE15">
    <vt:lpwstr/>
  </property>
  <property fmtid="{D5CDD505-2E9C-101B-9397-08002B2CF9AE}" pid="38" name="NOSE16">
    <vt:lpwstr/>
  </property>
  <property fmtid="{D5CDD505-2E9C-101B-9397-08002B2CF9AE}" pid="39" name="NOSE17">
    <vt:lpwstr/>
  </property>
  <property fmtid="{D5CDD505-2E9C-101B-9397-08002B2CF9AE}" pid="40" name="NOSE18">
    <vt:lpwstr/>
  </property>
  <property fmtid="{D5CDD505-2E9C-101B-9397-08002B2CF9AE}" pid="41" name="NOSE19">
    <vt:lpwstr/>
  </property>
  <property fmtid="{D5CDD505-2E9C-101B-9397-08002B2CF9AE}" pid="42" name="NOSE1ID">
    <vt:lpwstr>14;14</vt:lpwstr>
  </property>
  <property fmtid="{D5CDD505-2E9C-101B-9397-08002B2CF9AE}" pid="43" name="NOSE21">
    <vt:lpwstr>פומביות הדיון</vt:lpwstr>
  </property>
  <property fmtid="{D5CDD505-2E9C-101B-9397-08002B2CF9AE}" pid="44" name="NOSE210">
    <vt:lpwstr/>
  </property>
  <property fmtid="{D5CDD505-2E9C-101B-9397-08002B2CF9AE}" pid="45" name="NOSE22">
    <vt:lpwstr>פומביות הדיון</vt:lpwstr>
  </property>
  <property fmtid="{D5CDD505-2E9C-101B-9397-08002B2CF9AE}" pid="46" name="NOSE23">
    <vt:lpwstr/>
  </property>
  <property fmtid="{D5CDD505-2E9C-101B-9397-08002B2CF9AE}" pid="47" name="NOSE24">
    <vt:lpwstr/>
  </property>
  <property fmtid="{D5CDD505-2E9C-101B-9397-08002B2CF9AE}" pid="48" name="NOSE25">
    <vt:lpwstr/>
  </property>
  <property fmtid="{D5CDD505-2E9C-101B-9397-08002B2CF9AE}" pid="49" name="NOSE26">
    <vt:lpwstr/>
  </property>
  <property fmtid="{D5CDD505-2E9C-101B-9397-08002B2CF9AE}" pid="50" name="NOSE27">
    <vt:lpwstr/>
  </property>
  <property fmtid="{D5CDD505-2E9C-101B-9397-08002B2CF9AE}" pid="51" name="NOSE28">
    <vt:lpwstr/>
  </property>
  <property fmtid="{D5CDD505-2E9C-101B-9397-08002B2CF9AE}" pid="52" name="NOSE29">
    <vt:lpwstr/>
  </property>
  <property fmtid="{D5CDD505-2E9C-101B-9397-08002B2CF9AE}" pid="53" name="NOSE2ID">
    <vt:lpwstr>335;335</vt:lpwstr>
  </property>
  <property fmtid="{D5CDD505-2E9C-101B-9397-08002B2CF9AE}" pid="54" name="NOSE31">
    <vt:lpwstr>הגבלתה</vt:lpwstr>
  </property>
  <property fmtid="{D5CDD505-2E9C-101B-9397-08002B2CF9AE}" pid="55" name="NOSE310">
    <vt:lpwstr/>
  </property>
  <property fmtid="{D5CDD505-2E9C-101B-9397-08002B2CF9AE}" pid="56" name="NOSE32">
    <vt:lpwstr>עקרונותיה</vt:lpwstr>
  </property>
  <property fmtid="{D5CDD505-2E9C-101B-9397-08002B2CF9AE}" pid="57" name="NOSE33">
    <vt:lpwstr/>
  </property>
  <property fmtid="{D5CDD505-2E9C-101B-9397-08002B2CF9AE}" pid="58" name="NOSE34">
    <vt:lpwstr/>
  </property>
  <property fmtid="{D5CDD505-2E9C-101B-9397-08002B2CF9AE}" pid="59" name="NOSE35">
    <vt:lpwstr/>
  </property>
  <property fmtid="{D5CDD505-2E9C-101B-9397-08002B2CF9AE}" pid="60" name="NOSE36">
    <vt:lpwstr/>
  </property>
  <property fmtid="{D5CDD505-2E9C-101B-9397-08002B2CF9AE}" pid="61" name="NOSE37">
    <vt:lpwstr/>
  </property>
  <property fmtid="{D5CDD505-2E9C-101B-9397-08002B2CF9AE}" pid="62" name="NOSE38">
    <vt:lpwstr/>
  </property>
  <property fmtid="{D5CDD505-2E9C-101B-9397-08002B2CF9AE}" pid="63" name="NOSE39">
    <vt:lpwstr/>
  </property>
  <property fmtid="{D5CDD505-2E9C-101B-9397-08002B2CF9AE}" pid="64" name="NOSE3ID">
    <vt:lpwstr>2750;2753</vt:lpwstr>
  </property>
  <property fmtid="{D5CDD505-2E9C-101B-9397-08002B2CF9AE}" pid="65" name="PADIDATE">
    <vt:lpwstr>20230822</vt:lpwstr>
  </property>
  <property fmtid="{D5CDD505-2E9C-101B-9397-08002B2CF9AE}" pid="66" name="PADIMAIL">
    <vt:lpwstr>YES</vt:lpwstr>
  </property>
  <property fmtid="{D5CDD505-2E9C-101B-9397-08002B2CF9AE}" pid="67" name="PAGE">
    <vt:lpwstr/>
  </property>
  <property fmtid="{D5CDD505-2E9C-101B-9397-08002B2CF9AE}" pid="68" name="PART">
    <vt:lpwstr/>
  </property>
  <property fmtid="{D5CDD505-2E9C-101B-9397-08002B2CF9AE}" pid="69" name="PROCESS">
    <vt:lpwstr>עפ</vt:lpwstr>
  </property>
  <property fmtid="{D5CDD505-2E9C-101B-9397-08002B2CF9AE}" pid="70" name="PROCNUM">
    <vt:lpwstr>8861</vt:lpwstr>
  </property>
  <property fmtid="{D5CDD505-2E9C-101B-9397-08002B2CF9AE}" pid="71" name="PROCYEAR">
    <vt:lpwstr>22</vt:lpwstr>
  </property>
  <property fmtid="{D5CDD505-2E9C-101B-9397-08002B2CF9AE}" pid="72" name="PSAKDIN">
    <vt:lpwstr>פסק-דין</vt:lpwstr>
  </property>
  <property fmtid="{D5CDD505-2E9C-101B-9397-08002B2CF9AE}" pid="73" name="TYPE">
    <vt:lpwstr>1</vt:lpwstr>
  </property>
  <property fmtid="{D5CDD505-2E9C-101B-9397-08002B2CF9AE}" pid="74" name="TYPE_ABS_DATE">
    <vt:lpwstr>410120230420</vt:lpwstr>
  </property>
  <property fmtid="{D5CDD505-2E9C-101B-9397-08002B2CF9AE}" pid="75" name="TYPE_N_DATE">
    <vt:lpwstr>41020230420</vt:lpwstr>
  </property>
  <property fmtid="{D5CDD505-2E9C-101B-9397-08002B2CF9AE}" pid="76" name="VOLUME">
    <vt:lpwstr/>
  </property>
  <property fmtid="{D5CDD505-2E9C-101B-9397-08002B2CF9AE}" pid="77" name="WORDNUMPAGES">
    <vt:lpwstr>16</vt:lpwstr>
  </property>
</Properties>
</file>