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8937/20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numPr>
                <w:ilvl w:val="0"/>
                <w:numId w:val="2"/>
              </w:numPr>
              <w:ind w:hanging="360" w:start="360"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 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523-03-19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31894-07-19</w:t>
              </w:r>
            </w:hyperlink>
          </w:p>
          <w:p>
            <w:pPr>
              <w:pStyle w:val="BodyRuller1"/>
              <w:ind w:end="0"/>
              <w:jc w:val="start"/>
              <w:rPr/>
            </w:pPr>
            <w:hyperlink r:id="rId4">
              <w:r>
                <w:rPr>
                  <w:rtl w:val="true"/>
                </w:rPr>
              </w:r>
            </w:hyperlink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08.07.2021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"/>
        <w:gridCol w:w="3190"/>
        <w:gridCol w:w="22"/>
        <w:gridCol w:w="5151"/>
      </w:tblGrid>
      <w:tr>
        <w:trPr/>
        <w:tc>
          <w:tcPr>
            <w:tcW w:w="3217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73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7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73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>
                <w:sz w:val="36"/>
                <w:szCs w:val="44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עילית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מידן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376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עונשי המאסר שהושתו על המערערים בגין שורת עבירות שנעברו על רקע של עבודות כפייה שהמערערים כפו על מספר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עולים כדי סטייה ניכרת ממדיניות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עיקרון השקילות והאחידות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הופחת עונש המאסר בפועל של המערער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שיעמוד על </w:t>
      </w:r>
      <w:r>
        <w:rPr>
          <w:rFonts w:cs="Times New Roman" w:ascii="Times New Roman" w:hAnsi="Times New Roman"/>
          <w:spacing w:val="0"/>
          <w:szCs w:val="26"/>
        </w:rPr>
        <w:t>48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שהועמד על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נותר בעינו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מערערים על 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בעקבות הרשעתם בשורה של עבירות שנעברו על רקע של עבודות כפייה שהמערערים כפו על קטינים עת עבדו במאפיה שבבעלותם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אנואר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אלו כללו עבודות כפייה ותקיפה סתם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של 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אלו כללו עבודות כפייה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התעללות בקטין או בחסר ישע על ידי אחראי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ומעשה פזיזות ורשלנות במכונה שבפיקוחו נוכח גדיעת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אצבעות בכף ידו של אחד הקטינים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מעשיו אנואר 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מאסר מותנה וחובה לפצות את נפגעי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על אמג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הושת עונש של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מאסר מותנה וחובה לפצות את נפגעי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המאסר בפועל נקבעו ברוב דעות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דעת המיעוט סברה כי מן הדין להטיל על אנואר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ועל אמג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המשנה לנשיאה הנדל ובהסכמת השופט עמית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ערעור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 את ערעור המערער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ביושבו כערכאת ערעור בעניין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יתערב בעונש שהושת על הנאשם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המתאפיינים בסטייה ניכרת מהוראות הדין או ממדיניות הענישה 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הוא גם כאשר דעות השופטים בערכאה הדיונית נחלקות לדעת רוב ודעת מיעוט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 של דעת מיעוט מחייבת את ערכאת הערעור לבחון את דעת הרוב שהתגבשה בערכאה הדיונית במשנה זהירות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המאסר שהושתו על המערערים אינם בגדר סטייה ניכרת ממדיניות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שעונשים אלו הוטלו בגין מעשים פליליים 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נמצאים רחוק מרף העונש המירבי שקבע המחוקק לכל אחת מהעבירות הנדונות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לא ניתן לתארם כבלתי מידתיים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המירבי הקבוע בחוק בגין עבירה של עבודות כפייה הוא שבע 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 יש דרישה לקיומה של זיקת גומלין בין חומרת מעשהו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שנמצא חייב בדינו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העונש המירבי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מעשי המערערים חצו את רף החומרה הגבוה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תוצאותיהם של מעשים אלו היו 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כדי הרסניות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עבור הקטינים שנפגעו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כל אחד מהמערערים איננו מופרז במידה שיכולה להצדיק התערבות מצד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בניסיונם לבסס את ההצדקה להתערבות בעונשיהם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השליכו המערערים את יהבם על עמדת שופט המיעוט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עמדה זו אין לאמץ מאחר שהעונשים ששופט המיעוט ביקש להטיל על המערערים רחוקים מלהלום את חומרת מעשיהם ואת עמדתו הערכית של המחוקק ביחס לעבירות שנעברו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שזו באה לביטוי בעונשים המירביים שהמחוקק ראה לנכון לקבוע לצידן של עבירות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ליחס החומרה בין העונשים שהושתו לבין מעשיו של כל אחד מהמערערים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העיקרון של אחידות הענישה מחייב הטלת עונשים זהים או כמעט זהים על נאשמים שפעלו יחדיו כשותפים שווים במסגרת אותה פעילות 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נגזר העיקרון של שקילות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 שחלקו בפעילות העבריינית גדול יותר מזה של חברו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להטיל עליו עונש חמור יותר מזה של חברו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שהיחס בין שני העונשים ישקף את הבדלי החומרה בין מעשי הנאשמים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עיקרון זה לא נשמר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אמג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–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עולה בהרבה על עונשו של אנואר –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הבדלי החומרה בין מעשי המערערים אינם כה גדולים ואין הצדקה לפער שבין עונשו המתון יחסית של אנואר לבין העונש החמור הרבה יותר שהושת על אמג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של אמג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צריך לעמוד על </w:t>
      </w:r>
      <w:r>
        <w:rPr>
          <w:rFonts w:cs="Times New Roman" w:ascii="Times New Roman" w:hAnsi="Times New Roman"/>
          <w:spacing w:val="0"/>
          <w:szCs w:val="26"/>
        </w:rPr>
        <w:t>48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חלף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אילולא הפגיעה בעיקרון השקילות והאחידות בענישה לא היה מקום להתערב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יעמדו בעינם ביחס לכל אחד מהמערערים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3.12.2020</w:t>
      </w:r>
      <w:r>
        <w:rPr>
          <w:rtl w:val="true"/>
        </w:rPr>
        <w:t xml:space="preserve">, </w:t>
      </w:r>
      <w:r>
        <w:rPr>
          <w:rtl w:val="true"/>
        </w:rPr>
        <w:t>בגדריהם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523-03-19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31894-07-19</w:t>
        </w:r>
      </w:hyperlink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שנעברו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 </w:t>
      </w:r>
      <w:r>
        <w:rPr>
          <w:rtl w:val="true"/>
        </w:rPr>
        <w:t>שהמערערים</w:t>
      </w:r>
      <w:r>
        <w:rPr>
          <w:rtl w:val="true"/>
        </w:rPr>
        <w:t xml:space="preserve"> </w:t>
      </w:r>
      <w:r>
        <w:rPr>
          <w:rtl w:val="true"/>
        </w:rPr>
        <w:t>כפו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במקרהו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'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ותקיפה</w:t>
      </w:r>
      <w:r>
        <w:rPr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במקרהו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'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התעללות</w:t>
      </w:r>
      <w:r>
        <w:rPr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בחסר</w:t>
      </w:r>
      <w:r>
        <w:rPr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 </w:t>
      </w:r>
      <w:r>
        <w:rPr>
          <w:rtl w:val="true"/>
        </w:rPr>
        <w:t>במכונה</w:t>
      </w:r>
      <w:r>
        <w:rPr>
          <w:rtl w:val="true"/>
        </w:rPr>
        <w:t xml:space="preserve"> </w:t>
      </w:r>
      <w:r>
        <w:rPr>
          <w:rtl w:val="true"/>
        </w:rPr>
        <w:t>שבפיקוחו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וחובה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–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– </w:t>
      </w:r>
      <w:r>
        <w:rPr>
          <w:rtl w:val="true"/>
        </w:rPr>
        <w:t>השית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וחובה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נקבעו</w:t>
      </w:r>
      <w:r>
        <w:rPr>
          <w:rtl w:val="true"/>
        </w:rPr>
        <w:t xml:space="preserve"> </w:t>
      </w:r>
      <w:r>
        <w:rPr>
          <w:rtl w:val="true"/>
        </w:rPr>
        <w:t>ברוב</w:t>
      </w:r>
      <w:r>
        <w:rPr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החולקת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ממזעזעות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ניהלו</w:t>
      </w:r>
      <w:r>
        <w:rPr>
          <w:rtl w:val="true"/>
        </w:rPr>
        <w:t xml:space="preserve"> </w:t>
      </w:r>
      <w:r>
        <w:rPr>
          <w:rtl w:val="true"/>
        </w:rPr>
        <w:t>מאפיה</w:t>
      </w:r>
      <w:r>
        <w:rPr>
          <w:rtl w:val="true"/>
        </w:rPr>
        <w:t xml:space="preserve"> </w:t>
      </w:r>
      <w:r>
        <w:rPr>
          <w:rtl w:val="true"/>
        </w:rPr>
        <w:t>השייכת</w:t>
      </w:r>
      <w:r>
        <w:rPr>
          <w:rtl w:val="true"/>
        </w:rPr>
        <w:t xml:space="preserve"> </w:t>
      </w:r>
      <w:r>
        <w:rPr>
          <w:rtl w:val="true"/>
        </w:rPr>
        <w:t>למשפחתם</w:t>
      </w:r>
      <w:r>
        <w:rPr>
          <w:rtl w:val="true"/>
        </w:rPr>
        <w:t xml:space="preserve"> </w:t>
      </w:r>
      <w:r>
        <w:rPr>
          <w:rtl w:val="true"/>
        </w:rPr>
        <w:t>ביישובם</w:t>
      </w:r>
      <w:r>
        <w:rPr>
          <w:rtl w:val="true"/>
        </w:rPr>
        <w:t xml:space="preserve">. </w:t>
      </w:r>
      <w:r>
        <w:rPr>
          <w:rtl w:val="true"/>
        </w:rPr>
        <w:t>במאפיה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העבידו</w:t>
      </w:r>
      <w:r>
        <w:rPr>
          <w:rtl w:val="true"/>
        </w:rPr>
        <w:t xml:space="preserve"> </w:t>
      </w:r>
      <w:r>
        <w:rPr>
          <w:rtl w:val="true"/>
        </w:rPr>
        <w:t>בכפייה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הקטינים</w:t>
      </w:r>
      <w:r>
        <w:rPr>
          <w:rtl w:val="true"/>
        </w:rPr>
        <w:t xml:space="preserve">) –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פרקי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, </w:t>
      </w:r>
      <w:r>
        <w:rPr>
          <w:rtl w:val="true"/>
        </w:rPr>
        <w:t>שלעתים</w:t>
      </w:r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זכו</w:t>
      </w:r>
      <w:r>
        <w:rPr>
          <w:rtl w:val="true"/>
        </w:rPr>
        <w:t xml:space="preserve"> </w:t>
      </w:r>
      <w:r>
        <w:rPr>
          <w:rtl w:val="true"/>
        </w:rPr>
        <w:t>להפסקות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לימי</w:t>
      </w:r>
      <w:r>
        <w:rPr>
          <w:rtl w:val="true"/>
        </w:rPr>
        <w:t xml:space="preserve"> </w:t>
      </w:r>
      <w:r>
        <w:rPr>
          <w:rtl w:val="true"/>
        </w:rPr>
        <w:t>מנוחה</w:t>
      </w:r>
      <w:r>
        <w:rPr>
          <w:rtl w:val="true"/>
        </w:rPr>
        <w:t xml:space="preserve">, </w:t>
      </w:r>
      <w:r>
        <w:rPr>
          <w:rtl w:val="true"/>
        </w:rPr>
        <w:t>ושכרו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20-15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עמדו</w:t>
      </w:r>
      <w:r>
        <w:rPr>
          <w:rtl w:val="true"/>
        </w:rPr>
        <w:t xml:space="preserve"> </w:t>
      </w:r>
      <w:r>
        <w:rPr>
          <w:rtl w:val="true"/>
        </w:rPr>
        <w:t>בהספקי</w:t>
      </w:r>
      <w:r>
        <w:rPr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 </w:t>
      </w:r>
      <w:r>
        <w:rPr>
          <w:rtl w:val="true"/>
        </w:rPr>
        <w:t>שנדרשו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הותקפו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בסטירות</w:t>
      </w:r>
      <w:r>
        <w:rPr>
          <w:rtl w:val="true"/>
        </w:rPr>
        <w:t xml:space="preserve">, </w:t>
      </w:r>
      <w:r>
        <w:rPr>
          <w:rtl w:val="true"/>
        </w:rPr>
        <w:t>אגרופים</w:t>
      </w:r>
      <w:r>
        <w:rPr>
          <w:rtl w:val="true"/>
        </w:rPr>
        <w:t xml:space="preserve"> </w:t>
      </w:r>
      <w:r>
        <w:rPr>
          <w:rtl w:val="true"/>
        </w:rPr>
        <w:t>ובעיטות</w:t>
      </w:r>
      <w:r>
        <w:rPr>
          <w:rtl w:val="true"/>
        </w:rPr>
        <w:t xml:space="preserve">,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וגרם</w:t>
      </w:r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 </w:t>
      </w:r>
      <w:r>
        <w:rPr>
          <w:rtl w:val="true"/>
        </w:rPr>
        <w:t>עזים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מצדו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בכת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שראה</w:t>
      </w:r>
      <w:r>
        <w:rPr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פיתות</w:t>
      </w:r>
      <w:r>
        <w:rPr>
          <w:rtl w:val="true"/>
        </w:rPr>
        <w:t xml:space="preserve"> </w:t>
      </w:r>
      <w:r>
        <w:rPr>
          <w:rtl w:val="true"/>
        </w:rPr>
        <w:t>שהתייבשו</w:t>
      </w:r>
      <w:r>
        <w:rPr>
          <w:rtl w:val="true"/>
        </w:rPr>
        <w:t xml:space="preserve">. </w:t>
      </w:r>
      <w:r>
        <w:rPr>
          <w:rtl w:val="true"/>
        </w:rPr>
        <w:t>מפעם</w:t>
      </w:r>
      <w:r>
        <w:rPr>
          <w:rtl w:val="true"/>
        </w:rPr>
        <w:t xml:space="preserve"> </w:t>
      </w:r>
      <w:r>
        <w:rPr>
          <w:rtl w:val="true"/>
        </w:rPr>
        <w:t>לפעם</w:t>
      </w:r>
      <w:r>
        <w:rPr>
          <w:rtl w:val="true"/>
        </w:rPr>
        <w:t xml:space="preserve">, </w:t>
      </w:r>
      <w:r>
        <w:rPr>
          <w:rtl w:val="true"/>
        </w:rPr>
        <w:t>הוכו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כבל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8.2.2019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באצבעותיו</w:t>
      </w:r>
      <w:r>
        <w:rPr>
          <w:rtl w:val="true"/>
        </w:rPr>
        <w:t xml:space="preserve"> </w:t>
      </w:r>
      <w:r>
        <w:rPr>
          <w:rtl w:val="true"/>
        </w:rPr>
        <w:t>ממכונת</w:t>
      </w:r>
      <w:r>
        <w:rPr>
          <w:rtl w:val="true"/>
        </w:rPr>
        <w:t xml:space="preserve"> </w:t>
      </w:r>
      <w:r>
        <w:rPr>
          <w:rtl w:val="true"/>
        </w:rPr>
        <w:t>חיתוך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אולץ</w:t>
      </w:r>
      <w:r>
        <w:rPr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, </w:t>
      </w:r>
      <w:r>
        <w:rPr>
          <w:rtl w:val="true"/>
        </w:rPr>
        <w:t>ושלוש</w:t>
      </w:r>
      <w:r>
        <w:rPr>
          <w:rtl w:val="true"/>
        </w:rPr>
        <w:t xml:space="preserve"> </w:t>
      </w:r>
      <w:r>
        <w:rPr>
          <w:rtl w:val="true"/>
        </w:rPr>
        <w:t>מאצבעותיו</w:t>
      </w:r>
      <w:r>
        <w:rPr>
          <w:rtl w:val="true"/>
        </w:rPr>
        <w:t xml:space="preserve"> </w:t>
      </w:r>
      <w:r>
        <w:rPr>
          <w:rtl w:val="true"/>
        </w:rPr>
        <w:t>נגדעו</w:t>
      </w:r>
      <w:r>
        <w:rPr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אחותו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פרצה</w:t>
      </w:r>
      <w:r>
        <w:rPr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שנודע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נדחפה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שראשה</w:t>
      </w:r>
      <w:r>
        <w:rPr>
          <w:rtl w:val="true"/>
        </w:rPr>
        <w:t xml:space="preserve"> </w:t>
      </w:r>
      <w:r>
        <w:rPr>
          <w:rtl w:val="true"/>
        </w:rPr>
        <w:t>הוטח</w:t>
      </w:r>
      <w:r>
        <w:rPr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עמדו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 </w:t>
      </w:r>
      <w:r>
        <w:rPr>
          <w:rtl w:val="true"/>
        </w:rPr>
        <w:t>נטולי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שחיים</w:t>
      </w:r>
      <w:r>
        <w:rPr>
          <w:rtl w:val="true"/>
        </w:rPr>
        <w:t xml:space="preserve"> </w:t>
      </w:r>
      <w:r>
        <w:rPr>
          <w:rtl w:val="true"/>
        </w:rPr>
        <w:t>במחסור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כשהמאפיה</w:t>
      </w:r>
      <w:r>
        <w:rPr>
          <w:rtl w:val="true"/>
        </w:rPr>
        <w:t xml:space="preserve"> </w:t>
      </w:r>
      <w:r>
        <w:rPr>
          <w:rtl w:val="true"/>
        </w:rPr>
        <w:t>משמשת</w:t>
      </w:r>
      <w:r>
        <w:rPr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 </w:t>
      </w:r>
      <w:r>
        <w:rPr>
          <w:rtl w:val="true"/>
        </w:rPr>
        <w:t>פרנסתם</w:t>
      </w:r>
      <w:r>
        <w:rPr>
          <w:rtl w:val="true"/>
        </w:rPr>
        <w:t xml:space="preserve"> </w:t>
      </w:r>
      <w:r>
        <w:rPr>
          <w:rtl w:val="true"/>
        </w:rPr>
        <w:t>ומחייתם</w:t>
      </w:r>
      <w:r>
        <w:rPr>
          <w:rtl w:val="true"/>
        </w:rPr>
        <w:t xml:space="preserve"> </w:t>
      </w:r>
      <w:r>
        <w:rPr>
          <w:rtl w:val="true"/>
        </w:rPr>
        <w:t>ומקום</w:t>
      </w:r>
      <w:r>
        <w:rPr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 </w:t>
      </w:r>
      <w:r>
        <w:rPr>
          <w:rtl w:val="true"/>
        </w:rPr>
        <w:t>ומחיה</w:t>
      </w:r>
      <w:r>
        <w:rPr>
          <w:rtl w:val="true"/>
        </w:rPr>
        <w:t xml:space="preserve"> </w:t>
      </w:r>
      <w:r>
        <w:rPr>
          <w:rtl w:val="true"/>
        </w:rPr>
        <w:t>למשפחותיהם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לחמישה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 </w:t>
      </w:r>
      <w:r>
        <w:rPr>
          <w:rtl w:val="true"/>
        </w:rPr>
        <w:t>לקה</w:t>
      </w:r>
      <w:r>
        <w:rPr>
          <w:rtl w:val="true"/>
        </w:rPr>
        <w:t xml:space="preserve"> </w:t>
      </w:r>
      <w:r>
        <w:rPr>
          <w:rtl w:val="true"/>
        </w:rPr>
        <w:t>באפילפסיה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בתאונת</w:t>
      </w:r>
      <w:r>
        <w:rPr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 </w:t>
      </w:r>
      <w:r>
        <w:rPr>
          <w:rtl w:val="true"/>
        </w:rPr>
        <w:t>ומתקשה</w:t>
      </w:r>
      <w:r>
        <w:rPr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מאמציו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להפנים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 </w:t>
      </w:r>
      <w:r>
        <w:rPr>
          <w:rtl w:val="true"/>
        </w:rPr>
        <w:t>ובדפוסי</w:t>
      </w:r>
      <w:r>
        <w:rPr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מביע</w:t>
      </w:r>
      <w:r>
        <w:rPr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נוטל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 </w:t>
      </w:r>
      <w:r>
        <w:rPr>
          <w:rtl w:val="true"/>
        </w:rPr>
        <w:t>בשאיפה</w:t>
      </w:r>
      <w:r>
        <w:rPr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מצייר</w:t>
      </w:r>
      <w:r>
        <w:rPr>
          <w:rtl w:val="true"/>
        </w:rPr>
        <w:t xml:space="preserve"> </w:t>
      </w:r>
      <w:r>
        <w:rPr>
          <w:rtl w:val="true"/>
        </w:rPr>
        <w:t>תמונה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. </w:t>
      </w:r>
      <w:r>
        <w:rPr>
          <w:rtl w:val="true"/>
        </w:rPr>
        <w:t>תמונה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– </w:t>
      </w:r>
      <w:r>
        <w:rPr>
          <w:rtl w:val="true"/>
        </w:rPr>
        <w:t>בגלל</w:t>
      </w:r>
      <w:r>
        <w:rPr>
          <w:rtl w:val="true"/>
        </w:rPr>
        <w:t xml:space="preserve"> </w:t>
      </w:r>
      <w:r>
        <w:rPr>
          <w:rtl w:val="true"/>
        </w:rPr>
        <w:t>הפגיעות</w:t>
      </w:r>
      <w:r>
        <w:rPr>
          <w:rtl w:val="true"/>
        </w:rPr>
        <w:t xml:space="preserve"> </w:t>
      </w:r>
      <w:r>
        <w:rPr>
          <w:rtl w:val="true"/>
        </w:rPr>
        <w:t>הפיזיות</w:t>
      </w:r>
      <w:r>
        <w:rPr>
          <w:rtl w:val="true"/>
        </w:rPr>
        <w:t xml:space="preserve">, </w:t>
      </w:r>
      <w:r>
        <w:rPr>
          <w:rtl w:val="true"/>
        </w:rPr>
        <w:t>הנפשיות</w:t>
      </w:r>
      <w:r>
        <w:rPr>
          <w:rtl w:val="true"/>
        </w:rPr>
        <w:t xml:space="preserve"> </w:t>
      </w:r>
      <w:r>
        <w:rPr>
          <w:rtl w:val="true"/>
        </w:rPr>
        <w:t>והחינוכיות</w:t>
      </w:r>
      <w:r>
        <w:rPr>
          <w:rtl w:val="true"/>
        </w:rPr>
        <w:t xml:space="preserve"> </w:t>
      </w:r>
      <w:r>
        <w:rPr>
          <w:rtl w:val="true"/>
        </w:rPr>
        <w:t>שספגו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תמונה</w:t>
      </w:r>
      <w:r>
        <w:rPr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 – </w:t>
      </w:r>
      <w:r>
        <w:rPr>
          <w:rtl w:val="true"/>
        </w:rPr>
        <w:t>בגלל</w:t>
      </w:r>
      <w:r>
        <w:rPr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נובעים</w:t>
      </w:r>
      <w:r>
        <w:rPr>
          <w:rtl w:val="true"/>
        </w:rPr>
        <w:t xml:space="preserve"> </w:t>
      </w:r>
      <w:r>
        <w:rPr>
          <w:rtl w:val="true"/>
        </w:rPr>
        <w:t>מפתיחת</w:t>
      </w:r>
      <w:r>
        <w:rPr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ומסגירת</w:t>
      </w:r>
      <w:r>
        <w:rPr>
          <w:rtl w:val="true"/>
        </w:rPr>
        <w:t xml:space="preserve"> </w:t>
      </w:r>
      <w:r>
        <w:rPr>
          <w:rtl w:val="true"/>
        </w:rPr>
        <w:t>המאפיה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tl w:val="true"/>
        </w:rPr>
        <w:t xml:space="preserve"> </w:t>
      </w:r>
      <w:r>
        <w:rPr>
          <w:rtl w:val="true"/>
        </w:rPr>
        <w:t>שהביא</w:t>
      </w:r>
      <w:r>
        <w:rPr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 </w:t>
      </w:r>
      <w:r>
        <w:rPr>
          <w:rtl w:val="true"/>
        </w:rPr>
        <w:t>למספר</w:t>
      </w:r>
      <w:r>
        <w:rPr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שקילת</w:t>
      </w:r>
      <w:r>
        <w:rPr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 </w:t>
      </w:r>
      <w:r>
        <w:rPr>
          <w:rtl w:val="true"/>
        </w:rPr>
        <w:t>וסקירת</w:t>
      </w:r>
      <w:r>
        <w:rPr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, </w:t>
      </w:r>
      <w:r>
        <w:rPr>
          <w:rtl w:val="true"/>
        </w:rPr>
        <w:t>העמידו</w:t>
      </w:r>
      <w:r>
        <w:rPr>
          <w:rtl w:val="true"/>
        </w:rPr>
        <w:t xml:space="preserve"> </w:t>
      </w:r>
      <w:r>
        <w:rPr>
          <w:rtl w:val="true"/>
        </w:rPr>
        <w:t>שופטי</w:t>
      </w:r>
      <w:r>
        <w:rPr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–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–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צרכי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נוגעים</w:t>
      </w:r>
      <w:r>
        <w:rPr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. </w:t>
      </w:r>
      <w:r>
        <w:rPr>
          <w:rtl w:val="true"/>
        </w:rPr>
        <w:t>שופטי</w:t>
      </w:r>
      <w:r>
        <w:rPr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 </w:t>
      </w:r>
      <w:r>
        <w:rPr>
          <w:rtl w:val="true"/>
        </w:rPr>
        <w:t>סברו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שבמאזן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שא</w:t>
      </w:r>
      <w:r>
        <w:rPr>
          <w:rtl w:val="true"/>
        </w:rPr>
        <w:t xml:space="preserve">' </w:t>
      </w:r>
      <w:r>
        <w:rPr>
          <w:rtl w:val="true"/>
        </w:rPr>
        <w:t>יירצה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יישלח</w:t>
      </w:r>
      <w:r>
        <w:rPr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מאזן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 –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 – </w:t>
      </w:r>
      <w:r>
        <w:rPr>
          <w:rtl w:val="true"/>
        </w:rPr>
        <w:t>מוביל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שופטי</w:t>
      </w:r>
      <w:r>
        <w:rPr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 </w:t>
      </w:r>
      <w:r>
        <w:rPr>
          <w:rtl w:val="true"/>
        </w:rPr>
        <w:t>הדגישו</w:t>
      </w:r>
      <w:r>
        <w:rPr>
          <w:rtl w:val="true"/>
        </w:rPr>
        <w:t xml:space="preserve"> </w:t>
      </w:r>
      <w:r>
        <w:rPr>
          <w:rtl w:val="true"/>
        </w:rPr>
        <w:t>כשיקול</w:t>
      </w:r>
      <w:r>
        <w:rPr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 –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 </w:t>
      </w:r>
      <w:r>
        <w:rPr>
          <w:rtl w:val="true"/>
        </w:rPr>
        <w:t>שאצבעות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נכרתו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מרשלנותו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–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החובה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 </w:t>
      </w:r>
      <w:r>
        <w:rPr>
          <w:rtl w:val="true"/>
        </w:rPr>
        <w:t>לשרש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ועבודות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להיותם</w:t>
      </w:r>
      <w:r>
        <w:rPr>
          <w:rtl w:val="true"/>
        </w:rPr>
        <w:t xml:space="preserve"> </w:t>
      </w:r>
      <w:r>
        <w:rPr>
          <w:rtl w:val="true"/>
        </w:rPr>
        <w:t>נטולי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לשאיפתם</w:t>
      </w:r>
      <w:r>
        <w:rPr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 </w:t>
      </w:r>
      <w:r>
        <w:rPr>
          <w:rtl w:val="true"/>
        </w:rPr>
        <w:t>ולחלוף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–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 –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נתערב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ונקל</w:t>
      </w:r>
      <w:r>
        <w:rPr>
          <w:rtl w:val="true"/>
        </w:rPr>
        <w:t xml:space="preserve"> </w:t>
      </w:r>
      <w:r>
        <w:rPr>
          <w:rtl w:val="true"/>
        </w:rPr>
        <w:t>בעונשיהם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: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הדגישו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וביקשו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סמכה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שופטי</w:t>
      </w:r>
      <w:r>
        <w:rPr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סקר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השתתפותם</w:t>
      </w:r>
      <w:r>
        <w:rPr>
          <w:rtl w:val="true"/>
        </w:rPr>
        <w:t xml:space="preserve"> </w:t>
      </w:r>
      <w:r>
        <w:rPr>
          <w:rtl w:val="true"/>
        </w:rPr>
        <w:t>במסגרות</w:t>
      </w:r>
      <w:r>
        <w:rPr>
          <w:rtl w:val="true"/>
        </w:rPr>
        <w:t xml:space="preserve"> </w:t>
      </w:r>
      <w:r>
        <w:rPr>
          <w:rtl w:val="true"/>
        </w:rPr>
        <w:t>הטיפוליות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כותלי</w:t>
      </w:r>
      <w:r>
        <w:rPr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בהמלצות</w:t>
      </w:r>
      <w:r>
        <w:rPr>
          <w:rtl w:val="true"/>
        </w:rPr>
        <w:t xml:space="preserve"> </w:t>
      </w:r>
      <w:r>
        <w:rPr>
          <w:rtl w:val="true"/>
        </w:rPr>
        <w:t>קונקרטיות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עמנו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ביושבו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מדין</w:t>
      </w:r>
      <w:r>
        <w:rPr>
          <w:rtl w:val="true"/>
        </w:rPr>
        <w:t xml:space="preserve"> </w:t>
      </w:r>
      <w:r>
        <w:rPr>
          <w:rtl w:val="true"/>
        </w:rPr>
        <w:t>כערכאת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המתאפיינים</w:t>
      </w:r>
      <w:r>
        <w:rPr>
          <w:rtl w:val="true"/>
        </w:rPr>
        <w:t xml:space="preserve"> </w:t>
      </w:r>
      <w:r>
        <w:rPr>
          <w:rtl w:val="true"/>
        </w:rPr>
        <w:t>בסטייה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מהוראות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דלאל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סולברג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 </w:t>
      </w:r>
      <w:r>
        <w:rPr>
          <w:rtl w:val="true"/>
        </w:rPr>
        <w:t>בערכאה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נחלקות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 </w:t>
      </w:r>
      <w:r>
        <w:rPr>
          <w:rtl w:val="true"/>
        </w:rPr>
        <w:t>ודעת</w:t>
      </w:r>
      <w:r>
        <w:rPr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6890/04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בלאוסוב</w:t>
      </w:r>
      <w:r>
        <w:rPr>
          <w:sz w:val="22"/>
          <w:szCs w:val="24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ריבלין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 (</w:t>
      </w:r>
      <w:r>
        <w:rPr/>
        <w:t>13.9.2005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 </w:t>
      </w:r>
      <w:r>
        <w:rPr>
          <w:rtl w:val="true"/>
        </w:rPr>
        <w:t>שהתגבשה</w:t>
      </w:r>
      <w:r>
        <w:rPr>
          <w:rtl w:val="true"/>
        </w:rPr>
        <w:t xml:space="preserve"> </w:t>
      </w:r>
      <w:r>
        <w:rPr>
          <w:rtl w:val="true"/>
        </w:rPr>
        <w:t>בערכאה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במשנה</w:t>
      </w:r>
      <w:r>
        <w:rPr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3751/11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טראש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Fonts w:cs="Miriam" w:ascii="Miriam" w:hAnsi="Miriam"/>
          <w:sz w:val="22"/>
          <w:szCs w:val="24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2.9.2012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(</w:t>
      </w:r>
      <w:r>
        <w:rPr/>
        <w:t>23.4.2014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שהושתו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tl w:val="true"/>
        </w:rPr>
        <w:t xml:space="preserve"> </w:t>
      </w:r>
      <w:r>
        <w:rPr>
          <w:rtl w:val="true"/>
        </w:rPr>
        <w:t>שעונשים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נמצאים</w:t>
      </w:r>
      <w:r>
        <w:rPr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 </w:t>
      </w:r>
      <w:r>
        <w:rPr>
          <w:rtl w:val="true"/>
        </w:rPr>
        <w:t>מרף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לתארם</w:t>
      </w:r>
      <w:r>
        <w:rPr>
          <w:rtl w:val="true"/>
        </w:rPr>
        <w:t xml:space="preserve"> </w:t>
      </w:r>
      <w:r>
        <w:rPr>
          <w:rtl w:val="true"/>
        </w:rPr>
        <w:t>כבלתי</w:t>
      </w:r>
      <w:r>
        <w:rPr>
          <w:rtl w:val="true"/>
        </w:rPr>
        <w:t xml:space="preserve"> </w:t>
      </w:r>
      <w:r>
        <w:rPr>
          <w:rtl w:val="true"/>
        </w:rPr>
        <w:t>מידתיים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 </w:t>
      </w:r>
      <w:r>
        <w:rPr>
          <w:rtl w:val="true"/>
        </w:rPr>
        <w:t>לקיומה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זיקת</w:t>
      </w:r>
      <w:r>
        <w:rPr>
          <w:rtl w:val="true"/>
        </w:rPr>
        <w:t xml:space="preserve"> </w:t>
      </w:r>
      <w:r>
        <w:rPr>
          <w:rtl w:val="true"/>
        </w:rPr>
        <w:t>גומלין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ביטון</w:t>
      </w:r>
      <w:r>
        <w:rPr>
          <w:sz w:val="20"/>
          <w:szCs w:val="24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לדבריי</w:t>
      </w:r>
      <w:r>
        <w:rPr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מעשיהם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חצו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רף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. </w:t>
      </w:r>
      <w:r>
        <w:rPr>
          <w:rtl w:val="true"/>
        </w:rPr>
        <w:t>תוצאותיהם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הרסניות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מהערערים</w:t>
      </w:r>
      <w:r>
        <w:rPr>
          <w:rtl w:val="true"/>
        </w:rPr>
        <w:t xml:space="preserve"> –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 –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מופרז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שיכולה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מצד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בניסיונם</w:t>
      </w:r>
      <w:r>
        <w:rPr>
          <w:rtl w:val="true"/>
        </w:rPr>
        <w:t xml:space="preserve"> </w:t>
      </w:r>
      <w:r>
        <w:rPr>
          <w:rtl w:val="true"/>
        </w:rPr>
        <w:t>לבסס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ההצדקה</w:t>
      </w:r>
      <w:r>
        <w:rPr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 </w:t>
      </w:r>
      <w:r>
        <w:rPr>
          <w:rtl w:val="true"/>
        </w:rPr>
        <w:t>בעונשיהם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יהבם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בידינו</w:t>
      </w:r>
      <w:r>
        <w:rPr>
          <w:rtl w:val="true"/>
        </w:rPr>
        <w:t xml:space="preserve"> </w:t>
      </w:r>
      <w:r>
        <w:rPr>
          <w:rtl w:val="true"/>
        </w:rPr>
        <w:t>לאמץ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שהעונשים</w:t>
      </w:r>
      <w:r>
        <w:rPr>
          <w:rtl w:val="true"/>
        </w:rPr>
        <w:t xml:space="preserve"> </w:t>
      </w:r>
      <w:r>
        <w:rPr>
          <w:rtl w:val="true"/>
        </w:rPr>
        <w:t>ששופט</w:t>
      </w:r>
      <w:r>
        <w:rPr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רחוקים</w:t>
      </w:r>
      <w:r>
        <w:rPr>
          <w:rtl w:val="true"/>
        </w:rPr>
        <w:t xml:space="preserve"> </w:t>
      </w:r>
      <w:r>
        <w:rPr>
          <w:rtl w:val="true"/>
        </w:rPr>
        <w:t>מלהלום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הערכית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שנעברו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שזו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 </w:t>
      </w:r>
      <w:r>
        <w:rPr>
          <w:rtl w:val="true"/>
        </w:rPr>
        <w:t>המירביים</w:t>
      </w:r>
      <w:r>
        <w:rPr>
          <w:rtl w:val="true"/>
        </w:rPr>
        <w:t xml:space="preserve"> </w:t>
      </w:r>
      <w:r>
        <w:rPr>
          <w:rtl w:val="true"/>
        </w:rPr>
        <w:t>שהמחוקק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לצדן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הפרט</w:t>
      </w:r>
      <w:r>
        <w:rPr>
          <w:rtl w:val="true"/>
        </w:rPr>
        <w:t xml:space="preserve"> </w:t>
      </w:r>
      <w:r>
        <w:rPr>
          <w:rtl w:val="true"/>
        </w:rPr>
        <w:t>שהטרידני</w:t>
      </w:r>
      <w:r>
        <w:rPr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 </w:t>
      </w:r>
      <w:r>
        <w:rPr>
          <w:rtl w:val="true"/>
        </w:rPr>
        <w:t>שהושתו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. </w:t>
      </w:r>
      <w:r>
        <w:rPr>
          <w:rtl w:val="true"/>
        </w:rPr>
        <w:t>העיקרון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כמעט</w:t>
      </w:r>
      <w:r>
        <w:rPr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שפעלו</w:t>
      </w:r>
      <w:r>
        <w:rPr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 </w:t>
      </w:r>
      <w:r>
        <w:rPr>
          <w:rtl w:val="true"/>
        </w:rPr>
        <w:t>כשותפים</w:t>
      </w:r>
      <w:r>
        <w:rPr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חמוד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1.4.2007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6958/18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מצלאח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22.1.2020</w:t>
      </w:r>
      <w:r>
        <w:rPr>
          <w:rtl w:val="true"/>
        </w:rPr>
        <w:t xml:space="preserve">)). </w:t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 </w:t>
      </w:r>
      <w:r>
        <w:rPr>
          <w:rtl w:val="true"/>
        </w:rPr>
        <w:t>העיקרון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שקילות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שחלקו</w:t>
      </w:r>
      <w:r>
        <w:rPr>
          <w:rtl w:val="true"/>
        </w:rPr>
        <w:t xml:space="preserve"> </w:t>
      </w:r>
      <w:r>
        <w:rPr>
          <w:rtl w:val="true"/>
        </w:rPr>
        <w:t>בפעילות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 –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שהיחס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ישקף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הבדלי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8204/14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זלום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15.4.2015</w:t>
      </w:r>
      <w:r>
        <w:rPr>
          <w:rtl w:val="true"/>
        </w:rPr>
        <w:t xml:space="preserve">)). </w:t>
      </w:r>
      <w:r>
        <w:rPr>
          <w:rtl w:val="true"/>
        </w:rPr>
        <w:t>דומני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נשמר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–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–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שכאמור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הבדלי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נראים</w:t>
      </w:r>
      <w:r>
        <w:rPr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הנייר</w:t>
      </w:r>
      <w:r>
        <w:rPr>
          <w:rtl w:val="true"/>
        </w:rPr>
        <w:t xml:space="preserve">":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אשמים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בהתעללות</w:t>
      </w:r>
      <w:r>
        <w:rPr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שעונשו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שא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עוון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בצדו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מכונה</w:t>
      </w:r>
      <w:r>
        <w:rPr>
          <w:rtl w:val="true"/>
        </w:rPr>
        <w:t xml:space="preserve"> </w:t>
      </w:r>
      <w:r>
        <w:rPr>
          <w:rtl w:val="true"/>
        </w:rPr>
        <w:t>שבפיקוחו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שנמצא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 </w:t>
      </w:r>
      <w:r>
        <w:rPr>
          <w:rtl w:val="true"/>
        </w:rPr>
        <w:t>שגרמה</w:t>
      </w:r>
      <w:r>
        <w:rPr>
          <w:rtl w:val="true"/>
        </w:rPr>
        <w:t xml:space="preserve"> </w:t>
      </w:r>
      <w:r>
        <w:rPr>
          <w:rtl w:val="true"/>
        </w:rPr>
        <w:t>לקטיעת</w:t>
      </w:r>
      <w:r>
        <w:rPr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ממבט</w:t>
      </w:r>
      <w:r>
        <w:rPr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הבדלי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נראים</w:t>
      </w:r>
      <w:r>
        <w:rPr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: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שמעשי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בקטינים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; </w:t>
      </w:r>
      <w:r>
        <w:rPr>
          <w:rtl w:val="true"/>
        </w:rPr>
        <w:t>והעבירה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למכונה</w:t>
      </w:r>
      <w:r>
        <w:rPr>
          <w:rtl w:val="true"/>
        </w:rPr>
        <w:t xml:space="preserve"> –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–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לזאת</w:t>
      </w:r>
      <w:r>
        <w:rPr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המכוון</w:t>
      </w:r>
      <w:r>
        <w:rPr>
          <w:rtl w:val="true"/>
        </w:rPr>
        <w:t xml:space="preserve"> </w:t>
      </w:r>
      <w:r>
        <w:rPr>
          <w:rtl w:val="true"/>
        </w:rPr>
        <w:t>והמכוער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הטיח</w:t>
      </w:r>
      <w:r>
        <w:rPr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שזו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העיזה</w:t>
      </w:r>
      <w:r>
        <w:rPr>
          <w:rtl w:val="true"/>
        </w:rPr>
        <w:t xml:space="preserve">" </w:t>
      </w:r>
      <w:r>
        <w:rPr>
          <w:rtl w:val="true"/>
        </w:rPr>
        <w:t>לבכות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ששמעה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גדיעת</w:t>
      </w:r>
      <w:r>
        <w:rPr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כשאני</w:t>
      </w:r>
      <w:r>
        <w:rPr>
          <w:rtl w:val="true"/>
        </w:rPr>
        <w:t xml:space="preserve"> </w:t>
      </w:r>
      <w:r>
        <w:rPr>
          <w:rtl w:val="true"/>
        </w:rPr>
        <w:t>מביא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הפער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המתון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הנני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שעונש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אילולא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בעיקרון</w:t>
      </w:r>
      <w:r>
        <w:rPr>
          <w:rtl w:val="true"/>
        </w:rPr>
        <w:t xml:space="preserve"> </w:t>
      </w:r>
      <w:r>
        <w:rPr>
          <w:rtl w:val="true"/>
        </w:rPr>
        <w:t>השקילות</w:t>
      </w:r>
      <w:r>
        <w:rPr>
          <w:rtl w:val="true"/>
        </w:rPr>
        <w:t xml:space="preserve"> </w:t>
      </w:r>
      <w:r>
        <w:rPr>
          <w:rtl w:val="true"/>
        </w:rPr>
        <w:t>והאחידות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יופחת</w:t>
      </w:r>
      <w:r>
        <w:rPr>
          <w:rtl w:val="true"/>
        </w:rPr>
        <w:t xml:space="preserve"> </w:t>
      </w:r>
      <w:r>
        <w:rPr>
          <w:rtl w:val="true"/>
        </w:rPr>
        <w:t>לארבע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הרכיבים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יעמדו</w:t>
      </w:r>
      <w:r>
        <w:rPr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5.9.2021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>
          <w:sz w:val="16"/>
        </w:rPr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20089370</w:t>
      </w:r>
      <w:r>
        <w:rPr>
          <w:sz w:val="16"/>
          <w:rtl w:val="true"/>
        </w:rPr>
        <w:t>_</w:t>
      </w:r>
      <w:r>
        <w:rPr>
          <w:sz w:val="16"/>
        </w:rPr>
        <w:t>F04.docx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54678313-8937/20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8937/20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  <w:sz w:val="28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  <w:sz w:val="28"/>
    </w:rPr>
  </w:style>
  <w:style w:type="character" w:styleId="WW8Num13z1">
    <w:name w:val="WW8Num1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/>
  </w:style>
  <w:style w:type="character" w:styleId="PageNumber">
    <w:name w:val="page number"/>
    <w:rPr>
      <w:rFonts w:cs="Times New Roman"/>
    </w:rPr>
  </w:style>
  <w:style w:type="character" w:styleId="Ruller3">
    <w:name w:val="Ruller 3 תו"/>
    <w:qFormat/>
    <w:rPr>
      <w:sz w:val="28"/>
      <w:lang w:val="en-US"/>
    </w:rPr>
  </w:style>
  <w:style w:type="character" w:styleId="BodyRuller">
    <w:name w:val="Body Ruller תו"/>
    <w:qFormat/>
    <w:rPr>
      <w:sz w:val="28"/>
      <w:lang w:val="en-US"/>
    </w:rPr>
  </w:style>
  <w:style w:type="character" w:styleId="Ruller38">
    <w:name w:val="סגנון Ruller 3 + (מורכב) ‏8 נק תו"/>
    <w:qFormat/>
    <w:rPr>
      <w:sz w:val="16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abs>
        <w:tab w:val="left" w:pos="800" w:leader="none"/>
        <w:tab w:val="left" w:pos="907" w:leader="none"/>
      </w:tabs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99147" TargetMode="External"/><Relationship Id="rId3" Type="http://schemas.openxmlformats.org/officeDocument/2006/relationships/hyperlink" Target="http://www.nevo.co.il/case/25865000" TargetMode="External"/><Relationship Id="rId4" Type="http://schemas.openxmlformats.org/officeDocument/2006/relationships/hyperlink" Target="http://www.nevo.co.il/case/2586500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38.a.4" TargetMode="External"/><Relationship Id="rId7" Type="http://schemas.openxmlformats.org/officeDocument/2006/relationships/hyperlink" Target="http://www.nevo.co.il/law/70301/368c" TargetMode="External"/><Relationship Id="rId8" Type="http://schemas.openxmlformats.org/officeDocument/2006/relationships/hyperlink" Target="http://www.nevo.co.il/law/70301/376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case/25499147" TargetMode="External"/><Relationship Id="rId11" Type="http://schemas.openxmlformats.org/officeDocument/2006/relationships/hyperlink" Target="http://www.nevo.co.il/case/25865000" TargetMode="External"/><Relationship Id="rId12" Type="http://schemas.openxmlformats.org/officeDocument/2006/relationships/hyperlink" Target="http://www.nevo.co.il/law/70301/37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76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68c" TargetMode="External"/><Relationship Id="rId18" Type="http://schemas.openxmlformats.org/officeDocument/2006/relationships/hyperlink" Target="http://www.nevo.co.il/law/70301/338.a.4" TargetMode="External"/><Relationship Id="rId19" Type="http://schemas.openxmlformats.org/officeDocument/2006/relationships/hyperlink" Target="http://www.nevo.co.il/case/20033641" TargetMode="External"/><Relationship Id="rId20" Type="http://schemas.openxmlformats.org/officeDocument/2006/relationships/hyperlink" Target="http://www.nevo.co.il/case/6088001" TargetMode="External"/><Relationship Id="rId21" Type="http://schemas.openxmlformats.org/officeDocument/2006/relationships/hyperlink" Target="http://www.nevo.co.il/case/5913440" TargetMode="External"/><Relationship Id="rId22" Type="http://schemas.openxmlformats.org/officeDocument/2006/relationships/hyperlink" Target="http://www.nevo.co.il/case/6247115" TargetMode="External"/><Relationship Id="rId23" Type="http://schemas.openxmlformats.org/officeDocument/2006/relationships/hyperlink" Target="http://www.nevo.co.il/case/27309272" TargetMode="External"/><Relationship Id="rId24" Type="http://schemas.openxmlformats.org/officeDocument/2006/relationships/hyperlink" Target="http://www.nevo.co.il/case/6159820" TargetMode="External"/><Relationship Id="rId25" Type="http://schemas.openxmlformats.org/officeDocument/2006/relationships/hyperlink" Target="http://www.nevo.co.il/case/25029385" TargetMode="External"/><Relationship Id="rId26" Type="http://schemas.openxmlformats.org/officeDocument/2006/relationships/hyperlink" Target="http://www.nevo.co.il/case/20191648" TargetMode="External"/><Relationship Id="rId27" Type="http://schemas.openxmlformats.org/officeDocument/2006/relationships/hyperlink" Target="https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2021-09-09T19:17:00Z</dcterms:created>
  <dc:creator> </dc:creator>
  <dc:description/>
  <cp:keywords/>
  <dc:language>en-IL</dc:language>
  <cp:lastModifiedBy>orly</cp:lastModifiedBy>
  <cp:lastPrinted>2021-09-02T16:15:00Z</cp:lastPrinted>
  <dcterms:modified xsi:type="dcterms:W3CDTF">2021-09-09T19:17:00Z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25499147:2;25865000:2;20033641;6088001;5913440;6247115;27309272;6159820;25029385;20191648</vt:lpwstr>
  </property>
  <property fmtid="{D5CDD505-2E9C-101B-9397-08002B2CF9AE}" pid="9" name="CITY">
    <vt:lpwstr/>
  </property>
  <property fmtid="{D5CDD505-2E9C-101B-9397-08002B2CF9AE}" pid="10" name="DATE">
    <vt:lpwstr>20210905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שטיין;נ' הנדל</vt:lpwstr>
  </property>
  <property fmtid="{D5CDD505-2E9C-101B-9397-08002B2CF9AE}" pid="14" name="LAWLISTTMP1">
    <vt:lpwstr>70301/376:2;379;368c;338.a.4</vt:lpwstr>
  </property>
  <property fmtid="{D5CDD505-2E9C-101B-9397-08002B2CF9AE}" pid="15" name="LAWYER">
    <vt:lpwstr>עילית מידן;שמעון תורג'מן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אחדות הענישה</vt:lpwstr>
  </property>
  <property fmtid="{D5CDD505-2E9C-101B-9397-08002B2CF9AE}" pid="49" name="NOSE310">
    <vt:lpwstr/>
  </property>
  <property fmtid="{D5CDD505-2E9C-101B-9397-08002B2CF9AE}" pid="50" name="NOSE32">
    <vt:lpwstr>התערבות ערכאת הערעור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12547;8978;8994;15230</vt:lpwstr>
  </property>
  <property fmtid="{D5CDD505-2E9C-101B-9397-08002B2CF9AE}" pid="59" name="PADIDATE">
    <vt:lpwstr>20210912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8937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410120210905</vt:lpwstr>
  </property>
  <property fmtid="{D5CDD505-2E9C-101B-9397-08002B2CF9AE}" pid="69" name="TYPE_N_DATE">
    <vt:lpwstr>41020210905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