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8956/20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מרטינס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35652-04-18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29.11.2020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3"/>
        <w:gridCol w:w="255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5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31.03.2022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שנהב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יורם רבין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8" w:name="LawTable"/>
      <w:bookmarkEnd w:id="8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).,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אבטחה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וגמלה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הורג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לקנטורו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והחדש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להתקיימותה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שגמלה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מפתחות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וגניבת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מכשירו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למותה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והצטייד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Miriam"/>
          <w:b/>
          <w:sz w:val="24"/>
          <w:szCs w:val="24"/>
          <w:u w:val="single"/>
        </w:rPr>
      </w:pPr>
      <w:r>
        <w:rPr>
          <w:rFonts w:cs="Miriam" w:ascii="Century" w:hAnsi="Century"/>
          <w:b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Normal"/>
        <w:ind w:end="0"/>
        <w:jc w:val="both"/>
        <w:rPr>
          <w:rFonts w:ascii="Century" w:hAnsi="Century" w:cs="Miriam"/>
          <w:b/>
          <w:u w:val="single"/>
        </w:rPr>
      </w:pPr>
      <w:r>
        <w:rPr>
          <w:rFonts w:cs="Miriam" w:ascii="Century" w:hAnsi="Century"/>
          <w:b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סגן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הנשיא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נויטל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ט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חיימוביץ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ביבי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35652-04-18</w:t>
        </w:r>
      </w:hyperlink>
      <w:r>
        <w:rPr>
          <w:rFonts w:cs="FrankRuehl" w:ascii="Century" w:hAnsi="Century"/>
          <w:spacing w:val="10"/>
          <w:szCs w:val="28"/>
          <w:u w:val="single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15.9.2020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29.11.2020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אליזבת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>),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258,000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התגוררו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בניהולו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פרידתם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התגלע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28.3.2018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15:45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יתועד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נקלעו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לוויכוח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כעשר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משסירבה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צועק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לעברה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FrankRuehl"/>
          <w:spacing w:val="10"/>
          <w:szCs w:val="28"/>
          <w:rtl w:val="true"/>
        </w:rPr>
        <w:t>הורג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אותך</w:t>
      </w:r>
      <w:r>
        <w:rPr>
          <w:rFonts w:cs="FrankRuehl" w:ascii="Century" w:hAnsi="Century"/>
          <w:spacing w:val="10"/>
          <w:szCs w:val="28"/>
          <w:rtl w:val="true"/>
        </w:rPr>
        <w:t xml:space="preserve">..." </w:t>
      </w:r>
      <w:r>
        <w:rPr>
          <w:rFonts w:ascii="Century" w:hAnsi="Century" w:cs="FrankRuehl"/>
          <w:spacing w:val="10"/>
          <w:szCs w:val="28"/>
          <w:rtl w:val="true"/>
        </w:rPr>
        <w:t>והתעלם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מזעקותיה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בבטנה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במותנה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וברגלה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לזעקות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 w:ascii="Century" w:hAnsi="Century"/>
          <w:b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מההקלטה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הקלטת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הפלאפון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משתקפת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עדות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אינדיקציות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שגמלה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דו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נתיחת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הגופה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ומיקומן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עכורים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מתפתחת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יתועד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הוויכוח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שהתגלע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וסירבה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להחזירו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הוויכוח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עשתונותיו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והונחה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המטבח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המגנטי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במטבח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83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84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ממצלמת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ובהודעותיו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מסביבו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נלקחה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הקלטת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זעקותיה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צעקה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החוזרות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תכליתו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סופו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בבוחנו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ברכושנות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ובאובססיביות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רוכשת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הבקבוקים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ידיעתה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והתגנב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אינטימי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לאחר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ולתכנונו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להיפך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והסתרתה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במטבח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והכנסתם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מעדויותיו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בביטויים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פוגעניים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ומזלזלים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שהריגתה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ספונטני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בתוצאתו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קונטר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לאובדן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עשתונות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מהלכיו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התמקד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בעסק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התכוון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הכין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נבחנו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לנקוט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סכסוך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שהתגלע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לשוטרים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מספר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מנותקות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יתועד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דלפק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משהובהר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הדלפק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משולחן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לדלפק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המתפתחת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העומדות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קוהרנטיות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בגרסאותיו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בבוחנו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המפגש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שהקלטתו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בתחילתו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תסתלק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התחוור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והטרגי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הפלאפון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צעק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עכשיו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מתרחק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נקישה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לנטילת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תימוכין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וגבוה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מאוימת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מאומץ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נופל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זעקה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?"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ונשמעות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וצועקת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ההקלטה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הצרחות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מתרחקות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זזים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מתנשפת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לצרחותיה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וזעקותיה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חבטות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מוטחים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מחרחרת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בכבדות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ולברוח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60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מתוארים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תשעה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פצעי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בבטן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ומשמאל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ומשמאל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השמאלית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מתוארים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חתכים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הידיים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בפטמה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השמאלית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הפצעים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מושחזת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חבלתיים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רישומו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שלחובתו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הצהרות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נרצחה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מתגוררת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באיטליה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נאלצה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לאיטליה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ביכולתה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הטרגדיה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שהתרחשה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מתגוררת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באיטליה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לנפשה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כשקיבלה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ונעדרת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משאבים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אכזרית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רכושו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לאכזריות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מזעקותיה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בתצהיריהן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חסרות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וכספיים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נאלצה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לאיטליה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משנותרה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פיצוי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בשיעור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המרבי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77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258,000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וטיעוניו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מדוקדקת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המבוססים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שנאספו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גנבה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לדרכה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לעצור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שגנבה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עשתונותיו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חילופי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שהביאו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בלהט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הוויכוח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מהמטבח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הדלפק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המטבח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ולהפחידה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שתסכים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להחזיר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טפח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מהלהב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ומשהחלו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להיאבק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שאחזה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ולדימום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מאבק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התגבשה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בטיעוניו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הופתע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מתגובתה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העוצמתית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והמיידית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שהכניעה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מושכלת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להפסיק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גיבש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מאורגנת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נמלט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והודיע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וחייג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עלבונות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שהטיחה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גניבת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חידוש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הוויכוח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סירובה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גניבת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פוטנציאל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והרגזה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תכיפות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מופחתת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לחלופין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הבסיסית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).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מבטא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בהריגת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298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ולחלופין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בטיעוניה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ואובססיבית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הניתוח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התהוותה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להורגה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והמרכזית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לעסק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היערכותו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בסיליקון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ובגלל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ותיעוב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במחשבה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ושקילה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נשללת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פוזיטיבי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עשתונות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בלהט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הממתנות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ומציינים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ביושבנו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ומהשתלבותן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7229/20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מירזייב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20.12.2021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מירזייב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6080/20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מירזייב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מתעדת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רגעיה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מחריד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זעקותיה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המצמררות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ונשימותיה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מתכוון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מהימנותו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הבולטות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היורדים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המתפתחת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המצלמות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להסתיר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הניתוק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ביודעו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ורצונו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במצלמות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אומרים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שנובעים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יתועד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מטבח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תימוכין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מילולית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שינקוט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שגמלה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המסומנת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מריץ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תימוכין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אליאנה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וְבנסה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הבכורה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והאובססיבית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ופנויה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גמלה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והחליפה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מנעול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הדלת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שבצידה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הרצח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מחמירות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300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Style14"/>
        <w:ind w:end="1276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Style14"/>
        <w:ind w:end="1276"/>
        <w:jc w:val="both"/>
        <w:rPr/>
      </w:pPr>
      <w:r>
        <w:rPr>
          <w:rtl w:val="true"/>
        </w:rPr>
        <w:t>"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</w:p>
    <w:p>
      <w:pPr>
        <w:pStyle w:val="Style14"/>
        <w:ind w:end="1276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;"</w:t>
      </w:r>
    </w:p>
    <w:p>
      <w:pPr>
        <w:pStyle w:val="Style16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המנויה</w:t>
      </w:r>
      <w:r>
        <w:rPr>
          <w:rFonts w:eastAsia="Garamond" w:cs="Garamond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נועדה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להחליף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רעיוני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 </w:t>
      </w:r>
      <w:r>
        <w:rPr>
          <w:rtl w:val="true"/>
        </w:rPr>
        <w:t>כנוסחה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יסודותיה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שהרכיבו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 </w:t>
      </w:r>
      <w:r>
        <w:rPr>
          <w:rtl w:val="true"/>
        </w:rPr>
        <w:t>בדין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בנחישותו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קורבנו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שרקם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והתגבר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מוסריים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מרדכי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Garamond" w:cs="Garamond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Fonts w:eastAsia="Garamond" w:cs="Garamond"/>
          <w:rtl w:val="true"/>
        </w:rPr>
        <w:t xml:space="preserve"> </w:t>
      </w:r>
      <w:r>
        <w:rPr/>
        <w:t>444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tl w:val="true"/>
        </w:rPr>
        <w:t xml:space="preserve">). </w:t>
      </w:r>
    </w:p>
    <w:p>
      <w:pPr>
        <w:pStyle w:val="Style15"/>
        <w:ind w:end="0"/>
        <w:jc w:val="both"/>
        <w:rPr/>
      </w:pPr>
      <w:r>
        <w:rPr>
          <w:rtl w:val="true"/>
        </w:rPr>
        <w:t>נשאלת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"?</w:t>
      </w:r>
    </w:p>
    <w:p>
      <w:pPr>
        <w:pStyle w:val="Style15"/>
        <w:ind w:end="0"/>
        <w:jc w:val="both"/>
        <w:rPr/>
      </w:pPr>
      <w:r>
        <w:rPr>
          <w:rtl w:val="true"/>
        </w:rPr>
        <w:t>בפרשה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ולביטוי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", </w:t>
      </w:r>
      <w:r>
        <w:rPr>
          <w:rtl w:val="true"/>
        </w:rPr>
        <w:t>כמובנם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eastAsia="Garamond" w:cs="Garamond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וקבעתי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ונדמה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לפרשנותה</w:t>
      </w:r>
      <w:r>
        <w:rPr>
          <w:rtl w:val="true"/>
        </w:rPr>
        <w:t xml:space="preserve">;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 </w:t>
      </w:r>
      <w:r>
        <w:rPr>
          <w:color w:val="000000"/>
          <w:rtl w:val="true"/>
        </w:rPr>
        <w:t>בסעיף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300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29-28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Arial TUR;Arial" w:hAnsi="Arial TUR;Arial"/>
          <w:spacing w:val="10"/>
          <w:szCs w:val="28"/>
        </w:rPr>
        <w:t>29</w:t>
      </w:r>
      <w:r>
        <w:rPr>
          <w:rFonts w:cs="FrankRuehl" w:ascii="Arial TUR;Arial" w:hAnsi="Arial TUR;Arial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בהתפרצות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ספונטני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ההצטיידות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גדולה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ומאמץ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כמובנו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החתך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השתקפה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תימוכין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הזעיק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שנשימתה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בהקלטה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להפסקתה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להסתובב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בעסק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ששכפל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להכניס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ספונטני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הבסיסית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סותרות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כזכור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קונטר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הספונטניות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Style14"/>
        <w:ind w:end="1276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Style14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" (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Fonts w:ascii="Century" w:hAnsi="Century" w:cs="Miriam"/>
            <w:b/>
            <w:b/>
            <w:color w:val="00000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zCs w:val="24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437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שגנבה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שהטיחה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נזכרים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כביכול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כבושה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ברגלה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כהתגרות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תקיפתו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לקנטורו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התבטאויותיה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וקללותיה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לגניבת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במכשירו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הופתע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בתכוף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עשתונותיו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5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1159/13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מיכלוב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27-26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6.1.2016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5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סוגיית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מופחתת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5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מנוסחת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Style14"/>
        <w:ind w:end="1276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Style14"/>
        <w:ind w:end="1276"/>
        <w:jc w:val="both"/>
        <w:rPr>
          <w:rFonts w:ascii="Garamond" w:hAnsi="Garamond" w:cs="Garamond"/>
          <w:sz w:val="24"/>
        </w:rPr>
      </w:pPr>
      <w:r>
        <w:rPr>
          <w:rtl w:val="true"/>
        </w:rPr>
        <w:tab/>
      </w:r>
      <w:r>
        <w:rPr>
          <w:rtl w:val="true"/>
        </w:rPr>
        <w:t>"</w:t>
      </w:r>
      <w:r>
        <w:rPr/>
        <w:t>301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המפורטות להלן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דינו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מאסר עשרים שנים</w:t>
      </w:r>
      <w:r>
        <w:rPr>
          <w:rFonts w:cs="Garamond" w:ascii="Garamond" w:hAnsi="Garamond"/>
          <w:sz w:val="24"/>
          <w:rtl w:val="true"/>
        </w:rPr>
        <w:t>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1">
                <wp:simplePos x="0" y="0"/>
                <wp:positionH relativeFrom="column">
                  <wp:posOffset>-1574165</wp:posOffset>
                </wp:positionH>
                <wp:positionV relativeFrom="paragraph">
                  <wp:posOffset>102235</wp:posOffset>
                </wp:positionV>
                <wp:extent cx="953135" cy="46799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467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36.85pt;mso-wrap-distance-left:9.05pt;mso-wrap-distance-right:9.05pt;mso-wrap-distance-top:0pt;mso-wrap-distance-bottom:0pt;margin-top:8.05pt;mso-position-vertical-relative:text;margin-left:-123.9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4"/>
        <w:ind w:end="1276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1</w:t>
      </w:r>
      <w:r>
        <w:rPr>
          <w:rFonts w:cs="Garamond" w:ascii="Garamond" w:hAnsi="Garamond"/>
          <w:sz w:val="24"/>
          <w:rtl w:val="true"/>
        </w:rPr>
        <w:t>)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המעשה בוצע בתכוף לאחר התגרות כלפי הנאשם ובתגובה לאותה התגרות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ובלבד שמתקיימים שניים אלה</w:t>
      </w:r>
      <w:r>
        <w:rPr>
          <w:rFonts w:cs="Garamond" w:ascii="Garamond" w:hAnsi="Garamond"/>
          <w:sz w:val="24"/>
          <w:rtl w:val="true"/>
        </w:rPr>
        <w:t>:</w:t>
      </w:r>
    </w:p>
    <w:p>
      <w:pPr>
        <w:pStyle w:val="Style14"/>
        <w:ind w:end="1276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cs="Garamond" w:ascii="Garamond" w:hAnsi="Garamond"/>
          <w:sz w:val="24"/>
          <w:rtl w:val="true"/>
        </w:rPr>
        <w:t>)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בעקבות ההתגרות הנאשם התקשה במידה ניכרת לשלוט בעצמו</w:t>
      </w:r>
      <w:r>
        <w:rPr>
          <w:rFonts w:cs="Garamond" w:ascii="Garamond" w:hAnsi="Garamond"/>
          <w:sz w:val="24"/>
          <w:rtl w:val="true"/>
        </w:rPr>
        <w:t>;</w:t>
      </w:r>
    </w:p>
    <w:p>
      <w:pPr>
        <w:pStyle w:val="Style14"/>
        <w:ind w:end="1276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ב</w:t>
      </w:r>
      <w:r>
        <w:rPr>
          <w:rFonts w:cs="Garamond" w:ascii="Garamond" w:hAnsi="Garamond"/>
          <w:sz w:val="24"/>
          <w:rtl w:val="true"/>
        </w:rPr>
        <w:t>)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יש בקושי האמור בפסקת משנה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כדי למתן את אשמתו של הנאשם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בשים לב למכלול נסיבות העניין</w:t>
      </w:r>
      <w:r>
        <w:rPr>
          <w:rFonts w:cs="Garamond" w:ascii="Garamond" w:hAnsi="Garamond"/>
          <w:sz w:val="24"/>
          <w:rtl w:val="true"/>
        </w:rPr>
        <w:t xml:space="preserve">;"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  <w:highlight w:val="yellow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מופחתת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מרבי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ממזג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סובייקטיבית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הספציפי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קונטר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סובייקטיבי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וחברתית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  <w:highlight w:val="yellow"/>
        </w:rPr>
      </w:pPr>
      <w:r>
        <w:rPr>
          <w:rFonts w:cs="FrankRuehl" w:ascii="Garamond" w:hAnsi="Garamond"/>
          <w:spacing w:val="10"/>
          <w:sz w:val="24"/>
          <w:szCs w:val="28"/>
          <w:highlight w:val="yellow"/>
          <w:rtl w:val="true"/>
        </w:rPr>
      </w:r>
    </w:p>
    <w:p>
      <w:pPr>
        <w:pStyle w:val="Style14"/>
        <w:ind w:end="1276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tl w:val="true"/>
        </w:rPr>
        <w:t xml:space="preserve">,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אמוציונלית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המקונטר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ומוסרית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למקונטר</w:t>
      </w:r>
      <w:r>
        <w:rPr>
          <w:rtl w:val="true"/>
        </w:rPr>
        <w:t>."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FrankRuehl" w:hAnsi="FrankRuehl"/>
          <w:rtl w:val="true"/>
        </w:rPr>
        <w:t>–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175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Style14"/>
        <w:ind w:end="127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שלושה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תנאים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מצטברים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להתקיימותה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בתכוף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Style14"/>
        <w:ind w:firstLine="516" w:end="1276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Style14"/>
        <w:ind w:firstLine="516" w:end="1276"/>
        <w:jc w:val="both"/>
        <w:rPr/>
      </w:pPr>
      <w:r>
        <w:rPr>
          <w:rtl w:val="true"/>
        </w:rPr>
        <w:t>"</w:t>
      </w:r>
      <w:bookmarkStart w:id="20" w:name="א8558"/>
      <w:bookmarkEnd w:id="20"/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bookmarkStart w:id="21" w:name="_Ref369354627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>,</w:t>
      </w:r>
      <w:bookmarkEnd w:id="21"/>
      <w:r>
        <w:rPr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[...]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bookmarkStart w:id="22" w:name="א7973"/>
      <w:bookmarkEnd w:id="22"/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bookmarkStart w:id="23" w:name="_Ref369354629"/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" </w:t>
      </w:r>
      <w:r>
        <w:rPr>
          <w:rtl w:val="true"/>
        </w:rPr>
        <w:t>נזנח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bookmarkEnd w:id="23"/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>" (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2022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?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תכיפות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לדרישות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שגמלה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קונטר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ההיפך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הנכון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ואדגיש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קרמניצר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וגנאים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446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Style14"/>
        <w:ind w:end="1276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."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טיב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הנטענת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כללה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בשפה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בוטה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וגניבת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מכשירו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הנייד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ותגובתו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נטילת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להב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גדול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הכאת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באמצעותה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ודקירתה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</w:rPr>
        <w:t>9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למותה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ותכנן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למפגש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והצטייד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שהתכוון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במהלך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מתגוננת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זועקת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לעזרה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להימלט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hyperlink r:id="rId5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לשעבר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והפחדות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ובאובססיביות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אגב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סכסוך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בנחישות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מצמררת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המבטא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ולהותיר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 xml:space="preserve">",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;Arial" w:cs="Arial TUR;Arial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</w:rPr>
        <w:instrText xml:space="preserve"> HYPERLINK "http://www.nevo.co.il/law/70301/301a" \l ".a.1"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שבסעיף</w:t>
      </w:r>
      <w:r>
        <w:rPr>
          <w:rtl w:val="true"/>
          <w:rStyle w:val="Hyperlink"/>
        </w:rPr>
        <w:fldChar w:fldCharType="end"/>
      </w:r>
      <w:r>
        <w:rPr>
          <w:rStyle w:val="Hyperlink"/>
          <w:rFonts w:eastAsia="Arial TUR;Arial" w:cs="Arial TUR;Arial"/>
          <w:rtl w:val="true"/>
        </w:rPr>
        <w:t xml:space="preserve"> </w:t>
      </w:r>
      <w:r>
        <w:rPr>
          <w:rStyle w:val="Hyperlink"/>
        </w:rPr>
        <w:t>301</w:t>
      </w:r>
      <w:r>
        <w:rPr>
          <w:rStyle w:val="Hyperlink"/>
          <w:rtl w:val="true"/>
        </w:rPr>
        <w:t>א</w:t>
      </w:r>
      <w:r>
        <w:rPr>
          <w:rStyle w:val="Hyperlink"/>
          <w:rtl w:val="true"/>
        </w:rPr>
        <w:t>.(</w:t>
      </w:r>
      <w:r>
        <w:rPr>
          <w:rStyle w:val="Hyperlink"/>
          <w:rtl w:val="true"/>
        </w:rPr>
        <w:t>א</w:t>
      </w:r>
      <w:r>
        <w:rPr>
          <w:rStyle w:val="Hyperlink"/>
          <w:rtl w:val="true"/>
        </w:rPr>
        <w:t>)(</w:t>
      </w:r>
      <w:r>
        <w:rPr>
          <w:rStyle w:val="Hyperlink"/>
        </w:rPr>
        <w:t>1</w:t>
      </w:r>
      <w:r>
        <w:rPr>
          <w:rStyle w:val="Hyperlink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28.3.2018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ומסודרת</w:t>
      </w:r>
      <w:r>
        <w:rPr>
          <w:rtl w:val="true"/>
        </w:rPr>
        <w:t xml:space="preserve">, </w:t>
      </w:r>
      <w:r>
        <w:rPr>
          <w:rtl w:val="true"/>
        </w:rPr>
        <w:t>שסיכויי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.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)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שרצונו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":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tl w:val="true"/>
        </w:rPr>
        <w:t xml:space="preserve">; </w:t>
      </w:r>
      <w:r>
        <w:rPr>
          <w:rtl w:val="true"/>
        </w:rPr>
        <w:t>הנגיש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שאִפשרו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משנמצא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eastAsia="Arial TUR;Arial" w:cs="Arial TUR;Arial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</w:rPr>
        <w:instrText xml:space="preserve"> HYPERLINK "http://www.nevo.co.il/law/70301/301a" \l ".a.1"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בסעיף</w:t>
      </w:r>
      <w:r>
        <w:rPr>
          <w:rtl w:val="true"/>
          <w:rStyle w:val="Hyperlink"/>
        </w:rPr>
        <w:fldChar w:fldCharType="end"/>
      </w:r>
      <w:r>
        <w:rPr>
          <w:rStyle w:val="Hyperlink"/>
          <w:rFonts w:eastAsia="Arial TUR;Arial" w:cs="Arial TUR;Arial"/>
          <w:rtl w:val="true"/>
        </w:rPr>
        <w:t xml:space="preserve"> </w:t>
      </w:r>
      <w:r>
        <w:rPr>
          <w:rStyle w:val="Hyperlink"/>
        </w:rPr>
        <w:t>301</w:t>
      </w:r>
      <w:r>
        <w:rPr>
          <w:rStyle w:val="Hyperlink"/>
          <w:rtl w:val="true"/>
        </w:rPr>
        <w:t>א</w:t>
      </w:r>
      <w:r>
        <w:rPr>
          <w:rStyle w:val="Hyperlink"/>
          <w:rtl w:val="true"/>
        </w:rPr>
        <w:t>.(</w:t>
      </w:r>
      <w:r>
        <w:rPr>
          <w:rStyle w:val="Hyperlink"/>
          <w:rtl w:val="true"/>
        </w:rPr>
        <w:t>א</w:t>
      </w:r>
      <w:r>
        <w:rPr>
          <w:rStyle w:val="Hyperlink"/>
          <w:rtl w:val="true"/>
        </w:rPr>
        <w:t>)(</w:t>
      </w:r>
      <w:r>
        <w:rPr>
          <w:rStyle w:val="Hyperlink"/>
        </w:rPr>
        <w:t>1</w:t>
      </w:r>
      <w:r>
        <w:rPr>
          <w:rStyle w:val="Hyperlink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cs="Calibri"/>
          <w:szCs w:val="22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.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cs="Calibri"/>
          <w:szCs w:val="22"/>
        </w:rPr>
      </w:pPr>
      <w:r>
        <w:rPr>
          <w:rFonts w:cs="Calibri"/>
          <w:szCs w:val="22"/>
          <w:rtl w:val="true"/>
        </w:rPr>
      </w:r>
    </w:p>
    <w:p>
      <w:pPr>
        <w:pStyle w:val="Ruller4"/>
        <w:ind w:end="0"/>
        <w:jc w:val="both"/>
        <w:rPr>
          <w:rFonts w:cs="Calibri"/>
          <w:szCs w:val="22"/>
        </w:rPr>
      </w:pPr>
      <w:r>
        <w:rPr>
          <w:rFonts w:cs="Calibri"/>
          <w:szCs w:val="22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28.6.2022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20089560</w:t>
      </w:r>
      <w:r>
        <w:rPr>
          <w:sz w:val="16"/>
          <w:rtl w:val="true"/>
        </w:rPr>
        <w:t>_</w:t>
      </w:r>
      <w:r>
        <w:rPr>
          <w:sz w:val="16"/>
        </w:rPr>
        <w:t>J06.docx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54678313-8956/20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8956/20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מרטינס חורחה מריו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FrankRuehl"/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P00">
    <w:name w:val="P00 תו"/>
    <w:qFormat/>
    <w:rPr>
      <w:szCs w:val="26"/>
      <w:lang w:val="en-IL" w:eastAsia="en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Style14">
    <w:name w:val="ציטוט ממורכז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5">
    <w:name w:val="פסקה לא ממוספרת"/>
    <w:basedOn w:val="Normal"/>
    <w:qFormat/>
    <w:pPr>
      <w:spacing w:lineRule="auto" w:line="360" w:before="0" w:after="420"/>
      <w:ind w:firstLine="799" w:start="0" w:end="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Style16">
    <w:name w:val="פסקה ממוספרת"/>
    <w:basedOn w:val="Style15"/>
    <w:next w:val="Style15"/>
    <w:qFormat/>
    <w:pPr>
      <w:numPr>
        <w:ilvl w:val="0"/>
        <w:numId w:val="1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77203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0.a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/300a.a.1" TargetMode="External"/><Relationship Id="rId11" Type="http://schemas.openxmlformats.org/officeDocument/2006/relationships/hyperlink" Target="http://www.nevo.co.il/law/70301/301a" TargetMode="External"/><Relationship Id="rId12" Type="http://schemas.openxmlformats.org/officeDocument/2006/relationships/hyperlink" Target="http://www.nevo.co.il/law/70301/301a.a" TargetMode="External"/><Relationship Id="rId13" Type="http://schemas.openxmlformats.org/officeDocument/2006/relationships/hyperlink" Target="http://www.nevo.co.il/law/70301/301a.a.1" TargetMode="External"/><Relationship Id="rId14" Type="http://schemas.openxmlformats.org/officeDocument/2006/relationships/hyperlink" Target="http://www.nevo.co.il/law/70301/301a.b" TargetMode="External"/><Relationship Id="rId15" Type="http://schemas.openxmlformats.org/officeDocument/2006/relationships/hyperlink" Target="http://www.nevo.co.il/law/70301/301b" TargetMode="External"/><Relationship Id="rId16" Type="http://schemas.openxmlformats.org/officeDocument/2006/relationships/hyperlink" Target="http://www.nevo.co.il/law/70301/301b.b.1" TargetMode="External"/><Relationship Id="rId17" Type="http://schemas.openxmlformats.org/officeDocument/2006/relationships/hyperlink" Target="http://www.nevo.co.il/case/23877203" TargetMode="External"/><Relationship Id="rId18" Type="http://schemas.openxmlformats.org/officeDocument/2006/relationships/hyperlink" Target="http://www.nevo.co.il/law/70301/300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00.a.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7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1b.b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.a" TargetMode="External"/><Relationship Id="rId28" Type="http://schemas.openxmlformats.org/officeDocument/2006/relationships/hyperlink" Target="http://www.nevo.co.il/law/70301/300.a" TargetMode="External"/><Relationship Id="rId29" Type="http://schemas.openxmlformats.org/officeDocument/2006/relationships/hyperlink" Target="http://www.nevo.co.il/law/70301/301a.b" TargetMode="External"/><Relationship Id="rId30" Type="http://schemas.openxmlformats.org/officeDocument/2006/relationships/hyperlink" Target="http://www.nevo.co.il/law/70301/298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1b.b.1" TargetMode="External"/><Relationship Id="rId33" Type="http://schemas.openxmlformats.org/officeDocument/2006/relationships/hyperlink" Target="http://www.nevo.co.il/law/70301/301a.a.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01a.b" TargetMode="External"/><Relationship Id="rId36" Type="http://schemas.openxmlformats.org/officeDocument/2006/relationships/hyperlink" Target="http://www.nevo.co.il/case/27091230" TargetMode="External"/><Relationship Id="rId37" Type="http://schemas.openxmlformats.org/officeDocument/2006/relationships/hyperlink" Target="http://www.nevo.co.il/case/26964729" TargetMode="External"/><Relationship Id="rId38" Type="http://schemas.openxmlformats.org/officeDocument/2006/relationships/hyperlink" Target="http://www.nevo.co.il/law/70301/300a.a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01a.a" TargetMode="External"/><Relationship Id="rId41" Type="http://schemas.openxmlformats.org/officeDocument/2006/relationships/hyperlink" Target="http://www.nevo.co.il/safrut/bookgroup/2063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6205760" TargetMode="External"/><Relationship Id="rId45" Type="http://schemas.openxmlformats.org/officeDocument/2006/relationships/hyperlink" Target="http://www.nevo.co.il/case/27907586" TargetMode="External"/><Relationship Id="rId46" Type="http://schemas.openxmlformats.org/officeDocument/2006/relationships/hyperlink" Target="http://www.nevo.co.il/law/70301/301a.a.1" TargetMode="External"/><Relationship Id="rId47" Type="http://schemas.openxmlformats.org/officeDocument/2006/relationships/hyperlink" Target="http://www.nevo.co.il/law/70301/301b.b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safrut/bookgroup/2258" TargetMode="External"/><Relationship Id="rId50" Type="http://schemas.openxmlformats.org/officeDocument/2006/relationships/hyperlink" Target="http://www.nevo.co.il/case/6183137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01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safrut/bookgroup/2258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s://supreme.court.gov.il/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2022-06-29T09:01:00Z</dcterms:created>
  <dc:creator>h4</dc:creator>
  <dc:description/>
  <cp:keywords/>
  <dc:language>en-IL</dc:language>
  <cp:lastModifiedBy>orly</cp:lastModifiedBy>
  <cp:lastPrinted>2022-06-28T08:02:00Z</cp:lastPrinted>
  <dcterms:modified xsi:type="dcterms:W3CDTF">2022-06-29T09:01:00Z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מרטינס חורחה מריו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SLISTTMP1">
    <vt:lpwstr>23877203:2;27091230;26964729;26205760;27907586;6183137</vt:lpwstr>
  </property>
  <property fmtid="{D5CDD505-2E9C-101B-9397-08002B2CF9AE}" pid="10" name="CITY">
    <vt:lpwstr/>
  </property>
  <property fmtid="{D5CDD505-2E9C-101B-9397-08002B2CF9AE}" pid="11" name="DATE">
    <vt:lpwstr>20220628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אלרון;ע' גרוסקופף;א' שטיין</vt:lpwstr>
  </property>
  <property fmtid="{D5CDD505-2E9C-101B-9397-08002B2CF9AE}" pid="15" name="LAWLISTTMP1">
    <vt:lpwstr>70301/300.a.2:2;077;301b.b.1:3;300.a:2;301a.b:2;298;301a.a.1:3;300a.a.1;301a.a;301b;301a:2</vt:lpwstr>
  </property>
  <property fmtid="{D5CDD505-2E9C-101B-9397-08002B2CF9AE}" pid="16" name="LAWYER">
    <vt:lpwstr>עידית פרג'ון;עופר אשכנזי;שנהב מצה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BOOKNEVO">
    <vt:lpwstr>2258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עבירת הרצח</vt:lpwstr>
  </property>
  <property fmtid="{D5CDD505-2E9C-101B-9397-08002B2CF9AE}" pid="40" name="NOSE210">
    <vt:lpwstr/>
  </property>
  <property fmtid="{D5CDD505-2E9C-101B-9397-08002B2CF9AE}" pid="41" name="NOSE22">
    <vt:lpwstr>עבירת הרצח</vt:lpwstr>
  </property>
  <property fmtid="{D5CDD505-2E9C-101B-9397-08002B2CF9AE}" pid="42" name="NOSE23">
    <vt:lpwstr>עבירת הרצח</vt:lpwstr>
  </property>
  <property fmtid="{D5CDD505-2E9C-101B-9397-08002B2CF9AE}" pid="43" name="NOSE24">
    <vt:lpwstr>עבירות</vt:lpwstr>
  </property>
  <property fmtid="{D5CDD505-2E9C-101B-9397-08002B2CF9AE}" pid="44" name="NOSE25">
    <vt:lpwstr>עבירות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12455;12455;12455;1443;1443</vt:lpwstr>
  </property>
  <property fmtid="{D5CDD505-2E9C-101B-9397-08002B2CF9AE}" pid="50" name="NOSE31">
    <vt:lpwstr>הכנה</vt:lpwstr>
  </property>
  <property fmtid="{D5CDD505-2E9C-101B-9397-08002B2CF9AE}" pid="51" name="NOSE310">
    <vt:lpwstr/>
  </property>
  <property fmtid="{D5CDD505-2E9C-101B-9397-08002B2CF9AE}" pid="52" name="NOSE32">
    <vt:lpwstr>קנטור</vt:lpwstr>
  </property>
  <property fmtid="{D5CDD505-2E9C-101B-9397-08002B2CF9AE}" pid="53" name="NOSE33">
    <vt:lpwstr>תיקון 137</vt:lpwstr>
  </property>
  <property fmtid="{D5CDD505-2E9C-101B-9397-08002B2CF9AE}" pid="54" name="NOSE34">
    <vt:lpwstr>רצח בכוונה תחילה</vt:lpwstr>
  </property>
  <property fmtid="{D5CDD505-2E9C-101B-9397-08002B2CF9AE}" pid="55" name="NOSE35">
    <vt:lpwstr>נסיבות מחמירות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15285;12456;18905;17798;12950</vt:lpwstr>
  </property>
  <property fmtid="{D5CDD505-2E9C-101B-9397-08002B2CF9AE}" pid="61" name="PADIDATE">
    <vt:lpwstr>20220629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8956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410120220628</vt:lpwstr>
  </property>
  <property fmtid="{D5CDD505-2E9C-101B-9397-08002B2CF9AE}" pid="71" name="TYPE_N_DATE">
    <vt:lpwstr>41020220628</vt:lpwstr>
  </property>
  <property fmtid="{D5CDD505-2E9C-101B-9397-08002B2CF9AE}" pid="72" name="VOLUME">
    <vt:lpwstr/>
  </property>
  <property fmtid="{D5CDD505-2E9C-101B-9397-08002B2CF9AE}" pid="73" name="WORDNUMPAGES">
    <vt:lpwstr>25</vt:lpwstr>
  </property>
</Properties>
</file>