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501" w:type="dxa"/>
        <w:jc w:val="start"/>
        <w:tblInd w:w="0" w:type="dxa"/>
        <w:tblLayout w:type="fixed"/>
        <w:tblCellMar>
          <w:top w:w="0" w:type="dxa"/>
          <w:start w:w="108" w:type="dxa"/>
          <w:bottom w:w="0" w:type="dxa"/>
          <w:end w:w="108" w:type="dxa"/>
        </w:tblCellMar>
      </w:tblPr>
      <w:tblGrid>
        <w:gridCol w:w="8501"/>
      </w:tblGrid>
      <w:tr>
        <w:trPr>
          <w:trHeight w:val="342" w:hRule="atLeast"/>
        </w:trPr>
        <w:tc>
          <w:tcPr>
            <w:tcW w:w="8501"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8963/17</w:t>
            </w:r>
          </w:p>
        </w:tc>
      </w:tr>
    </w:tbl>
    <w:p>
      <w:pPr>
        <w:pStyle w:val="Normal"/>
        <w:ind w:end="0"/>
        <w:jc w:val="end"/>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rFonts w:cs="Miriam"/>
                <w:b/>
                <w:bCs/>
              </w:rPr>
            </w:pPr>
            <w:r>
              <w:rPr>
                <w:rtl w:val="true"/>
              </w:rPr>
              <w:t>ל</w:t>
            </w:r>
            <w:r>
              <w:rPr>
                <w:rtl w:val="true"/>
              </w:rPr>
              <w:t>פני</w:t>
            </w:r>
            <w:r>
              <w:rPr>
                <w:rtl w:val="true"/>
              </w:rPr>
              <w:t>:</w:t>
              <w:tab/>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שהם</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r>
        <w:trPr>
          <w:trHeight w:val="287" w:hRule="atLeast"/>
        </w:trPr>
        <w:tc>
          <w:tcPr>
            <w:tcW w:w="3284" w:type="dxa"/>
            <w:tcBorders/>
          </w:tcPr>
          <w:p>
            <w:pPr>
              <w:pStyle w:val="BodyRuller1"/>
              <w:snapToGrid w:val="false"/>
              <w:ind w:end="0"/>
              <w:jc w:val="start"/>
              <w:rPr/>
            </w:pPr>
            <w:r>
              <w:rPr>
                <w:rtl w:val="true"/>
              </w:rPr>
            </w:r>
            <w:bookmarkStart w:id="1" w:name="LastJudge"/>
            <w:bookmarkStart w:id="2" w:name="LastJudge"/>
            <w:bookmarkEnd w:id="2"/>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י</w:t>
            </w:r>
            <w:r>
              <w:rPr>
                <w:rtl w:val="true"/>
              </w:rPr>
              <w:t xml:space="preserve">' </w:t>
            </w:r>
            <w:r>
              <w:rPr>
                <w:rtl w:val="true"/>
              </w:rPr>
              <w:t>וילנר</w:t>
            </w:r>
          </w:p>
        </w:tc>
      </w:tr>
    </w:tbl>
    <w:p>
      <w:pPr>
        <w:pStyle w:val="Ruller31"/>
        <w:ind w:end="0"/>
        <w:jc w:val="start"/>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3" w:name="FirstAppellant"/>
            <w:bookmarkEnd w:id="3"/>
            <w:r>
              <w:rPr>
                <w:rtl w:val="true"/>
              </w:rPr>
              <w:t>המערער</w:t>
            </w:r>
            <w:r>
              <w:rPr>
                <w:rtl w:val="true"/>
              </w:rPr>
              <w:t>:</w:t>
            </w:r>
          </w:p>
        </w:tc>
        <w:tc>
          <w:tcPr>
            <w:tcW w:w="5238" w:type="dxa"/>
            <w:tcBorders/>
          </w:tcPr>
          <w:p>
            <w:pPr>
              <w:pStyle w:val="BodyRuller1"/>
              <w:ind w:end="0"/>
              <w:jc w:val="start"/>
              <w:rPr/>
            </w:pPr>
            <w:r>
              <w:rPr>
                <w:rtl w:val="true"/>
              </w:rPr>
              <w:t>כפיר</w:t>
            </w:r>
            <w:r>
              <w:rPr>
                <w:rFonts w:cs="Times New Roman"/>
                <w:rtl w:val="true"/>
              </w:rPr>
              <w:t xml:space="preserve"> </w:t>
            </w:r>
            <w:r>
              <w:rPr>
                <w:rtl w:val="true"/>
              </w:rPr>
              <w:t>ששון</w:t>
            </w:r>
          </w:p>
        </w:tc>
      </w:tr>
    </w:tbl>
    <w:p>
      <w:pPr>
        <w:pStyle w:val="Ruller31"/>
        <w:ind w:end="0"/>
        <w:jc w:val="start"/>
        <w:rPr/>
      </w:pPr>
      <w:r>
        <w:rPr>
          <w:rtl w:val="true"/>
        </w:rPr>
        <w:tab/>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המשיבים</w:t>
            </w:r>
            <w:r>
              <w:rPr>
                <w:rtl w:val="true"/>
              </w:rPr>
              <w:t>:</w:t>
            </w:r>
          </w:p>
        </w:tc>
        <w:tc>
          <w:tcPr>
            <w:tcW w:w="5238" w:type="dxa"/>
            <w:tcBorders/>
          </w:tcPr>
          <w:p>
            <w:pPr>
              <w:pStyle w:val="BodyRuller1"/>
              <w:ind w:end="0"/>
              <w:jc w:val="start"/>
              <w:rPr/>
            </w:pPr>
            <w:r>
              <w:rPr/>
              <w:t>1</w:t>
            </w:r>
            <w:r>
              <w:rPr>
                <w:rtl w:val="true"/>
              </w:rPr>
              <w:t xml:space="preserve">. </w:t>
            </w:r>
            <w:r>
              <w:rPr>
                <w:rtl w:val="true"/>
              </w:rPr>
              <w:t>מדינת</w:t>
            </w:r>
            <w:r>
              <w:rPr>
                <w:rFonts w:cs="Times New Roman"/>
                <w:rtl w:val="true"/>
              </w:rPr>
              <w:t xml:space="preserve"> </w:t>
            </w:r>
            <w:r>
              <w:rPr>
                <w:rtl w:val="true"/>
              </w:rPr>
              <w:t>ישראל</w:t>
            </w:r>
          </w:p>
        </w:tc>
      </w:tr>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t>2</w:t>
            </w:r>
            <w:r>
              <w:rPr>
                <w:rtl w:val="true"/>
              </w:rPr>
              <w:t xml:space="preserve">. </w:t>
            </w:r>
            <w:r>
              <w:rPr>
                <w:rtl w:val="true"/>
              </w:rPr>
              <w:t>דניאל</w:t>
            </w:r>
            <w:r>
              <w:rPr>
                <w:rFonts w:cs="Times New Roman"/>
                <w:rtl w:val="true"/>
              </w:rPr>
              <w:t xml:space="preserve"> </w:t>
            </w:r>
            <w:r>
              <w:rPr>
                <w:rtl w:val="true"/>
              </w:rPr>
              <w:t>בן</w:t>
            </w:r>
            <w:r>
              <w:rPr>
                <w:rFonts w:cs="Times New Roman"/>
                <w:rtl w:val="true"/>
              </w:rPr>
              <w:t xml:space="preserve"> </w:t>
            </w:r>
            <w:r>
              <w:rPr>
                <w:rtl w:val="true"/>
              </w:rPr>
              <w:t>דוד</w:t>
            </w:r>
          </w:p>
        </w:tc>
      </w:tr>
    </w:tbl>
    <w:p>
      <w:pPr>
        <w:pStyle w:val="Ruller31"/>
        <w:ind w:end="0"/>
        <w:jc w:val="start"/>
        <w:rPr/>
      </w:pPr>
      <w:r>
        <w:rPr>
          <w:rtl w:val="true"/>
        </w:rPr>
        <w:tab/>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Cs w:val="24"/>
                <w:rtl w:val="true"/>
              </w:rPr>
              <w:t>(</w:t>
            </w:r>
            <w:r>
              <w:rPr>
                <w:sz w:val="24"/>
                <w:sz w:val="24"/>
                <w:szCs w:val="24"/>
                <w:rtl w:val="true"/>
              </w:rPr>
              <w:t>מיום</w:t>
            </w:r>
            <w:r>
              <w:rPr>
                <w:rFonts w:cs="Times New Roman"/>
                <w:sz w:val="24"/>
                <w:sz w:val="24"/>
                <w:szCs w:val="24"/>
                <w:rtl w:val="true"/>
              </w:rPr>
              <w:t xml:space="preserve"> </w:t>
            </w:r>
            <w:r>
              <w:rPr>
                <w:sz w:val="24"/>
                <w:szCs w:val="24"/>
              </w:rPr>
              <w:t>7.9.2017</w:t>
            </w:r>
            <w:r>
              <w:rPr>
                <w:sz w:val="24"/>
                <w:szCs w:val="24"/>
                <w:rtl w:val="true"/>
              </w:rPr>
              <w:t xml:space="preserve">) </w:t>
            </w:r>
            <w:r>
              <w:rPr>
                <w:sz w:val="24"/>
                <w:sz w:val="24"/>
                <w:szCs w:val="24"/>
                <w:rtl w:val="true"/>
              </w:rPr>
              <w:t>וגזר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tl w:val="true"/>
              </w:rPr>
              <w:t>(</w:t>
            </w:r>
            <w:r>
              <w:rPr>
                <w:sz w:val="24"/>
                <w:szCs w:val="24"/>
              </w:rPr>
              <w:t>23.10.2017</w:t>
            </w:r>
            <w:r>
              <w:rPr>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בירושלים</w:t>
            </w:r>
            <w:r>
              <w:rPr>
                <w:rFonts w:cs="Times New Roman"/>
                <w:sz w:val="24"/>
                <w:sz w:val="24"/>
                <w:szCs w:val="24"/>
                <w:rtl w:val="true"/>
              </w:rPr>
              <w:t xml:space="preserve"> </w:t>
            </w:r>
            <w:r>
              <w:rPr>
                <w:sz w:val="24"/>
                <w:sz w:val="24"/>
                <w:szCs w:val="24"/>
                <w:rtl w:val="true"/>
              </w:rPr>
              <w:t>בתיק</w:t>
            </w:r>
            <w:r>
              <w:rPr>
                <w:rFonts w:cs="Times New Roman"/>
                <w:sz w:val="24"/>
                <w:sz w:val="24"/>
                <w:szCs w:val="24"/>
                <w:rtl w:val="true"/>
              </w:rPr>
              <w:t xml:space="preserve"> </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25294-06-16</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שניתנו</w:t>
            </w:r>
            <w:r>
              <w:rPr>
                <w:rFonts w:cs="Times New Roman"/>
                <w:sz w:val="24"/>
                <w:sz w:val="24"/>
                <w:szCs w:val="24"/>
                <w:rtl w:val="true"/>
              </w:rPr>
              <w:t xml:space="preserve"> </w:t>
            </w:r>
            <w:r>
              <w:rPr>
                <w:sz w:val="24"/>
                <w:sz w:val="24"/>
                <w:szCs w:val="24"/>
                <w:rtl w:val="true"/>
              </w:rPr>
              <w:t>על</w:t>
            </w:r>
            <w:r>
              <w:rPr>
                <w:sz w:val="24"/>
                <w:szCs w:val="24"/>
                <w:rtl w:val="true"/>
              </w:rPr>
              <w:t>-</w:t>
            </w:r>
            <w:r>
              <w:rPr>
                <w:sz w:val="24"/>
                <w:sz w:val="24"/>
                <w:szCs w:val="24"/>
                <w:rtl w:val="true"/>
              </w:rPr>
              <w:t>ידי</w:t>
            </w:r>
            <w:r>
              <w:rPr>
                <w:rFonts w:cs="Times New Roman"/>
                <w:sz w:val="24"/>
                <w:sz w:val="24"/>
                <w:szCs w:val="24"/>
                <w:rtl w:val="true"/>
              </w:rPr>
              <w:t xml:space="preserve"> </w:t>
            </w:r>
            <w:r>
              <w:rPr>
                <w:sz w:val="24"/>
                <w:sz w:val="24"/>
                <w:szCs w:val="24"/>
                <w:rtl w:val="true"/>
              </w:rPr>
              <w:t>כבוד</w:t>
            </w:r>
            <w:r>
              <w:rPr>
                <w:rFonts w:cs="Times New Roman"/>
                <w:sz w:val="24"/>
                <w:sz w:val="24"/>
                <w:szCs w:val="24"/>
                <w:rtl w:val="true"/>
              </w:rPr>
              <w:t xml:space="preserve"> </w:t>
            </w:r>
            <w:r>
              <w:rPr>
                <w:sz w:val="24"/>
                <w:sz w:val="24"/>
                <w:szCs w:val="24"/>
                <w:rtl w:val="true"/>
              </w:rPr>
              <w:t>השופטת</w:t>
            </w:r>
            <w:r>
              <w:rPr>
                <w:rFonts w:cs="Times New Roman"/>
                <w:sz w:val="24"/>
                <w:sz w:val="24"/>
                <w:szCs w:val="24"/>
                <w:rtl w:val="true"/>
              </w:rPr>
              <w:t xml:space="preserve"> </w:t>
            </w:r>
            <w:r>
              <w:rPr>
                <w:sz w:val="24"/>
                <w:sz w:val="24"/>
                <w:szCs w:val="24"/>
                <w:rtl w:val="true"/>
              </w:rPr>
              <w:t>חגית</w:t>
            </w:r>
            <w:r>
              <w:rPr>
                <w:rFonts w:cs="Times New Roman"/>
                <w:sz w:val="24"/>
                <w:sz w:val="24"/>
                <w:szCs w:val="24"/>
                <w:rtl w:val="true"/>
              </w:rPr>
              <w:t xml:space="preserve"> </w:t>
            </w:r>
            <w:r>
              <w:rPr>
                <w:sz w:val="24"/>
                <w:sz w:val="24"/>
                <w:szCs w:val="24"/>
                <w:rtl w:val="true"/>
              </w:rPr>
              <w:t>מאק</w:t>
            </w:r>
            <w:r>
              <w:rPr>
                <w:sz w:val="24"/>
                <w:szCs w:val="24"/>
                <w:rtl w:val="true"/>
              </w:rPr>
              <w:t>-</w:t>
            </w:r>
            <w:r>
              <w:rPr>
                <w:sz w:val="24"/>
                <w:sz w:val="24"/>
                <w:szCs w:val="24"/>
                <w:rtl w:val="true"/>
              </w:rPr>
              <w:t>קלמנוביץ</w:t>
            </w:r>
          </w:p>
        </w:tc>
      </w:tr>
    </w:tbl>
    <w:p>
      <w:pPr>
        <w:pStyle w:val="Ruller31"/>
        <w:ind w:end="0"/>
        <w:jc w:val="start"/>
        <w:rPr/>
      </w:pPr>
      <w:r>
        <w:rPr>
          <w:rtl w:val="true"/>
        </w:rPr>
        <w:tab/>
      </w:r>
    </w:p>
    <w:tbl>
      <w:tblPr>
        <w:bidiVisual w:val="true"/>
        <w:tblW w:w="8535" w:type="dxa"/>
        <w:jc w:val="start"/>
        <w:tblInd w:w="-34" w:type="dxa"/>
        <w:tblLayout w:type="fixed"/>
        <w:tblCellMar>
          <w:top w:w="0" w:type="dxa"/>
          <w:start w:w="108" w:type="dxa"/>
          <w:bottom w:w="0" w:type="dxa"/>
          <w:end w:w="108" w:type="dxa"/>
        </w:tblCellMar>
      </w:tblPr>
      <w:tblGrid>
        <w:gridCol w:w="3257"/>
        <w:gridCol w:w="5278"/>
      </w:tblGrid>
      <w:tr>
        <w:trPr/>
        <w:tc>
          <w:tcPr>
            <w:tcW w:w="3257"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5278" w:type="dxa"/>
            <w:tcBorders/>
          </w:tcPr>
          <w:p>
            <w:pPr>
              <w:pStyle w:val="BodyRuller1"/>
              <w:ind w:end="0"/>
              <w:jc w:val="start"/>
              <w:rPr>
                <w:sz w:val="24"/>
                <w:szCs w:val="24"/>
              </w:rPr>
            </w:pPr>
            <w:r>
              <w:rPr>
                <w:sz w:val="24"/>
                <w:sz w:val="24"/>
                <w:szCs w:val="24"/>
                <w:rtl w:val="true"/>
              </w:rPr>
              <w:t>כ</w:t>
            </w:r>
            <w:r>
              <w:rPr>
                <w:sz w:val="24"/>
                <w:szCs w:val="24"/>
                <w:rtl w:val="true"/>
              </w:rPr>
              <w:t xml:space="preserve">' </w:t>
            </w:r>
            <w:r>
              <w:rPr>
                <w:sz w:val="24"/>
                <w:sz w:val="24"/>
                <w:szCs w:val="24"/>
                <w:rtl w:val="true"/>
              </w:rPr>
              <w:t>באדר</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ח</w:t>
            </w:r>
            <w:r>
              <w:rPr>
                <w:rFonts w:cs="Times New Roman"/>
                <w:sz w:val="24"/>
                <w:sz w:val="24"/>
                <w:szCs w:val="24"/>
                <w:rtl w:val="true"/>
              </w:rPr>
              <w:t xml:space="preserve"> </w:t>
            </w:r>
            <w:r>
              <w:rPr>
                <w:sz w:val="24"/>
                <w:szCs w:val="24"/>
                <w:rtl w:val="true"/>
              </w:rPr>
              <w:t>(</w:t>
            </w:r>
            <w:r>
              <w:rPr>
                <w:sz w:val="24"/>
                <w:szCs w:val="24"/>
              </w:rPr>
              <w:t>7.3.2018</w:t>
            </w:r>
            <w:r>
              <w:rPr>
                <w:sz w:val="24"/>
                <w:szCs w:val="24"/>
                <w:rtl w:val="true"/>
              </w:rPr>
              <w:t>)</w:t>
            </w:r>
          </w:p>
        </w:tc>
      </w:tr>
    </w:tbl>
    <w:p>
      <w:pPr>
        <w:pStyle w:val="Ruller31"/>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ורד</w:t>
            </w:r>
            <w:r>
              <w:rPr>
                <w:rFonts w:cs="Times New Roman"/>
                <w:rtl w:val="true"/>
              </w:rPr>
              <w:t xml:space="preserve"> </w:t>
            </w:r>
            <w:r>
              <w:rPr>
                <w:rtl w:val="true"/>
              </w:rPr>
              <w:t>בירגר</w:t>
            </w:r>
            <w:r>
              <w:rPr>
                <w:rFonts w:cs="Times New Roman"/>
                <w:rtl w:val="true"/>
              </w:rPr>
              <w:t xml:space="preserve"> </w:t>
            </w:r>
          </w:p>
        </w:tc>
      </w:tr>
    </w:tbl>
    <w:p>
      <w:pPr>
        <w:pStyle w:val="Ruller31"/>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Fonts w:cs="Times New Roman"/>
                <w:rtl w:val="true"/>
              </w:rPr>
              <w:t xml:space="preserve"> </w:t>
            </w:r>
            <w:r>
              <w:rPr/>
              <w:t>1</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בתשבע</w:t>
            </w:r>
            <w:r>
              <w:rPr>
                <w:rFonts w:cs="Times New Roman"/>
                <w:rtl w:val="true"/>
              </w:rPr>
              <w:t xml:space="preserve"> </w:t>
            </w:r>
            <w:r>
              <w:rPr>
                <w:rtl w:val="true"/>
              </w:rPr>
              <w:t>אבגז</w:t>
            </w:r>
          </w:p>
        </w:tc>
      </w:tr>
      <w:tr>
        <w:trPr/>
        <w:tc>
          <w:tcPr>
            <w:tcW w:w="3257" w:type="dxa"/>
            <w:tcBorders/>
          </w:tcPr>
          <w:p>
            <w:pPr>
              <w:pStyle w:val="BodyRuller1"/>
              <w:snapToGrid w:val="false"/>
              <w:ind w:end="0"/>
              <w:jc w:val="start"/>
              <w:rPr/>
            </w:pPr>
            <w:r>
              <w:rPr>
                <w:rtl w:val="true"/>
              </w:rPr>
            </w:r>
          </w:p>
        </w:tc>
        <w:tc>
          <w:tcPr>
            <w:tcW w:w="5238" w:type="dxa"/>
            <w:tcBorders/>
          </w:tcPr>
          <w:p>
            <w:pPr>
              <w:pStyle w:val="BodyRuller1"/>
              <w:snapToGrid w:val="false"/>
              <w:ind w:end="0"/>
              <w:jc w:val="start"/>
              <w:rPr/>
            </w:pPr>
            <w:r>
              <w:rPr>
                <w:rtl w:val="true"/>
              </w:rPr>
            </w:r>
          </w:p>
        </w:tc>
      </w:tr>
      <w:tr>
        <w:trPr/>
        <w:tc>
          <w:tcPr>
            <w:tcW w:w="3257" w:type="dxa"/>
            <w:tcBorders/>
          </w:tcPr>
          <w:p>
            <w:pPr>
              <w:pStyle w:val="BodyRuller1"/>
              <w:ind w:end="0"/>
              <w:jc w:val="start"/>
              <w:rPr/>
            </w:pPr>
            <w:r>
              <w:rPr>
                <w:rtl w:val="true"/>
              </w:rPr>
              <w:t>בשם</w:t>
            </w:r>
            <w:r>
              <w:rPr>
                <w:rFonts w:cs="Times New Roman"/>
                <w:rtl w:val="true"/>
              </w:rPr>
              <w:t xml:space="preserve"> </w:t>
            </w:r>
            <w:r>
              <w:rPr>
                <w:rtl w:val="true"/>
              </w:rPr>
              <w:t>המשיב</w:t>
            </w:r>
            <w:r>
              <w:rPr>
                <w:rFonts w:cs="Times New Roman"/>
                <w:rtl w:val="true"/>
              </w:rPr>
              <w:t xml:space="preserve"> </w:t>
            </w:r>
            <w:r>
              <w:rPr/>
              <w:t>2</w:t>
            </w:r>
            <w:r>
              <w:rPr>
                <w:rtl w:val="true"/>
              </w:rPr>
              <w:t>:</w:t>
            </w:r>
          </w:p>
        </w:tc>
        <w:tc>
          <w:tcPr>
            <w:tcW w:w="5238" w:type="dxa"/>
            <w:tcBorders/>
          </w:tcPr>
          <w:p>
            <w:pPr>
              <w:pStyle w:val="BodyRuller1"/>
              <w:ind w:end="0"/>
              <w:jc w:val="start"/>
              <w:rPr/>
            </w:pPr>
            <w:r>
              <w:rPr>
                <w:rtl w:val="true"/>
              </w:rPr>
              <w:t>אין</w:t>
            </w:r>
            <w:r>
              <w:rPr>
                <w:rFonts w:cs="Times New Roman"/>
                <w:rtl w:val="true"/>
              </w:rPr>
              <w:t xml:space="preserve"> </w:t>
            </w:r>
            <w:r>
              <w:rPr>
                <w:rtl w:val="true"/>
              </w:rPr>
              <w:t>התייצבות</w:t>
            </w:r>
          </w:p>
        </w:tc>
      </w:tr>
    </w:tbl>
    <w:p>
      <w:pPr>
        <w:pStyle w:val="Normal"/>
        <w:tabs>
          <w:tab w:val="clear" w:pos="720"/>
          <w:tab w:val="left" w:pos="2552" w:leader="none"/>
        </w:tabs>
        <w:ind w:end="0"/>
        <w:jc w:val="start"/>
        <w:rPr/>
      </w:pPr>
      <w:r>
        <w:rPr>
          <w:rtl w:val="true"/>
        </w:rPr>
      </w:r>
      <w:bookmarkStart w:id="5" w:name="LawTable"/>
      <w:bookmarkStart w:id="6" w:name="LawTable"/>
      <w:bookmarkEnd w:id="6"/>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3">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4">
        <w:r>
          <w:rPr>
            <w:rStyle w:val="Hyperlink"/>
            <w:rFonts w:cs="FrankRuehl" w:ascii="FrankRuehl" w:hAnsi="FrankRuehl"/>
            <w:color w:val="0000FF"/>
            <w:sz w:val="24"/>
            <w:u w:val="single"/>
          </w:rPr>
          <w:t>186</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5">
        <w:r>
          <w:rPr>
            <w:rStyle w:val="Hyperlink"/>
            <w:rFonts w:cs="FrankRuehl" w:ascii="FrankRuehl" w:hAnsi="FrankRuehl"/>
            <w:color w:val="0000FF"/>
            <w:sz w:val="24"/>
            <w:u w:val="single"/>
          </w:rPr>
          <w:t>275</w:t>
        </w:r>
      </w:hyperlink>
      <w:r>
        <w:rPr>
          <w:rFonts w:cs="FrankRuehl" w:ascii="FrankRuehl" w:hAnsi="FrankRuehl"/>
          <w:sz w:val="24"/>
          <w:rtl w:val="true"/>
        </w:rPr>
        <w:t xml:space="preserve">, </w:t>
      </w:r>
      <w:hyperlink r:id="rId6">
        <w:r>
          <w:rPr>
            <w:rStyle w:val="Hyperlink"/>
            <w:rFonts w:cs="FrankRuehl" w:ascii="FrankRuehl" w:hAnsi="FrankRuehl"/>
            <w:color w:val="0000FF"/>
            <w:sz w:val="24"/>
            <w:u w:val="single"/>
          </w:rPr>
          <w:t>332</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2</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7">
        <w:r>
          <w:rPr>
            <w:rStyle w:val="Hyperlink"/>
            <w:rFonts w:cs="FrankRuehl" w:ascii="FrankRuehl" w:hAnsi="FrankRuehl"/>
            <w:color w:val="0000FF"/>
            <w:sz w:val="24"/>
            <w:u w:val="single"/>
          </w:rPr>
          <w:t>334</w:t>
        </w:r>
      </w:hyperlink>
      <w:r>
        <w:rPr>
          <w:rFonts w:cs="FrankRuehl" w:ascii="FrankRuehl" w:hAnsi="FrankRuehl"/>
          <w:sz w:val="24"/>
          <w:rtl w:val="true"/>
        </w:rPr>
        <w:t xml:space="preserve">, </w:t>
      </w:r>
      <w:hyperlink r:id="rId8">
        <w:r>
          <w:rPr>
            <w:rStyle w:val="Hyperlink"/>
            <w:rFonts w:cs="FrankRuehl" w:ascii="FrankRuehl" w:hAnsi="FrankRuehl"/>
            <w:color w:val="0000FF"/>
            <w:sz w:val="24"/>
            <w:u w:val="single"/>
          </w:rPr>
          <w:t>335</w:t>
        </w:r>
      </w:hyperlink>
      <w:r>
        <w:rPr>
          <w:rFonts w:cs="FrankRuehl" w:ascii="FrankRuehl" w:hAnsi="FrankRuehl"/>
          <w:sz w:val="24"/>
          <w:rtl w:val="true"/>
        </w:rPr>
        <w:t xml:space="preserve">, </w:t>
      </w:r>
      <w:hyperlink r:id="rId9">
        <w:r>
          <w:rPr>
            <w:rStyle w:val="Hyperlink"/>
            <w:rFonts w:cs="FrankRuehl" w:ascii="FrankRuehl" w:hAnsi="FrankRuehl"/>
            <w:color w:val="0000FF"/>
            <w:sz w:val="24"/>
            <w:u w:val="single"/>
          </w:rPr>
          <w:t>413</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10">
        <w:r>
          <w:rPr>
            <w:rStyle w:val="Hyperlink"/>
            <w:rFonts w:ascii="FrankRuehl" w:hAnsi="FrankRuehl" w:cs="FrankRuehl"/>
            <w:color w:val="0000FF"/>
            <w:sz w:val="24"/>
            <w:sz w:val="24"/>
            <w:u w:val="single"/>
            <w:rtl w:val="true"/>
          </w:rPr>
          <w:t xml:space="preserve">פקודת התעבורה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נוסח חדש</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1">
        <w:r>
          <w:rPr>
            <w:rStyle w:val="Hyperlink"/>
            <w:rFonts w:cs="FrankRuehl" w:ascii="FrankRuehl" w:hAnsi="FrankRuehl"/>
            <w:color w:val="0000FF"/>
            <w:sz w:val="24"/>
            <w:u w:val="single"/>
          </w:rPr>
          <w:t>2</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12">
        <w:r>
          <w:rPr>
            <w:rStyle w:val="Hyperlink"/>
            <w:rFonts w:ascii="FrankRuehl" w:hAnsi="FrankRuehl" w:cs="FrankRuehl"/>
            <w:color w:val="0000FF"/>
            <w:sz w:val="24"/>
            <w:sz w:val="24"/>
            <w:u w:val="single"/>
            <w:rtl w:val="true"/>
          </w:rPr>
          <w:t>תקנות התעבורה</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תשכ</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1961</w:t>
        </w:r>
        <w:r>
          <w:rPr>
            <w:rStyle w:val="Hyperlink"/>
            <w:rFonts w:cs="FrankRuehl" w:ascii="FrankRuehl" w:hAnsi="FrankRuehl"/>
            <w:color w:val="0000FF"/>
            <w:sz w:val="24"/>
            <w:u w:val="single"/>
            <w:rtl w:val="true"/>
          </w:rPr>
          <w:t xml:space="preserve"> - </w:t>
        </w:r>
        <w:r>
          <w:rPr>
            <w:rStyle w:val="Hyperlink"/>
            <w:rFonts w:ascii="FrankRuehl" w:hAnsi="FrankRuehl" w:cs="FrankRuehl"/>
            <w:color w:val="0000FF"/>
            <w:sz w:val="24"/>
            <w:sz w:val="24"/>
            <w:u w:val="single"/>
            <w:rtl w:val="true"/>
          </w:rPr>
          <w:t>לא מרובדות</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3">
        <w:r>
          <w:rPr>
            <w:rStyle w:val="Hyperlink"/>
            <w:rFonts w:cs="FrankRuehl" w:ascii="FrankRuehl" w:hAnsi="FrankRuehl"/>
            <w:color w:val="0000FF"/>
            <w:sz w:val="24"/>
            <w:u w:val="single"/>
          </w:rPr>
          <w:t>22</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bookmarkStart w:id="7" w:name="ABSTRACT_START"/>
      <w:bookmarkEnd w:id="7"/>
      <w:r>
        <w:rPr>
          <w:rFonts w:ascii="Times New Roman" w:hAnsi="Times New Roman" w:cs="Times New Roman"/>
          <w:spacing w:val="0"/>
          <w:sz w:val="24"/>
          <w:sz w:val="24"/>
          <w:szCs w:val="26"/>
          <w:rtl w:val="true"/>
        </w:rPr>
        <w:t>מיני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רציו</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בעובדה שבזמן מרדף משטרתי אחר הנאשם לא היו ברחובות אנשים לבד מהמשטרה בכדי למנוע הרשעה בעבירה של סיכון חיי אדם במזיד בנתיב תחבורה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עבירה של סיכון חיי אדם במזיד בנתיב תחבורה מתייחסת לסיכון חייו של כל אדם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לרבות שוטרים שהיו בכביש והשתתפו במרדף ובניסיונות מעצרו של הנאשם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בענייננו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הכרעת הדין רצופה בקביעות עובדתיות של סיכון חיי אדם של השוטרים שהשתתפו במרדף ובניסיון מעצרו של המערער</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עבירות – סיכון חיי אדם בנתיב תחבורה</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סיכון חיי אדם בנתיב תחבורה</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דיון פלילי – ערעור – אי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התערבות בממצאים עובדתיים</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ערעור על פס</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ד מחוזי בגדרו הורשע המערער בעבירות של סיכון חיי אדם במזיד בנתיב תחבורה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חבלה במזיד ברכב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הפרעה לשוטר במילוי תפקידו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חבלה ופציעה בנסיבות מחמירות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תוך שימוש בנשק קר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נהיגה ללא רישיון נהיגה תקף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ועבירה של אי ציות לרמזור והוטל עליו עונש של </w:t>
      </w:r>
      <w:r>
        <w:rPr>
          <w:rFonts w:cs="Times New Roman" w:ascii="Times New Roman" w:hAnsi="Times New Roman"/>
          <w:spacing w:val="0"/>
          <w:sz w:val="24"/>
          <w:szCs w:val="26"/>
        </w:rPr>
        <w:t>44</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 מאסר לריצוי בפועל בניכוי ימי מעצרו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מאסר על תנאי של </w:t>
      </w:r>
      <w:r>
        <w:rPr>
          <w:rFonts w:cs="Times New Roman" w:ascii="Times New Roman" w:hAnsi="Times New Roman"/>
          <w:spacing w:val="0"/>
          <w:sz w:val="24"/>
          <w:szCs w:val="26"/>
        </w:rPr>
        <w:t>6</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פסילת רישיון נהיגה לתקופה של </w:t>
      </w:r>
      <w:r>
        <w:rPr>
          <w:rFonts w:cs="Times New Roman" w:ascii="Times New Roman" w:hAnsi="Times New Roman"/>
          <w:spacing w:val="0"/>
          <w:sz w:val="24"/>
          <w:szCs w:val="26"/>
        </w:rPr>
        <w:t>24</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לאחר שחרורו ממאסר וחויב בפיצוי בסך של </w:t>
      </w:r>
      <w:r>
        <w:rPr>
          <w:rFonts w:cs="Times New Roman" w:ascii="Times New Roman" w:hAnsi="Times New Roman"/>
          <w:spacing w:val="0"/>
          <w:sz w:val="24"/>
          <w:szCs w:val="26"/>
        </w:rPr>
        <w:t>2,500</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ח</w:t>
      </w:r>
      <w:r>
        <w:rPr>
          <w:rFonts w:ascii="Times New Roman" w:hAnsi="Times New Roman" w:cs="Times New Roman"/>
          <w:spacing w:val="0"/>
          <w:sz w:val="24"/>
          <w:sz w:val="24"/>
          <w:szCs w:val="26"/>
          <w:rtl w:val="true"/>
        </w:rPr>
        <w:t xml:space="preserve"> לבעלי אחד הרכבים שניזוקו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הערעור מתייחס הן להרשעה והן לעונש</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 העליון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מפי השופט ג</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קרא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בהסכמת </w:t>
      </w:r>
      <w:r>
        <w:rPr>
          <w:rFonts w:ascii="Times New Roman" w:hAnsi="Times New Roman" w:cs="Times New Roman"/>
          <w:spacing w:val="0"/>
          <w:sz w:val="24"/>
          <w:sz w:val="24"/>
          <w:szCs w:val="26"/>
          <w:rtl w:val="true"/>
        </w:rPr>
        <w:t>ה</w:t>
      </w:r>
      <w:r>
        <w:rPr>
          <w:rFonts w:ascii="Times New Roman" w:hAnsi="Times New Roman" w:cs="Times New Roman"/>
          <w:spacing w:val="0"/>
          <w:sz w:val="24"/>
          <w:sz w:val="24"/>
          <w:szCs w:val="26"/>
          <w:rtl w:val="true"/>
        </w:rPr>
        <w:t>שופטים 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שהם וי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וילנר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דחה את הערעור מהטעמים הבאים</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בהודעת הערעור מעלה באת כוח המערער את אותן טענות שנדונו ונדחו על ידי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ומבקשת לקיים דיון מחודש</w:t>
      </w:r>
      <w:r>
        <w:rPr>
          <w:rFonts w:cs="Times New Roman" w:ascii="Times New Roman" w:hAnsi="Times New Roman"/>
          <w:spacing w:val="0"/>
          <w:sz w:val="24"/>
          <w:szCs w:val="26"/>
        </w:rPr>
        <w:t>DE</w:t>
      </w:r>
      <w:r>
        <w:rPr>
          <w:rFonts w:cs="Times New Roman" w:ascii="Times New Roman" w:hAnsi="Times New Roman"/>
          <w:spacing w:val="0"/>
          <w:sz w:val="24"/>
          <w:szCs w:val="26"/>
        </w:rPr>
        <w:t xml:space="preserve"> </w:t>
      </w:r>
      <w:r>
        <w:rPr>
          <w:rFonts w:cs="Times New Roman" w:ascii="Times New Roman" w:hAnsi="Times New Roman"/>
          <w:spacing w:val="0"/>
          <w:sz w:val="24"/>
          <w:szCs w:val="26"/>
        </w:rPr>
        <w:t>NOVO</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בכל קביעותיו ומסקנותיו של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כפי שנפסק בעבר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מדובר בהתנהלות דיונית שיש בה כדי להחמיץ את אופן פעולתו של הליך הערעור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תפקידה של ערכאת הערעור אינו לבחון מחדש את אשמתו של הנאשם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את צדקתו או את רשעתו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תפקידה הוא להעביר תחת שבט ביקורתה את פסק</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הדין של הערכאה הדיונית ולבחון אם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כשר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הוא או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פסול</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ואם נפל בו פגם היורד לשורשו של ענ</w:t>
      </w:r>
      <w:r>
        <w:rPr>
          <w:rFonts w:ascii="Times New Roman" w:hAnsi="Times New Roman" w:cs="Times New Roman"/>
          <w:spacing w:val="0"/>
          <w:sz w:val="24"/>
          <w:sz w:val="24"/>
          <w:szCs w:val="26"/>
          <w:rtl w:val="true"/>
        </w:rPr>
        <w:t>י</w:t>
      </w:r>
      <w:r>
        <w:rPr>
          <w:rFonts w:ascii="Times New Roman" w:hAnsi="Times New Roman" w:cs="Times New Roman"/>
          <w:spacing w:val="0"/>
          <w:sz w:val="24"/>
          <w:sz w:val="24"/>
          <w:szCs w:val="26"/>
          <w:rtl w:val="true"/>
        </w:rPr>
        <w:t>ין</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של ערעור אינו חייב להתייחס לכל טענה וטענה המועלית על ידי הצדדים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והוא רשאי להתמקד באלו הנראות בעיניו משמעותיות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בהתאם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מוצא להתייחס בענייננו רק לטענות העיקריות שנראות בעיניו ראויות להתייחסות ואולם לא נמצא בהן ממש</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בין היתר לא נמצא להתערב בקביעתו של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לפיה העדיף את חווה</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ד הפסיכיאטרית של המומחה מטעם המשיבה על פני חווה</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ד מטעם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בהקשר זה צוינה בין היתר ההלכה היא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כי ערכאת הערעור אינה נוטה להתערב בממצאי עובדה ומהימנות שקבעה הערכאה הדיונית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לאור יתרונה של האחרונה להתרשם באופן בלתי אמצעי מהעדים שהופיעו לפניה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מהאופן בו מסרו את עדותם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מהתנהגותם על דוכן העדים ועוד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הדברים הינם מקל וחומר כאשר מדובר בערעור התוקף את החלטת הערכאה הדיונית להעדיף חוות דעת פסיכיאטרית אחת על פני רעותה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במקרה דנא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קביעתו של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לפיה העדיף את חוות דעתו של המומחה מטעם המשיבה מבוססת ומנומקת הן עניינית והן על סמך התרשמותו מהתנהלותו של המערער לפני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ולא נמצא כל סיבה להתערבות בקביעה זו</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עוד בין היתר לא נמצא ממש בטענת המערער כי לא היה מקום להרשיעו בעבירה של סיכון חיי אדם מאחר שבזמן המרדף לא היו ברחובות אנשים לבד מהמשטרה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עבירה של סיכון חיי אדם במזיד בנתיב תחבורה מתייחסת לסיכון חייו של כל אדם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לרבות שוטרים שהיו בכביש והשתתפו במרדף ובניסיונות מעצרו של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הכרעת הדין רצופה בקביעות עובדתיות של סיכון חיי אדם של השוטרים שהשתתפו במרדף ובניסיון מעצרו של המערער</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כן לא נמצא ממש בערעור על העונש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קבע מתחם ענישה אחד לכל האירוע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שנע בין שנתיים לחמש שנות מאסר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בתוך מתחם זה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נבלעו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כלל העבירות שבהן הורשע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מיקם את המערער מעט מעל אמצע המתחם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וגזר עליו עונש לתקופה של </w:t>
      </w:r>
      <w:r>
        <w:rPr>
          <w:rFonts w:cs="Times New Roman" w:ascii="Times New Roman" w:hAnsi="Times New Roman"/>
          <w:spacing w:val="0"/>
          <w:sz w:val="24"/>
          <w:szCs w:val="26"/>
        </w:rPr>
        <w:t>44</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 מאסר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 זה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בגין רצף עבירות שביצע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שהחמורה מביניהן הינה עבירה של סיכון חיי אדם בנתיב תחבורה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שהעונש הקבוע בצדה הינו </w:t>
      </w:r>
      <w:r>
        <w:rPr>
          <w:rFonts w:cs="Times New Roman" w:ascii="Times New Roman" w:hAnsi="Times New Roman"/>
          <w:spacing w:val="0"/>
          <w:sz w:val="24"/>
          <w:szCs w:val="26"/>
        </w:rPr>
        <w:t>20</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שנות מאסר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אינו עונש חמור יתר על המידה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בהינתן עברו הפלילי המכביד של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נהיגתו הפראית והמסוכנת כשרק ירי השוטרים לעבר הרכב בו נהג הביא למעצרו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העונש שהוטל הינו עונש ראוי והולם שאינו מצדיק התערבות</w:t>
      </w:r>
      <w:r>
        <w:rPr>
          <w:rFonts w:cs="Times New Roman" w:ascii="Times New Roman" w:hAnsi="Times New Roman"/>
          <w:spacing w:val="0"/>
          <w:sz w:val="24"/>
          <w:szCs w:val="26"/>
          <w:rtl w:val="true"/>
        </w:rPr>
        <w:t xml:space="preserve">. </w:t>
      </w:r>
    </w:p>
    <w:p>
      <w:pPr>
        <w:pStyle w:val="Normal"/>
        <w:tabs>
          <w:tab w:val="clear" w:pos="720"/>
          <w:tab w:val="left" w:pos="2552" w:leader="none"/>
        </w:tabs>
        <w:ind w:end="0"/>
        <w:jc w:val="start"/>
        <w:rPr>
          <w:rFonts w:ascii="Times New Roman" w:hAnsi="Times New Roman" w:cs="Times New Roman"/>
          <w:spacing w:val="0"/>
          <w:sz w:val="24"/>
          <w:szCs w:val="26"/>
        </w:rPr>
      </w:pPr>
      <w:r>
        <w:rPr>
          <w:rFonts w:cs="Times New Roman"/>
          <w:spacing w:val="0"/>
          <w:sz w:val="24"/>
          <w:szCs w:val="26"/>
          <w:rtl w:val="true"/>
        </w:rPr>
      </w:r>
      <w:bookmarkStart w:id="8" w:name="ABSTRACT_END"/>
      <w:bookmarkStart w:id="9" w:name="LawTable_End"/>
      <w:bookmarkStart w:id="10" w:name="ABSTRACT_END"/>
      <w:bookmarkStart w:id="11" w:name="LawTable_End"/>
      <w:bookmarkEnd w:id="10"/>
      <w:bookmarkEnd w:id="11"/>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pPr>
            <w:bookmarkStart w:id="12" w:name="PsakDin"/>
            <w:bookmarkStart w:id="13" w:name="BeginProtocol"/>
            <w:bookmarkStart w:id="14" w:name="secretary"/>
            <w:bookmarkEnd w:id="12"/>
            <w:bookmarkEnd w:id="13"/>
            <w:bookmarkEnd w:id="14"/>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5" w:name="Writer_Name"/>
      <w:bookmarkEnd w:id="15"/>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קרא</w:t>
      </w:r>
      <w:r>
        <w:rPr>
          <w:rFonts w:cs="Miriam"/>
          <w:sz w:val="24"/>
          <w:szCs w:val="24"/>
          <w:rtl w:val="true"/>
        </w:rPr>
        <w:t>:</w:t>
      </w:r>
    </w:p>
    <w:p>
      <w:pPr>
        <w:pStyle w:val="Ruller41"/>
        <w:ind w:end="0"/>
        <w:jc w:val="both"/>
        <w:rPr>
          <w:rFonts w:cs="Miriam"/>
          <w:sz w:val="24"/>
          <w:szCs w:val="24"/>
          <w:u w:val="single"/>
        </w:rPr>
      </w:pPr>
      <w:r>
        <w:rPr>
          <w:rFonts w:cs="Miriam"/>
          <w:sz w:val="24"/>
          <w:szCs w:val="24"/>
          <w:u w:val="single"/>
          <w:rtl w:val="true"/>
        </w:rPr>
      </w:r>
    </w:p>
    <w:p>
      <w:pPr>
        <w:pStyle w:val="Ruller41"/>
        <w:ind w:end="0"/>
        <w:jc w:val="both"/>
        <w:rPr>
          <w:rFonts w:ascii="Century" w:hAnsi="Century" w:cs="Century"/>
        </w:rPr>
      </w:pPr>
      <w:bookmarkStart w:id="16" w:name="_GoBack"/>
      <w:bookmarkEnd w:id="16"/>
      <w:r>
        <w:rPr/>
        <w:t>1</w:t>
      </w:r>
      <w:r>
        <w:rPr>
          <w:rtl w:val="true"/>
        </w:rPr>
        <w:t>.</w:t>
        <w:tab/>
      </w:r>
      <w:r>
        <w:rPr>
          <w:rtl w:val="true"/>
        </w:rPr>
        <w:t>ערעור</w:t>
      </w:r>
      <w:r>
        <w:rPr>
          <w:rFonts w:eastAsia="Arial TUR" w:cs="Arial TUR"/>
          <w:rtl w:val="true"/>
        </w:rPr>
        <w:t xml:space="preserve"> </w:t>
      </w:r>
      <w:r>
        <w:rPr>
          <w:rtl w:val="true"/>
        </w:rPr>
        <w:t>על</w:t>
      </w:r>
      <w:r>
        <w:rPr>
          <w:rFonts w:eastAsia="Arial TUR" w:cs="Arial TUR"/>
          <w:rtl w:val="true"/>
        </w:rPr>
        <w:t xml:space="preserve"> </w:t>
      </w:r>
      <w:r>
        <w:rPr>
          <w:rtl w:val="true"/>
        </w:rPr>
        <w:t>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בירושלים</w:t>
      </w:r>
      <w:r>
        <w:rPr>
          <w:rFonts w:eastAsia="Arial TUR" w:cs="Arial TUR"/>
          <w:rtl w:val="true"/>
        </w:rPr>
        <w:t xml:space="preserve"> </w:t>
      </w:r>
      <w:r>
        <w:rPr>
          <w:rtl w:val="true"/>
        </w:rPr>
        <w:t>(</w:t>
      </w:r>
      <w:r>
        <w:rPr>
          <w:rtl w:val="true"/>
        </w:rPr>
        <w:t>כב</w:t>
      </w:r>
      <w:r>
        <w:rPr>
          <w:rtl w:val="true"/>
        </w:rPr>
        <w:t xml:space="preserve">' </w:t>
      </w:r>
      <w:r>
        <w:rPr>
          <w:rtl w:val="true"/>
        </w:rPr>
        <w:t>השופטת</w:t>
      </w:r>
      <w:r>
        <w:rPr>
          <w:rFonts w:eastAsia="Arial TUR" w:cs="Arial TUR"/>
          <w:rtl w:val="true"/>
        </w:rPr>
        <w:t xml:space="preserve"> </w:t>
      </w:r>
      <w:r>
        <w:rPr>
          <w:rFonts w:ascii="Century" w:hAnsi="Century" w:cs="Miriam"/>
          <w:b/>
          <w:b/>
          <w:spacing w:val="0"/>
          <w:szCs w:val="24"/>
          <w:rtl w:val="true"/>
        </w:rPr>
        <w:t>חגית</w:t>
      </w:r>
      <w:r>
        <w:rPr>
          <w:rFonts w:ascii="Century" w:hAnsi="Century" w:eastAsia="Century" w:cs="Century"/>
          <w:b/>
          <w:b/>
          <w:spacing w:val="0"/>
          <w:szCs w:val="24"/>
          <w:rtl w:val="true"/>
        </w:rPr>
        <w:t xml:space="preserve"> </w:t>
      </w:r>
      <w:r>
        <w:rPr>
          <w:rFonts w:ascii="Century" w:hAnsi="Century" w:cs="Miriam"/>
          <w:b/>
          <w:b/>
          <w:spacing w:val="0"/>
          <w:szCs w:val="24"/>
          <w:rtl w:val="true"/>
        </w:rPr>
        <w:t>מאק</w:t>
      </w:r>
      <w:r>
        <w:rPr>
          <w:rFonts w:cs="Miriam" w:ascii="Century" w:hAnsi="Century"/>
          <w:b/>
          <w:spacing w:val="0"/>
          <w:szCs w:val="24"/>
          <w:rtl w:val="true"/>
        </w:rPr>
        <w:t>-</w:t>
      </w:r>
      <w:r>
        <w:rPr>
          <w:rFonts w:ascii="Century" w:hAnsi="Century" w:cs="Miriam"/>
          <w:b/>
          <w:b/>
          <w:spacing w:val="0"/>
          <w:szCs w:val="24"/>
          <w:rtl w:val="true"/>
        </w:rPr>
        <w:t>קלמנוביץ</w:t>
      </w:r>
      <w:r>
        <w:rPr>
          <w:rFonts w:cs="Century" w:ascii="Century" w:hAnsi="Century"/>
          <w:rtl w:val="true"/>
        </w:rPr>
        <w:t xml:space="preserve">) </w:t>
      </w:r>
      <w:r>
        <w:rPr>
          <w:rFonts w:ascii="Century" w:hAnsi="Century" w:cs="Century"/>
          <w:rtl w:val="true"/>
        </w:rPr>
        <w:t>ב</w:t>
      </w:r>
      <w:hyperlink r:id="rId14">
        <w:r>
          <w:rPr>
            <w:rStyle w:val="Hyperlink"/>
            <w:rFonts w:ascii="Century" w:hAnsi="Century" w:cs="Century"/>
            <w:color w:val="0000FF"/>
            <w:u w:val="single"/>
            <w:rtl w:val="true"/>
          </w:rPr>
          <w:t>ת</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25294-06-16</w:t>
        </w:r>
      </w:hyperlink>
      <w:r>
        <w:rPr>
          <w:rFonts w:cs="Century" w:ascii="Century" w:hAnsi="Century"/>
          <w:rtl w:val="true"/>
        </w:rPr>
        <w:t xml:space="preserve"> </w:t>
      </w:r>
      <w:r>
        <w:rPr>
          <w:rFonts w:ascii="Century" w:hAnsi="Century" w:cs="Century"/>
          <w:rtl w:val="true"/>
        </w:rPr>
        <w:t>בגדרו הורשע המערער בעבירות של סיכון חיי אדם במזיד בנתיב תחבורה</w:t>
      </w:r>
      <w:r>
        <w:rPr>
          <w:rFonts w:cs="Century" w:ascii="Century" w:hAnsi="Century"/>
          <w:rtl w:val="true"/>
        </w:rPr>
        <w:t xml:space="preserve">, </w:t>
      </w:r>
      <w:r>
        <w:rPr>
          <w:rFonts w:ascii="Century" w:hAnsi="Century" w:cs="Century"/>
          <w:rtl w:val="true"/>
        </w:rPr>
        <w:t xml:space="preserve">עבירה לפי </w:t>
      </w:r>
      <w:hyperlink r:id="rId15">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332</w:t>
        </w:r>
        <w:r>
          <w:rPr>
            <w:rStyle w:val="Hyperlink"/>
            <w:rFonts w:cs="Century" w:ascii="Century" w:hAnsi="Century"/>
            <w:color w:val="0000FF"/>
            <w:u w:val="single"/>
            <w:rtl w:val="true"/>
          </w:rPr>
          <w:t>(</w:t>
        </w:r>
        <w:r>
          <w:rPr>
            <w:rStyle w:val="Hyperlink"/>
            <w:rFonts w:cs="Century" w:ascii="Century" w:hAnsi="Century"/>
            <w:color w:val="0000FF"/>
            <w:u w:val="single"/>
          </w:rPr>
          <w:t>2</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16">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התשל</w:t>
      </w:r>
      <w:r>
        <w:rPr>
          <w:rFonts w:cs="Century" w:ascii="Century" w:hAnsi="Century"/>
          <w:rtl w:val="true"/>
        </w:rPr>
        <w:t>"</w:t>
      </w:r>
      <w:r>
        <w:rPr>
          <w:rFonts w:ascii="Century" w:hAnsi="Century" w:cs="Century"/>
          <w:rtl w:val="true"/>
        </w:rPr>
        <w:t>ז</w:t>
      </w:r>
      <w:r>
        <w:rPr>
          <w:rFonts w:cs="Century" w:ascii="Century" w:hAnsi="Century"/>
          <w:rtl w:val="true"/>
        </w:rPr>
        <w:t>-</w:t>
      </w:r>
      <w:r>
        <w:rPr>
          <w:rFonts w:cs="Century" w:ascii="Century" w:hAnsi="Century"/>
        </w:rPr>
        <w:t>1977</w:t>
      </w:r>
      <w:r>
        <w:rPr>
          <w:rFonts w:cs="Century" w:ascii="Century" w:hAnsi="Century"/>
          <w:rtl w:val="true"/>
        </w:rPr>
        <w:t xml:space="preserve"> </w:t>
      </w:r>
      <w:r>
        <w:rPr>
          <w:rFonts w:cs="Century" w:ascii="Century" w:hAnsi="Century"/>
          <w:rtl w:val="true"/>
        </w:rPr>
        <w:t>(</w:t>
      </w:r>
      <w:r>
        <w:rPr>
          <w:rFonts w:ascii="Century" w:hAnsi="Century" w:cs="Century"/>
          <w:rtl w:val="true"/>
        </w:rPr>
        <w:t>להלן</w:t>
      </w:r>
      <w:r>
        <w:rPr>
          <w:rFonts w:cs="Century" w:ascii="Century" w:hAnsi="Century"/>
          <w:rtl w:val="true"/>
        </w:rPr>
        <w:t>:</w:t>
      </w:r>
      <w:r>
        <w:rPr>
          <w:rFonts w:cs="Century" w:ascii="Century" w:hAnsi="Century"/>
          <w:rtl w:val="true"/>
        </w:rPr>
        <w:t xml:space="preserve"> </w:t>
      </w:r>
      <w:r>
        <w:rPr>
          <w:rFonts w:ascii="Century" w:hAnsi="Century" w:cs="Miriam"/>
          <w:b/>
          <w:b/>
          <w:spacing w:val="0"/>
          <w:szCs w:val="24"/>
          <w:rtl w:val="true"/>
        </w:rPr>
        <w:t>החוק</w:t>
      </w:r>
      <w:r>
        <w:rPr>
          <w:rFonts w:cs="Century" w:ascii="Century" w:hAnsi="Century"/>
          <w:rtl w:val="true"/>
        </w:rPr>
        <w:t>)</w:t>
      </w:r>
      <w:r>
        <w:rPr>
          <w:rFonts w:cs="Century" w:ascii="Century" w:hAnsi="Century"/>
          <w:rtl w:val="true"/>
        </w:rPr>
        <w:t xml:space="preserve">, </w:t>
      </w:r>
      <w:r>
        <w:rPr>
          <w:rFonts w:ascii="Century" w:hAnsi="Century" w:cs="Century"/>
          <w:rtl w:val="true"/>
        </w:rPr>
        <w:t xml:space="preserve">חבלה במזיד ברכב לפי </w:t>
      </w:r>
      <w:hyperlink r:id="rId17">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413</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הפרעה לשוטר במילוי תפקידו</w:t>
      </w:r>
      <w:r>
        <w:rPr>
          <w:rFonts w:cs="Century" w:ascii="Century" w:hAnsi="Century"/>
          <w:rtl w:val="true"/>
        </w:rPr>
        <w:t xml:space="preserve">, </w:t>
      </w:r>
      <w:r>
        <w:rPr>
          <w:rFonts w:ascii="Century" w:hAnsi="Century" w:cs="Century"/>
          <w:rtl w:val="true"/>
        </w:rPr>
        <w:t xml:space="preserve">עבירה לפי </w:t>
      </w:r>
      <w:hyperlink r:id="rId18">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275</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חבלה ופציעה בנסיבות מחמירות</w:t>
      </w:r>
      <w:r>
        <w:rPr>
          <w:rFonts w:cs="Century" w:ascii="Century" w:hAnsi="Century"/>
          <w:rtl w:val="true"/>
        </w:rPr>
        <w:t xml:space="preserve">, </w:t>
      </w:r>
      <w:r>
        <w:rPr>
          <w:rFonts w:ascii="Century" w:hAnsi="Century" w:cs="Century"/>
          <w:rtl w:val="true"/>
        </w:rPr>
        <w:t>תוך שימוש בנשק קר</w:t>
      </w:r>
      <w:r>
        <w:rPr>
          <w:rFonts w:cs="Century" w:ascii="Century" w:hAnsi="Century"/>
          <w:rtl w:val="true"/>
        </w:rPr>
        <w:t xml:space="preserve">, </w:t>
      </w:r>
      <w:r>
        <w:rPr>
          <w:rFonts w:ascii="Century" w:hAnsi="Century" w:cs="Century"/>
          <w:rtl w:val="true"/>
        </w:rPr>
        <w:t xml:space="preserve">עבירה לפי </w:t>
      </w:r>
      <w:hyperlink r:id="rId19">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334</w:t>
        </w:r>
      </w:hyperlink>
      <w:r>
        <w:rPr>
          <w:rFonts w:cs="Century" w:ascii="Century" w:hAnsi="Century"/>
          <w:rtl w:val="true"/>
        </w:rPr>
        <w:t xml:space="preserve"> </w:t>
      </w:r>
      <w:r>
        <w:rPr>
          <w:rFonts w:ascii="Century" w:hAnsi="Century" w:cs="Century"/>
          <w:rtl w:val="true"/>
        </w:rPr>
        <w:t xml:space="preserve">יחד עם </w:t>
      </w:r>
      <w:hyperlink r:id="rId20">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335</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 xml:space="preserve">החזקת סכין </w:t>
      </w:r>
      <w:r>
        <w:rPr>
          <w:rFonts w:cs="Century" w:ascii="Century" w:hAnsi="Century"/>
          <w:rtl w:val="true"/>
        </w:rPr>
        <w:t xml:space="preserve">, </w:t>
      </w:r>
      <w:r>
        <w:rPr>
          <w:rFonts w:ascii="Century" w:hAnsi="Century" w:cs="Century"/>
          <w:rtl w:val="true"/>
        </w:rPr>
        <w:t xml:space="preserve">עבירה לפי </w:t>
      </w:r>
      <w:hyperlink r:id="rId21">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186</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נהיגה ללא רישיון נהיגה תקף</w:t>
      </w:r>
      <w:r>
        <w:rPr>
          <w:rFonts w:cs="Century" w:ascii="Century" w:hAnsi="Century"/>
          <w:rtl w:val="true"/>
        </w:rPr>
        <w:t xml:space="preserve">, </w:t>
      </w:r>
      <w:r>
        <w:rPr>
          <w:rFonts w:ascii="Century" w:hAnsi="Century" w:cs="Century"/>
          <w:rtl w:val="true"/>
        </w:rPr>
        <w:t xml:space="preserve">עבירה לפי </w:t>
      </w:r>
      <w:hyperlink r:id="rId22">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2</w:t>
        </w:r>
      </w:hyperlink>
      <w:r>
        <w:rPr>
          <w:rFonts w:cs="Century" w:ascii="Century" w:hAnsi="Century"/>
          <w:rtl w:val="true"/>
        </w:rPr>
        <w:t xml:space="preserve"> </w:t>
      </w:r>
      <w:r>
        <w:rPr>
          <w:rFonts w:ascii="Century" w:hAnsi="Century" w:cs="Century"/>
          <w:rtl w:val="true"/>
        </w:rPr>
        <w:t>ל</w:t>
      </w:r>
      <w:hyperlink r:id="rId23">
        <w:r>
          <w:rPr>
            <w:rStyle w:val="Hyperlink"/>
            <w:rFonts w:ascii="Century" w:hAnsi="Century" w:cs="Century"/>
            <w:color w:val="0000FF"/>
            <w:u w:val="single"/>
            <w:rtl w:val="true"/>
          </w:rPr>
          <w:t>פקודת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התעבורה</w:t>
        </w:r>
      </w:hyperlink>
      <w:r>
        <w:rPr>
          <w:rFonts w:ascii="Century" w:hAnsi="Century" w:cs="Century"/>
          <w:rtl w:val="true"/>
        </w:rPr>
        <w:t xml:space="preserve"> </w:t>
      </w:r>
      <w:r>
        <w:rPr>
          <w:rFonts w:cs="Century" w:ascii="Century" w:hAnsi="Century"/>
          <w:rtl w:val="true"/>
        </w:rPr>
        <w:t>[</w:t>
      </w:r>
      <w:r>
        <w:rPr>
          <w:rFonts w:ascii="Century" w:hAnsi="Century" w:cs="Century"/>
          <w:rtl w:val="true"/>
        </w:rPr>
        <w:t>נוסח חדש</w:t>
      </w:r>
      <w:r>
        <w:rPr>
          <w:rFonts w:cs="Century" w:ascii="Century" w:hAnsi="Century"/>
          <w:rtl w:val="true"/>
        </w:rPr>
        <w:t xml:space="preserve">] </w:t>
      </w:r>
      <w:r>
        <w:rPr>
          <w:rFonts w:ascii="Century" w:hAnsi="Century" w:cs="Century"/>
          <w:rtl w:val="true"/>
        </w:rPr>
        <w:t>ועבירה של אי ציות לרמזור</w:t>
      </w:r>
      <w:r>
        <w:rPr>
          <w:rFonts w:cs="Century" w:ascii="Century" w:hAnsi="Century"/>
          <w:rtl w:val="true"/>
        </w:rPr>
        <w:t xml:space="preserve">, </w:t>
      </w:r>
      <w:r>
        <w:rPr>
          <w:rFonts w:ascii="Century" w:hAnsi="Century" w:cs="Century"/>
          <w:rtl w:val="true"/>
        </w:rPr>
        <w:t xml:space="preserve">עבירה לפי </w:t>
      </w:r>
      <w:hyperlink r:id="rId24">
        <w:r>
          <w:rPr>
            <w:rStyle w:val="Hyperlink"/>
            <w:rFonts w:ascii="Century" w:hAnsi="Century" w:cs="Century"/>
            <w:color w:val="0000FF"/>
            <w:u w:val="single"/>
            <w:rtl w:val="true"/>
          </w:rPr>
          <w:t>תקנה</w:t>
        </w:r>
        <w:r>
          <w:rPr>
            <w:rStyle w:val="Hyperlink"/>
            <w:rFonts w:ascii="Century" w:hAnsi="Century" w:cs="Century"/>
            <w:color w:val="0000FF"/>
            <w:u w:val="single"/>
            <w:rtl w:val="true"/>
          </w:rPr>
          <w:t xml:space="preserve"> </w:t>
        </w:r>
        <w:r>
          <w:rPr>
            <w:rStyle w:val="Hyperlink"/>
            <w:rFonts w:cs="Century" w:ascii="Century" w:hAnsi="Century"/>
            <w:color w:val="0000FF"/>
            <w:u w:val="single"/>
          </w:rPr>
          <w:t>22</w:t>
        </w:r>
      </w:hyperlink>
      <w:r>
        <w:rPr>
          <w:rFonts w:cs="Century" w:ascii="Century" w:hAnsi="Century"/>
          <w:rtl w:val="true"/>
        </w:rPr>
        <w:t xml:space="preserve"> </w:t>
      </w:r>
      <w:r>
        <w:rPr>
          <w:rFonts w:ascii="Century" w:hAnsi="Century" w:cs="Century"/>
          <w:rtl w:val="true"/>
        </w:rPr>
        <w:t>ל</w:t>
      </w:r>
      <w:hyperlink r:id="rId25">
        <w:r>
          <w:rPr>
            <w:rStyle w:val="Hyperlink"/>
            <w:rFonts w:ascii="Century" w:hAnsi="Century" w:cs="Century"/>
            <w:color w:val="0000FF"/>
            <w:u w:val="single"/>
            <w:rtl w:val="true"/>
          </w:rPr>
          <w:t>תקנות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התעבורה</w:t>
        </w:r>
      </w:hyperlink>
      <w:r>
        <w:rPr>
          <w:rFonts w:cs="Century" w:ascii="Century" w:hAnsi="Century"/>
          <w:rtl w:val="true"/>
        </w:rPr>
        <w:t xml:space="preserve">, </w:t>
      </w:r>
      <w:r>
        <w:rPr>
          <w:rFonts w:ascii="Century" w:hAnsi="Century" w:cs="Century"/>
          <w:rtl w:val="true"/>
        </w:rPr>
        <w:t>התשכ</w:t>
      </w:r>
      <w:r>
        <w:rPr>
          <w:rFonts w:cs="Century" w:ascii="Century" w:hAnsi="Century"/>
          <w:rtl w:val="true"/>
        </w:rPr>
        <w:t>"</w:t>
      </w:r>
      <w:r>
        <w:rPr>
          <w:rFonts w:ascii="Century" w:hAnsi="Century" w:cs="Century"/>
          <w:rtl w:val="true"/>
        </w:rPr>
        <w:t>א</w:t>
      </w:r>
      <w:r>
        <w:rPr>
          <w:rFonts w:cs="Century" w:ascii="Century" w:hAnsi="Century"/>
          <w:rtl w:val="true"/>
        </w:rPr>
        <w:t>-</w:t>
      </w:r>
      <w:r>
        <w:rPr>
          <w:rFonts w:cs="Century" w:ascii="Century" w:hAnsi="Century"/>
        </w:rPr>
        <w:t>1961</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על המערער נגזרו </w:t>
      </w:r>
      <w:r>
        <w:rPr>
          <w:rFonts w:cs="Century" w:ascii="Century" w:hAnsi="Century"/>
        </w:rPr>
        <w:t>44</w:t>
      </w:r>
      <w:r>
        <w:rPr>
          <w:rFonts w:cs="Century" w:ascii="Century" w:hAnsi="Century"/>
          <w:rtl w:val="true"/>
        </w:rPr>
        <w:t xml:space="preserve"> </w:t>
      </w:r>
      <w:r>
        <w:rPr>
          <w:rFonts w:ascii="Century" w:hAnsi="Century" w:cs="Century"/>
          <w:rtl w:val="true"/>
        </w:rPr>
        <w:t>חודשי מאסר לריצוי בפועל בניכוי ימי מעצרו</w:t>
      </w:r>
      <w:r>
        <w:rPr>
          <w:rFonts w:cs="Century" w:ascii="Century" w:hAnsi="Century"/>
          <w:rtl w:val="true"/>
        </w:rPr>
        <w:t xml:space="preserve">, </w:t>
      </w:r>
      <w:r>
        <w:rPr>
          <w:rFonts w:ascii="Century" w:hAnsi="Century" w:cs="Century"/>
          <w:rtl w:val="true"/>
        </w:rPr>
        <w:t xml:space="preserve">מאסר על תנאי של </w:t>
      </w:r>
      <w:r>
        <w:rPr>
          <w:rFonts w:cs="Century" w:ascii="Century" w:hAnsi="Century"/>
        </w:rPr>
        <w:t>6</w:t>
      </w:r>
      <w:r>
        <w:rPr>
          <w:rFonts w:cs="Century" w:ascii="Century" w:hAnsi="Century"/>
          <w:rtl w:val="true"/>
        </w:rPr>
        <w:t xml:space="preserve"> </w:t>
      </w:r>
      <w:r>
        <w:rPr>
          <w:rFonts w:ascii="Century" w:hAnsi="Century" w:cs="Century"/>
          <w:rtl w:val="true"/>
        </w:rPr>
        <w:t>חודשים למשך שלוש שנים</w:t>
      </w:r>
      <w:r>
        <w:rPr>
          <w:rFonts w:cs="Century" w:ascii="Century" w:hAnsi="Century"/>
          <w:rtl w:val="true"/>
        </w:rPr>
        <w:t xml:space="preserve">, </w:t>
      </w:r>
      <w:r>
        <w:rPr>
          <w:rFonts w:ascii="Century" w:hAnsi="Century" w:cs="Century"/>
          <w:rtl w:val="true"/>
        </w:rPr>
        <w:t>שלא יעבור עבירות של סיכון חיי אדם</w:t>
      </w:r>
      <w:r>
        <w:rPr>
          <w:rFonts w:cs="Century" w:ascii="Century" w:hAnsi="Century"/>
          <w:rtl w:val="true"/>
        </w:rPr>
        <w:t xml:space="preserve">, </w:t>
      </w:r>
      <w:r>
        <w:rPr>
          <w:rFonts w:ascii="Century" w:hAnsi="Century" w:cs="Century"/>
          <w:rtl w:val="true"/>
        </w:rPr>
        <w:t>נהיגה ללא רישיון נהיגה תקף או נהיגה בפסילה</w:t>
      </w:r>
      <w:r>
        <w:rPr>
          <w:rFonts w:cs="Century" w:ascii="Century" w:hAnsi="Century"/>
          <w:rtl w:val="true"/>
        </w:rPr>
        <w:t xml:space="preserve">, </w:t>
      </w:r>
      <w:r>
        <w:rPr>
          <w:rFonts w:ascii="Century" w:hAnsi="Century" w:cs="Century"/>
          <w:rtl w:val="true"/>
        </w:rPr>
        <w:t>נהיגה בפזיזות והחזקת סכין</w:t>
      </w:r>
      <w:r>
        <w:rPr>
          <w:rFonts w:cs="Century" w:ascii="Century" w:hAnsi="Century"/>
          <w:rtl w:val="true"/>
        </w:rPr>
        <w:t xml:space="preserve">. </w:t>
      </w:r>
      <w:r>
        <w:rPr>
          <w:rFonts w:ascii="Century" w:hAnsi="Century" w:cs="Century"/>
          <w:rtl w:val="true"/>
        </w:rPr>
        <w:t xml:space="preserve">כמו כן הוטלה על המערער פסילת רישיון נהיגה לתקופה של </w:t>
      </w:r>
      <w:r>
        <w:rPr>
          <w:rFonts w:cs="Century" w:ascii="Century" w:hAnsi="Century"/>
        </w:rPr>
        <w:t>24</w:t>
      </w:r>
      <w:r>
        <w:rPr>
          <w:rFonts w:cs="Century" w:ascii="Century" w:hAnsi="Century"/>
          <w:rtl w:val="true"/>
        </w:rPr>
        <w:t xml:space="preserve"> </w:t>
      </w:r>
      <w:r>
        <w:rPr>
          <w:rFonts w:ascii="Century" w:hAnsi="Century" w:cs="Century"/>
          <w:rtl w:val="true"/>
        </w:rPr>
        <w:t>חודשים</w:t>
      </w:r>
      <w:r>
        <w:rPr>
          <w:rFonts w:cs="Century" w:ascii="Century" w:hAnsi="Century"/>
          <w:rtl w:val="true"/>
        </w:rPr>
        <w:t xml:space="preserve">, </w:t>
      </w:r>
      <w:r>
        <w:rPr>
          <w:rFonts w:ascii="Century" w:hAnsi="Century" w:cs="Century"/>
          <w:rtl w:val="true"/>
        </w:rPr>
        <w:t xml:space="preserve">לאחר שחרורו ממאסר וחויב בפיצוי בסך של </w:t>
      </w:r>
      <w:r>
        <w:rPr>
          <w:rFonts w:cs="Century" w:ascii="Century" w:hAnsi="Century"/>
        </w:rPr>
        <w:t>2,500</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ח</w:t>
      </w:r>
      <w:r>
        <w:rPr>
          <w:rFonts w:ascii="Century" w:hAnsi="Century" w:cs="Century"/>
          <w:rtl w:val="true"/>
        </w:rPr>
        <w:t xml:space="preserve"> לבעלי אחד הרכבים שניזוקו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הערעור מתייחס הן להרשעה והן לעונש</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w:t>
      </w:r>
      <w:r>
        <w:rPr>
          <w:rFonts w:cs="Century" w:ascii="Century" w:hAnsi="Century"/>
          <w:rtl w:val="true"/>
        </w:rPr>
        <w:t>.</w:t>
        <w:tab/>
      </w:r>
      <w:r>
        <w:rPr>
          <w:rFonts w:ascii="Century" w:hAnsi="Century" w:cs="Century"/>
          <w:rtl w:val="true"/>
        </w:rPr>
        <w:t xml:space="preserve">להלן תובא תמצית עובדות כתב האישום שבבסיס ההרשעה </w:t>
      </w:r>
      <w:r>
        <w:rPr>
          <w:rFonts w:ascii="Century" w:hAnsi="Century" w:cs="Century"/>
          <w:rtl w:val="true"/>
        </w:rPr>
        <w:t>הנ</w:t>
      </w:r>
      <w:r>
        <w:rPr>
          <w:rFonts w:cs="Century" w:ascii="Century" w:hAnsi="Century"/>
          <w:rtl w:val="true"/>
        </w:rPr>
        <w:t>"</w:t>
      </w:r>
      <w:r>
        <w:rPr>
          <w:rFonts w:ascii="Century" w:hAnsi="Century" w:cs="Century"/>
          <w:rtl w:val="true"/>
        </w:rPr>
        <w:t>ל</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cs="Century" w:ascii="Century" w:hAnsi="Century"/>
          <w:rtl w:val="true"/>
        </w:rPr>
        <w:t xml:space="preserve"> </w:t>
      </w:r>
      <w:r>
        <w:rPr>
          <w:rFonts w:ascii="Century" w:hAnsi="Century" w:cs="Century"/>
          <w:rtl w:val="true"/>
        </w:rPr>
        <w:t>בזמנים הרלוונטיים לכתב האישום רישיון נהיגתו של המערער לא היה בתוקף</w:t>
      </w:r>
      <w:r>
        <w:rPr>
          <w:rFonts w:cs="Century" w:ascii="Century" w:hAnsi="Century"/>
          <w:rtl w:val="true"/>
        </w:rPr>
        <w:t xml:space="preserve">. </w:t>
      </w:r>
      <w:r>
        <w:rPr>
          <w:rFonts w:ascii="Century" w:hAnsi="Century" w:cs="Century"/>
          <w:rtl w:val="true"/>
        </w:rPr>
        <w:t xml:space="preserve">ביום </w:t>
      </w:r>
      <w:r>
        <w:rPr>
          <w:rFonts w:cs="Century" w:ascii="Century" w:hAnsi="Century"/>
        </w:rPr>
        <w:t>4.6.2016</w:t>
      </w:r>
      <w:r>
        <w:rPr>
          <w:rFonts w:cs="Century" w:ascii="Century" w:hAnsi="Century"/>
          <w:rtl w:val="true"/>
        </w:rPr>
        <w:t xml:space="preserve"> </w:t>
      </w:r>
      <w:r>
        <w:rPr>
          <w:rFonts w:ascii="Century" w:hAnsi="Century" w:cs="Century"/>
          <w:rtl w:val="true"/>
        </w:rPr>
        <w:t xml:space="preserve">בסביבות השעה </w:t>
      </w:r>
      <w:r>
        <w:rPr>
          <w:rFonts w:cs="Century" w:ascii="Century" w:hAnsi="Century"/>
        </w:rPr>
        <w:t>01:00</w:t>
      </w:r>
      <w:r>
        <w:rPr>
          <w:rFonts w:cs="Century" w:ascii="Century" w:hAnsi="Century"/>
          <w:rtl w:val="true"/>
        </w:rPr>
        <w:t xml:space="preserve">, </w:t>
      </w:r>
      <w:r>
        <w:rPr>
          <w:rFonts w:ascii="Century" w:hAnsi="Century" w:cs="Century"/>
          <w:rtl w:val="true"/>
        </w:rPr>
        <w:t>באחד מרחובות ירושלים הבחינה ניידת בילוש מוסוות ברכב בו ישב המערער</w:t>
      </w:r>
      <w:r>
        <w:rPr>
          <w:rFonts w:cs="Century" w:ascii="Century" w:hAnsi="Century"/>
          <w:rtl w:val="true"/>
        </w:rPr>
        <w:t xml:space="preserve">. </w:t>
      </w:r>
      <w:r>
        <w:rPr>
          <w:rFonts w:ascii="Century" w:hAnsi="Century" w:cs="Century"/>
          <w:rtl w:val="true"/>
        </w:rPr>
        <w:t>בשל חשד שהתעורר אצל יושבי ניידת הבילוש</w:t>
      </w:r>
      <w:r>
        <w:rPr>
          <w:rFonts w:cs="Century" w:ascii="Century" w:hAnsi="Century"/>
          <w:rtl w:val="true"/>
        </w:rPr>
        <w:t xml:space="preserve">, </w:t>
      </w:r>
      <w:r>
        <w:rPr>
          <w:rFonts w:ascii="Century" w:hAnsi="Century" w:cs="Century"/>
          <w:rtl w:val="true"/>
        </w:rPr>
        <w:t>הניידת התקרבה לרכבו של המערער וסימנה לו באמצעות כריזה בצופר המשטרתי והבהוב לעצור לבדיקה</w:t>
      </w:r>
      <w:r>
        <w:rPr>
          <w:rFonts w:cs="Century" w:ascii="Century" w:hAnsi="Century"/>
          <w:rtl w:val="true"/>
        </w:rPr>
        <w:t xml:space="preserve">. </w:t>
      </w:r>
      <w:r>
        <w:rPr>
          <w:rFonts w:ascii="Century" w:hAnsi="Century" w:cs="Century"/>
          <w:rtl w:val="true"/>
        </w:rPr>
        <w:t>בתגובה לכך פתח המערער במנוסה מהירה מהמקום</w:t>
      </w:r>
      <w:r>
        <w:rPr>
          <w:rFonts w:cs="Century" w:ascii="Century" w:hAnsi="Century"/>
          <w:rtl w:val="true"/>
        </w:rPr>
        <w:t xml:space="preserve">, </w:t>
      </w:r>
      <w:r>
        <w:rPr>
          <w:rFonts w:ascii="Century" w:hAnsi="Century" w:cs="Century"/>
          <w:rtl w:val="true"/>
        </w:rPr>
        <w:t>מנוסה שהתפתחה במהרה למרדף אליו הצטרפו ניידות משטרתיות שדלקו בעקבות רכבו של המערער</w:t>
      </w:r>
      <w:r>
        <w:rPr>
          <w:rFonts w:cs="Century" w:ascii="Century" w:hAnsi="Century"/>
          <w:rtl w:val="true"/>
        </w:rPr>
        <w:t xml:space="preserve">, </w:t>
      </w:r>
      <w:r>
        <w:rPr>
          <w:rFonts w:ascii="Century" w:hAnsi="Century" w:cs="Century"/>
          <w:rtl w:val="true"/>
        </w:rPr>
        <w:t>תוך הפעלת סירנות והבהוב באורות כחולים</w:t>
      </w:r>
      <w:r>
        <w:rPr>
          <w:rFonts w:cs="Century" w:ascii="Century" w:hAnsi="Century"/>
          <w:rtl w:val="true"/>
        </w:rPr>
        <w:t xml:space="preserve">. </w:t>
      </w:r>
      <w:r>
        <w:rPr>
          <w:rFonts w:ascii="Century" w:hAnsi="Century" w:cs="Century"/>
          <w:rtl w:val="true"/>
        </w:rPr>
        <w:t>במהלך המרדף נהג המערער בפראות</w:t>
      </w:r>
      <w:r>
        <w:rPr>
          <w:rFonts w:cs="Century" w:ascii="Century" w:hAnsi="Century"/>
          <w:rtl w:val="true"/>
        </w:rPr>
        <w:t xml:space="preserve">, </w:t>
      </w:r>
      <w:r>
        <w:rPr>
          <w:rFonts w:ascii="Century" w:hAnsi="Century" w:cs="Century"/>
          <w:rtl w:val="true"/>
        </w:rPr>
        <w:t>במהירות גבוהה</w:t>
      </w:r>
      <w:r>
        <w:rPr>
          <w:rFonts w:cs="Century" w:ascii="Century" w:hAnsi="Century"/>
          <w:rtl w:val="true"/>
        </w:rPr>
        <w:t xml:space="preserve">, </w:t>
      </w:r>
      <w:r>
        <w:rPr>
          <w:rFonts w:ascii="Century" w:hAnsi="Century" w:cs="Century"/>
          <w:rtl w:val="true"/>
        </w:rPr>
        <w:t>תוך חציית צומת באור אדום וסיכון חיי אדם ועקיפת מחסומים משטרתיים</w:t>
      </w:r>
      <w:r>
        <w:rPr>
          <w:rFonts w:cs="Century" w:ascii="Century" w:hAnsi="Century"/>
          <w:rtl w:val="true"/>
        </w:rPr>
        <w:t xml:space="preserve">, </w:t>
      </w:r>
      <w:r>
        <w:rPr>
          <w:rFonts w:ascii="Century" w:hAnsi="Century" w:cs="Century"/>
          <w:rtl w:val="true"/>
        </w:rPr>
        <w:t>כאשר רק בעקבות ירי השוטרים לעבר רכבו של המערער שפגע בדלת הרכב נעצר המערער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פסק</w:t>
      </w:r>
      <w:r>
        <w:rPr>
          <w:rFonts w:ascii="Century" w:hAnsi="Century" w:eastAsia="Century" w:cs="Century"/>
          <w:b/>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r>
        <w:rPr>
          <w:rFonts w:ascii="Century" w:hAnsi="Century" w:eastAsia="Century" w:cs="Century"/>
          <w:b/>
          <w:b/>
          <w:spacing w:val="0"/>
          <w:szCs w:val="24"/>
          <w:rtl w:val="true"/>
        </w:rPr>
        <w:t xml:space="preserve"> </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rFonts w:ascii="Century" w:hAnsi="Century" w:cs="Century"/>
        </w:rPr>
      </w:pPr>
      <w:r>
        <w:rPr>
          <w:rFonts w:cs="Century" w:ascii="Century" w:hAnsi="Century"/>
        </w:rPr>
        <w:t>3</w:t>
      </w:r>
      <w:r>
        <w:rPr>
          <w:rFonts w:cs="Century" w:ascii="Century" w:hAnsi="Century"/>
          <w:rtl w:val="true"/>
        </w:rPr>
        <w:t>.</w:t>
        <w:tab/>
      </w:r>
      <w:r>
        <w:rPr>
          <w:rFonts w:ascii="Century" w:hAnsi="Century" w:cs="Century"/>
          <w:rtl w:val="true"/>
        </w:rPr>
        <w:t>לאור תשובת המערער לכתב האישום לפיה הוא הודה בעיקרי העובדות</w:t>
      </w:r>
      <w:r>
        <w:rPr>
          <w:rFonts w:cs="Century" w:ascii="Century" w:hAnsi="Century"/>
          <w:rtl w:val="true"/>
        </w:rPr>
        <w:t xml:space="preserve">, </w:t>
      </w:r>
      <w:r>
        <w:rPr>
          <w:rFonts w:ascii="Century" w:hAnsi="Century" w:cs="Century"/>
          <w:rtl w:val="true"/>
        </w:rPr>
        <w:t>מיקד בית המשפט את פסק דינו בהתמודדות עם טענות ההגנה של המערער בנושאים שבמחלוקת</w:t>
      </w:r>
      <w:r>
        <w:rPr>
          <w:rFonts w:cs="Century" w:ascii="Century" w:hAnsi="Century"/>
          <w:rtl w:val="true"/>
        </w:rPr>
        <w:t xml:space="preserve">. </w:t>
      </w:r>
      <w:r>
        <w:rPr>
          <w:rFonts w:ascii="Century" w:hAnsi="Century" w:cs="Century"/>
          <w:rtl w:val="true"/>
        </w:rPr>
        <w:t>ואלו הם</w:t>
      </w:r>
      <w:r>
        <w:rPr>
          <w:rFonts w:cs="Century" w:ascii="Century" w:hAnsi="Century"/>
          <w:rtl w:val="true"/>
        </w:rPr>
        <w:t xml:space="preserve">: </w:t>
      </w:r>
      <w:r>
        <w:rPr>
          <w:rFonts w:ascii="Century" w:hAnsi="Century" w:cs="Century"/>
          <w:rtl w:val="true"/>
        </w:rPr>
        <w:t>א</w:t>
      </w:r>
      <w:r>
        <w:rPr>
          <w:rFonts w:cs="Century" w:ascii="Century" w:hAnsi="Century"/>
          <w:rtl w:val="true"/>
        </w:rPr>
        <w:t xml:space="preserve">. </w:t>
      </w:r>
      <w:r>
        <w:rPr>
          <w:rFonts w:ascii="Century" w:hAnsi="Century" w:cs="Century"/>
          <w:rtl w:val="true"/>
        </w:rPr>
        <w:t>האם המערער היה במצב פסיכוטי בעת ביצוע המעשים</w:t>
      </w:r>
      <w:r>
        <w:rPr>
          <w:rFonts w:cs="Century" w:ascii="Century" w:hAnsi="Century"/>
          <w:rtl w:val="true"/>
        </w:rPr>
        <w:t xml:space="preserve">. </w:t>
      </w:r>
      <w:r>
        <w:rPr>
          <w:rFonts w:ascii="Century" w:hAnsi="Century" w:cs="Century"/>
          <w:rtl w:val="true"/>
        </w:rPr>
        <w:t>ב</w:t>
      </w:r>
      <w:r>
        <w:rPr>
          <w:rFonts w:cs="Century" w:ascii="Century" w:hAnsi="Century"/>
          <w:rtl w:val="true"/>
        </w:rPr>
        <w:t xml:space="preserve">. </w:t>
      </w:r>
      <w:r>
        <w:rPr>
          <w:rFonts w:ascii="Century" w:hAnsi="Century" w:cs="Century"/>
          <w:rtl w:val="true"/>
        </w:rPr>
        <w:t>האם מצבו הנפשי והתקפי החרדה שהוא סובל מהם בצירוף נסיבות המפגש עם שוטרי הבילוש</w:t>
      </w:r>
      <w:r>
        <w:rPr>
          <w:rFonts w:cs="Century" w:ascii="Century" w:hAnsi="Century"/>
          <w:rtl w:val="true"/>
        </w:rPr>
        <w:t xml:space="preserve">, </w:t>
      </w:r>
      <w:r>
        <w:rPr>
          <w:rFonts w:ascii="Century" w:hAnsi="Century" w:cs="Century"/>
          <w:rtl w:val="true"/>
        </w:rPr>
        <w:t>גרמו לו לחשוב בטעות שמדובר בעבריינים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בעניין מצבו הנפשי של המערער בעת ביצוע המעשה דחה בית המשפט את הטענה כי המערער היה במצב פסיכוטי</w:t>
      </w:r>
      <w:r>
        <w:rPr>
          <w:rFonts w:cs="Century" w:ascii="Century" w:hAnsi="Century"/>
          <w:rtl w:val="true"/>
        </w:rPr>
        <w:t xml:space="preserve">. </w:t>
      </w:r>
      <w:r>
        <w:rPr>
          <w:rFonts w:ascii="Century" w:hAnsi="Century" w:cs="Century"/>
          <w:rtl w:val="true"/>
        </w:rPr>
        <w:t>בית המשפט העדיף את חוות דעתו ועדותו של ד</w:t>
      </w:r>
      <w:r>
        <w:rPr>
          <w:rFonts w:cs="Century" w:ascii="Century" w:hAnsi="Century"/>
          <w:rtl w:val="true"/>
        </w:rPr>
        <w:t>"</w:t>
      </w:r>
      <w:r>
        <w:rPr>
          <w:rFonts w:ascii="Century" w:hAnsi="Century" w:cs="Century"/>
          <w:rtl w:val="true"/>
        </w:rPr>
        <w:t>ר איגור ברש</w:t>
      </w:r>
      <w:r>
        <w:rPr>
          <w:rFonts w:cs="Century" w:ascii="Century" w:hAnsi="Century"/>
          <w:rtl w:val="true"/>
        </w:rPr>
        <w:t xml:space="preserve">, </w:t>
      </w:r>
      <w:r>
        <w:rPr>
          <w:rFonts w:ascii="Century" w:hAnsi="Century" w:cs="Century"/>
          <w:rtl w:val="true"/>
        </w:rPr>
        <w:t>סגן מנהל בית החולים איתנים</w:t>
      </w:r>
      <w:r>
        <w:rPr>
          <w:rFonts w:cs="Century" w:ascii="Century" w:hAnsi="Century"/>
          <w:rtl w:val="true"/>
        </w:rPr>
        <w:t xml:space="preserve">, </w:t>
      </w:r>
      <w:r>
        <w:rPr>
          <w:rFonts w:ascii="Century" w:hAnsi="Century" w:cs="Century"/>
          <w:rtl w:val="true"/>
        </w:rPr>
        <w:t>המומחה מטעם המשיבה על פני חוות דעתו ועדותו של ד</w:t>
      </w:r>
      <w:r>
        <w:rPr>
          <w:rFonts w:cs="Century" w:ascii="Century" w:hAnsi="Century"/>
          <w:rtl w:val="true"/>
        </w:rPr>
        <w:t>"</w:t>
      </w:r>
      <w:r>
        <w:rPr>
          <w:rFonts w:ascii="Century" w:hAnsi="Century" w:cs="Century"/>
          <w:rtl w:val="true"/>
        </w:rPr>
        <w:t>ר פוקס מטעם ההגנה</w:t>
      </w:r>
      <w:r>
        <w:rPr>
          <w:rFonts w:cs="Century" w:ascii="Century" w:hAnsi="Century"/>
          <w:rtl w:val="true"/>
        </w:rPr>
        <w:t xml:space="preserve">. </w:t>
      </w:r>
      <w:r>
        <w:rPr>
          <w:rFonts w:ascii="Century" w:hAnsi="Century" w:cs="Century"/>
          <w:rtl w:val="true"/>
        </w:rPr>
        <w:t>נקבע</w:t>
      </w:r>
      <w:r>
        <w:rPr>
          <w:rFonts w:cs="Century" w:ascii="Century" w:hAnsi="Century"/>
          <w:rtl w:val="true"/>
        </w:rPr>
        <w:t xml:space="preserve">, </w:t>
      </w:r>
      <w:r>
        <w:rPr>
          <w:rFonts w:ascii="Century" w:hAnsi="Century" w:cs="Century"/>
          <w:rtl w:val="true"/>
        </w:rPr>
        <w:t xml:space="preserve">כי בעת האירוע המערער לא פעל מתוך תחושה של </w:t>
      </w:r>
      <w:r>
        <w:rPr>
          <w:rFonts w:cs="Century" w:ascii="Century" w:hAnsi="Century"/>
          <w:rtl w:val="true"/>
        </w:rPr>
        <w:t>"</w:t>
      </w:r>
      <w:r>
        <w:rPr>
          <w:rFonts w:ascii="Century" w:hAnsi="Century" w:cs="Century"/>
          <w:rtl w:val="true"/>
        </w:rPr>
        <w:t>חרדה פסיכוטית</w:t>
      </w:r>
      <w:r>
        <w:rPr>
          <w:rFonts w:cs="Century" w:ascii="Century" w:hAnsi="Century"/>
          <w:rtl w:val="true"/>
        </w:rPr>
        <w:t xml:space="preserve">" </w:t>
      </w:r>
      <w:r>
        <w:rPr>
          <w:rFonts w:ascii="Century" w:hAnsi="Century" w:cs="Century"/>
          <w:rtl w:val="true"/>
        </w:rPr>
        <w:t xml:space="preserve">שכן מצב החרדה שבו היה נתון נבע </w:t>
      </w:r>
      <w:r>
        <w:rPr>
          <w:rFonts w:cs="Century" w:ascii="Century" w:hAnsi="Century"/>
          <w:rtl w:val="true"/>
        </w:rPr>
        <w:t>"</w:t>
      </w:r>
      <w:r>
        <w:rPr>
          <w:rFonts w:ascii="Century" w:hAnsi="Century" w:cs="Century"/>
          <w:rtl w:val="true"/>
        </w:rPr>
        <w:t xml:space="preserve">מביסוס הגיוני </w:t>
      </w:r>
      <w:r>
        <w:rPr>
          <w:rFonts w:ascii="Century" w:hAnsi="Century" w:cs="Century"/>
          <w:rtl w:val="true"/>
        </w:rPr>
        <w:t>–</w:t>
      </w:r>
      <w:r>
        <w:rPr>
          <w:rFonts w:ascii="Century" w:hAnsi="Century" w:cs="Century"/>
          <w:rtl w:val="true"/>
        </w:rPr>
        <w:t xml:space="preserve"> הנובע מאורח חייו של הנאשם</w:t>
      </w:r>
      <w:r>
        <w:rPr>
          <w:rFonts w:cs="Century" w:ascii="Century" w:hAnsi="Century"/>
          <w:rtl w:val="true"/>
        </w:rPr>
        <w:t xml:space="preserve">", </w:t>
      </w:r>
      <w:r>
        <w:rPr>
          <w:rFonts w:ascii="Century" w:hAnsi="Century" w:cs="Century"/>
          <w:rtl w:val="true"/>
        </w:rPr>
        <w:t>היותו נרדף על ידי גורמים עברייניים וניסיונות חיסול שחווה בעבר</w:t>
      </w:r>
      <w:r>
        <w:rPr>
          <w:rFonts w:cs="Century" w:ascii="Century" w:hAnsi="Century"/>
          <w:rtl w:val="true"/>
        </w:rPr>
        <w:t xml:space="preserve">. </w:t>
      </w:r>
      <w:r>
        <w:rPr>
          <w:rFonts w:ascii="Century" w:hAnsi="Century" w:cs="Century"/>
          <w:rtl w:val="true"/>
        </w:rPr>
        <w:t>בית המשפט קיבל את עמדתו של ד</w:t>
      </w:r>
      <w:r>
        <w:rPr>
          <w:rFonts w:cs="Century" w:ascii="Century" w:hAnsi="Century"/>
          <w:rtl w:val="true"/>
        </w:rPr>
        <w:t>"</w:t>
      </w:r>
      <w:r>
        <w:rPr>
          <w:rFonts w:ascii="Century" w:hAnsi="Century" w:cs="Century"/>
          <w:rtl w:val="true"/>
        </w:rPr>
        <w:t>ר ברש לפיה המערער לא סבל ממחלת נפש ואין בסיס לפטור אותו מאחריות פלילית</w:t>
      </w:r>
      <w:r>
        <w:rPr>
          <w:rFonts w:cs="Century" w:ascii="Century" w:hAnsi="Century"/>
          <w:rtl w:val="true"/>
        </w:rPr>
        <w:t xml:space="preserve">. </w:t>
      </w:r>
      <w:r>
        <w:rPr>
          <w:rFonts w:ascii="Century" w:hAnsi="Century" w:cs="Century"/>
          <w:rtl w:val="true"/>
        </w:rPr>
        <w:t>עוד נקבע כי עמדתו של ד</w:t>
      </w:r>
      <w:r>
        <w:rPr>
          <w:rFonts w:cs="Century" w:ascii="Century" w:hAnsi="Century"/>
          <w:rtl w:val="true"/>
        </w:rPr>
        <w:t>"</w:t>
      </w:r>
      <w:r>
        <w:rPr>
          <w:rFonts w:ascii="Century" w:hAnsi="Century" w:cs="Century"/>
          <w:rtl w:val="true"/>
        </w:rPr>
        <w:t>ר ברש היתה משכנעת כשלעצמה ועלתה בקנה אחד עם התרשמותו של בית המשפט מהתנהלותו של המערער במהלך הדיון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בית המשפט דחה את גירסת המערער לעניין ה</w:t>
      </w:r>
      <w:r>
        <w:rPr>
          <w:rFonts w:cs="Century" w:ascii="Century" w:hAnsi="Century"/>
          <w:rtl w:val="true"/>
        </w:rPr>
        <w:t>'</w:t>
      </w:r>
      <w:r>
        <w:rPr>
          <w:rFonts w:ascii="Century" w:hAnsi="Century" w:cs="Century"/>
          <w:rtl w:val="true"/>
        </w:rPr>
        <w:t>טעות</w:t>
      </w:r>
      <w:r>
        <w:rPr>
          <w:rFonts w:cs="Century" w:ascii="Century" w:hAnsi="Century"/>
          <w:rtl w:val="true"/>
        </w:rPr>
        <w:t xml:space="preserve">' </w:t>
      </w:r>
      <w:r>
        <w:rPr>
          <w:rFonts w:ascii="Century" w:hAnsi="Century" w:cs="Century"/>
          <w:rtl w:val="true"/>
        </w:rPr>
        <w:t xml:space="preserve">במצב דברים וקבע כי המערער </w:t>
      </w:r>
      <w:r>
        <w:rPr>
          <w:rFonts w:cs="Century" w:ascii="Century" w:hAnsi="Century"/>
          <w:rtl w:val="true"/>
        </w:rPr>
        <w:t>"</w:t>
      </w:r>
      <w:r>
        <w:rPr>
          <w:rFonts w:ascii="Century" w:hAnsi="Century" w:cs="Century"/>
          <w:rtl w:val="true"/>
        </w:rPr>
        <w:t>נתן תשובות שונות ומשונות</w:t>
      </w:r>
      <w:r>
        <w:rPr>
          <w:rFonts w:cs="Century" w:ascii="Century" w:hAnsi="Century"/>
          <w:rtl w:val="true"/>
        </w:rPr>
        <w:t xml:space="preserve">" </w:t>
      </w:r>
      <w:r>
        <w:rPr>
          <w:rFonts w:ascii="Century" w:hAnsi="Century" w:cs="Century"/>
          <w:rtl w:val="true"/>
        </w:rPr>
        <w:t>להמשך בריחתו לאחר שראה ניידות כחולות רודפות אחריו וקבע כי המערער לא נתן כל הסבר לבריחתו מהזירה לאחר שנכח לדעת כי מדובר בשוטרים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כמו כן דחה בית המשפט את טענתו של המערער כי הגנתו נפגעה עקב מניעת המשטרה את בדיקתו בתנאי הסתכלות בסמוך לביצוע המעשה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לאחר שבית המשפט עמד על הערכים המוגנים שנפגעו</w:t>
      </w:r>
      <w:r>
        <w:rPr>
          <w:rFonts w:cs="Century" w:ascii="Century" w:hAnsi="Century"/>
          <w:rtl w:val="true"/>
        </w:rPr>
        <w:t xml:space="preserve">, </w:t>
      </w:r>
      <w:r>
        <w:rPr>
          <w:rFonts w:ascii="Century" w:hAnsi="Century" w:cs="Century"/>
          <w:rtl w:val="true"/>
        </w:rPr>
        <w:t xml:space="preserve">שלומו ובטחונו של הציבור והעונש החמור של </w:t>
      </w:r>
      <w:r>
        <w:rPr>
          <w:rFonts w:cs="Century" w:ascii="Century" w:hAnsi="Century"/>
        </w:rPr>
        <w:t>20</w:t>
      </w:r>
      <w:r>
        <w:rPr>
          <w:rFonts w:cs="Century" w:ascii="Century" w:hAnsi="Century"/>
          <w:rtl w:val="true"/>
        </w:rPr>
        <w:t xml:space="preserve"> </w:t>
      </w:r>
      <w:r>
        <w:rPr>
          <w:rFonts w:ascii="Century" w:hAnsi="Century" w:cs="Century"/>
          <w:rtl w:val="true"/>
        </w:rPr>
        <w:t>שנות מאסר הקבוע בצדה של עבירת סיכון חיי אדם</w:t>
      </w:r>
      <w:r>
        <w:rPr>
          <w:rFonts w:cs="Century" w:ascii="Century" w:hAnsi="Century"/>
          <w:rtl w:val="true"/>
        </w:rPr>
        <w:t xml:space="preserve">, </w:t>
      </w:r>
      <w:r>
        <w:rPr>
          <w:rFonts w:ascii="Century" w:hAnsi="Century" w:cs="Century"/>
          <w:rtl w:val="true"/>
        </w:rPr>
        <w:t>מדיניות הענישה הנוהגת</w:t>
      </w:r>
      <w:r>
        <w:rPr>
          <w:rFonts w:cs="Century" w:ascii="Century" w:hAnsi="Century"/>
          <w:rtl w:val="true"/>
        </w:rPr>
        <w:t xml:space="preserve">, </w:t>
      </w:r>
      <w:r>
        <w:rPr>
          <w:rFonts w:ascii="Century" w:hAnsi="Century" w:cs="Century"/>
          <w:rtl w:val="true"/>
        </w:rPr>
        <w:t>קבע מתחם ענישה שנע בין שנתיים מאסר ל</w:t>
      </w:r>
      <w:r>
        <w:rPr>
          <w:rFonts w:cs="Century" w:ascii="Century" w:hAnsi="Century"/>
          <w:rtl w:val="true"/>
        </w:rPr>
        <w:t xml:space="preserve">- </w:t>
      </w:r>
      <w:r>
        <w:rPr>
          <w:rFonts w:cs="Century" w:ascii="Century" w:hAnsi="Century"/>
        </w:rPr>
        <w:t>5</w:t>
      </w:r>
      <w:r>
        <w:rPr>
          <w:rFonts w:cs="Century" w:ascii="Century" w:hAnsi="Century"/>
          <w:rtl w:val="true"/>
        </w:rPr>
        <w:t xml:space="preserve"> </w:t>
      </w:r>
      <w:r>
        <w:rPr>
          <w:rFonts w:ascii="Century" w:hAnsi="Century" w:cs="Century"/>
          <w:rtl w:val="true"/>
        </w:rPr>
        <w:t xml:space="preserve">שנות מאסר בפועל </w:t>
      </w:r>
      <w:r>
        <w:rPr>
          <w:rFonts w:cs="Century" w:ascii="Century" w:hAnsi="Century"/>
          <w:rtl w:val="true"/>
        </w:rPr>
        <w:t>(</w:t>
      </w:r>
      <w:r>
        <w:rPr>
          <w:rFonts w:ascii="Century" w:hAnsi="Century" w:cs="Century"/>
          <w:rtl w:val="true"/>
        </w:rPr>
        <w:t>לאירוע בכללותו</w:t>
      </w:r>
      <w:r>
        <w:rPr>
          <w:rFonts w:cs="Century" w:ascii="Century" w:hAnsi="Century"/>
          <w:rtl w:val="true"/>
        </w:rPr>
        <w:t xml:space="preserve">), </w:t>
      </w:r>
      <w:r>
        <w:rPr>
          <w:rFonts w:ascii="Century" w:hAnsi="Century" w:cs="Century"/>
          <w:rtl w:val="true"/>
        </w:rPr>
        <w:t>בהתחשב בעברו המכביד של המערער</w:t>
      </w:r>
      <w:r>
        <w:rPr>
          <w:rFonts w:cs="Century" w:ascii="Century" w:hAnsi="Century"/>
          <w:rtl w:val="true"/>
        </w:rPr>
        <w:t xml:space="preserve">, </w:t>
      </w:r>
      <w:r>
        <w:rPr>
          <w:rFonts w:ascii="Century" w:hAnsi="Century" w:cs="Century"/>
          <w:rtl w:val="true"/>
        </w:rPr>
        <w:t>ניהול משפט ואי נטילת אחריות</w:t>
      </w:r>
      <w:r>
        <w:rPr>
          <w:rFonts w:cs="Century" w:ascii="Century" w:hAnsi="Century"/>
          <w:rtl w:val="true"/>
        </w:rPr>
        <w:t xml:space="preserve">, </w:t>
      </w:r>
      <w:r>
        <w:rPr>
          <w:rFonts w:ascii="Century" w:hAnsi="Century" w:cs="Century"/>
          <w:rtl w:val="true"/>
        </w:rPr>
        <w:t xml:space="preserve">גזר עליו עונש של </w:t>
      </w:r>
      <w:r>
        <w:rPr>
          <w:rFonts w:cs="Century" w:ascii="Century" w:hAnsi="Century"/>
        </w:rPr>
        <w:t>44</w:t>
      </w:r>
      <w:r>
        <w:rPr>
          <w:rFonts w:cs="Century" w:ascii="Century" w:hAnsi="Century"/>
          <w:rtl w:val="true"/>
        </w:rPr>
        <w:t xml:space="preserve"> </w:t>
      </w:r>
      <w:r>
        <w:rPr>
          <w:rFonts w:ascii="Century" w:hAnsi="Century" w:cs="Century"/>
          <w:rtl w:val="true"/>
        </w:rPr>
        <w:t>חודשים לריצוי בפועל וענישה נלווית כפי שפורט לעיל</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טיעוני</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pPr>
      <w:r>
        <w:rPr>
          <w:rFonts w:cs="Century" w:ascii="Century" w:hAnsi="Century"/>
        </w:rPr>
        <w:t>4</w:t>
      </w:r>
      <w:r>
        <w:rPr>
          <w:rFonts w:cs="Century" w:ascii="Century" w:hAnsi="Century"/>
          <w:rtl w:val="true"/>
        </w:rPr>
        <w:t>.</w:t>
      </w:r>
      <w:r>
        <w:rPr>
          <w:rFonts w:cs="Century" w:ascii="Century" w:hAnsi="Century"/>
          <w:rtl w:val="true"/>
        </w:rPr>
        <w:tab/>
      </w:r>
      <w:r>
        <w:rPr>
          <w:rFonts w:ascii="Century" w:hAnsi="Century" w:cs="Century"/>
          <w:rtl w:val="true"/>
        </w:rPr>
        <w:t>בהודעת ערעור ארוכה ומפורטת תקפה באת כוח המערער את כל ממצאי העובדה והמסקנות של בית המשפט קמא</w:t>
      </w:r>
      <w:r>
        <w:rPr>
          <w:rFonts w:cs="Century" w:ascii="Century" w:hAnsi="Century"/>
          <w:rtl w:val="true"/>
        </w:rPr>
        <w:t xml:space="preserve">. </w:t>
      </w:r>
      <w:r>
        <w:rPr>
          <w:rFonts w:ascii="Century" w:hAnsi="Century" w:cs="Century"/>
          <w:rtl w:val="true"/>
        </w:rPr>
        <w:t>כך נטען</w:t>
      </w:r>
      <w:r>
        <w:rPr>
          <w:rFonts w:cs="Century" w:ascii="Century" w:hAnsi="Century"/>
          <w:rtl w:val="true"/>
        </w:rPr>
        <w:t xml:space="preserve">, </w:t>
      </w:r>
      <w:r>
        <w:rPr>
          <w:rFonts w:ascii="Century" w:hAnsi="Century" w:cs="Century"/>
          <w:rtl w:val="true"/>
        </w:rPr>
        <w:t>שבעת המרדף אחרי המערער הוא היה נתון במצב נפשי פסיכוטי ולא היה אחראי למעשיו</w:t>
      </w:r>
      <w:r>
        <w:rPr>
          <w:rFonts w:cs="Century" w:ascii="Century" w:hAnsi="Century"/>
          <w:rtl w:val="true"/>
        </w:rPr>
        <w:t xml:space="preserve">. </w:t>
      </w:r>
      <w:r>
        <w:rPr>
          <w:rFonts w:ascii="Century" w:hAnsi="Century" w:cs="Century"/>
          <w:rtl w:val="true"/>
        </w:rPr>
        <w:t>כמו כן לא היה מקום להרשיע את המערער בעבירה של סיכון חיי אדם</w:t>
      </w:r>
      <w:r>
        <w:rPr>
          <w:rFonts w:cs="Century" w:ascii="Century" w:hAnsi="Century"/>
          <w:rtl w:val="true"/>
        </w:rPr>
        <w:t xml:space="preserve">, </w:t>
      </w:r>
      <w:r>
        <w:rPr>
          <w:rFonts w:ascii="Century" w:hAnsi="Century" w:cs="Century"/>
          <w:rtl w:val="true"/>
        </w:rPr>
        <w:t>שכן מלבד המשטרה בעת המרדף לא היו בכביש אנשים שהמערער סיכן בנהיגתו</w:t>
      </w:r>
      <w:r>
        <w:rPr>
          <w:rFonts w:cs="Century" w:ascii="Century" w:hAnsi="Century"/>
          <w:rtl w:val="true"/>
        </w:rPr>
        <w:t xml:space="preserve">. </w:t>
      </w:r>
      <w:r>
        <w:rPr>
          <w:rFonts w:ascii="Century" w:hAnsi="Century" w:cs="Century"/>
          <w:rtl w:val="true"/>
        </w:rPr>
        <w:t>כך גם לא היה מקום להרשיעו בעבירה של חבלה ופציעה בנסיבות מחמירות</w:t>
      </w:r>
      <w:r>
        <w:rPr>
          <w:rFonts w:cs="Century" w:ascii="Century" w:hAnsi="Century"/>
          <w:rtl w:val="true"/>
        </w:rPr>
        <w:t xml:space="preserve">, </w:t>
      </w:r>
      <w:r>
        <w:rPr>
          <w:rFonts w:ascii="Century" w:hAnsi="Century" w:cs="Century"/>
          <w:rtl w:val="true"/>
        </w:rPr>
        <w:t>משלא הוכח מגע פיזי בין רכבו של המערער לגופו של השוטר שזינק הצדה ונחבל בברכיו כתוצאה מכך</w:t>
      </w:r>
      <w:r>
        <w:rPr>
          <w:rFonts w:cs="Century" w:ascii="Century" w:hAnsi="Century"/>
          <w:rtl w:val="true"/>
        </w:rPr>
        <w:t xml:space="preserve">. </w:t>
      </w:r>
      <w:r>
        <w:rPr>
          <w:rFonts w:ascii="Century" w:hAnsi="Century" w:cs="Century"/>
          <w:rtl w:val="true"/>
        </w:rPr>
        <w:t xml:space="preserve">גם הרשעתו בעבירה של החזקת סכין בטעות יסודה משהחזקת הסכין היתה למטרה כשרה </w:t>
      </w:r>
      <w:r>
        <w:rPr>
          <w:rFonts w:ascii="Century" w:hAnsi="Century" w:cs="Century"/>
          <w:rtl w:val="true"/>
        </w:rPr>
        <w:t>–</w:t>
      </w:r>
      <w:r>
        <w:rPr>
          <w:rFonts w:ascii="Century" w:hAnsi="Century" w:cs="Century"/>
          <w:rtl w:val="true"/>
        </w:rPr>
        <w:t xml:space="preserve"> עבודתו של המערער בגינון</w:t>
      </w:r>
      <w:r>
        <w:rPr>
          <w:rFonts w:cs="Century" w:ascii="Century" w:hAnsi="Century"/>
          <w:rtl w:val="true"/>
        </w:rPr>
        <w:t xml:space="preserve">. </w:t>
      </w:r>
      <w:r>
        <w:rPr>
          <w:rFonts w:ascii="Century" w:hAnsi="Century" w:cs="Century"/>
          <w:rtl w:val="true"/>
        </w:rPr>
        <w:t>עוד נטען לקיומו של מחדל חקירה שהתבטא באי תפיסת מצלמות הרחוב של העירייה שיכלו להוכיח טענת המערער כי לא עבר באור אדום</w:t>
      </w:r>
      <w:r>
        <w:rPr>
          <w:rFonts w:cs="Century" w:ascii="Century" w:hAnsi="Century"/>
          <w:rtl w:val="true"/>
        </w:rPr>
        <w:t xml:space="preserve">. </w:t>
      </w:r>
      <w:r>
        <w:rPr>
          <w:rFonts w:ascii="Century" w:hAnsi="Century" w:cs="Century"/>
          <w:rtl w:val="true"/>
        </w:rPr>
        <w:t>עוד טענה באת כוח המערער</w:t>
      </w:r>
      <w:r>
        <w:rPr>
          <w:rFonts w:cs="Century" w:ascii="Century" w:hAnsi="Century"/>
          <w:rtl w:val="true"/>
        </w:rPr>
        <w:t xml:space="preserve">, </w:t>
      </w:r>
      <w:r>
        <w:rPr>
          <w:rFonts w:ascii="Century" w:hAnsi="Century" w:cs="Century"/>
          <w:rtl w:val="true"/>
        </w:rPr>
        <w:t>כי הגנתו של המערער נפגעה בשל מניעת בדיקתו של המערער בתנאי אשפוז</w:t>
      </w:r>
      <w:r>
        <w:rPr>
          <w:rFonts w:cs="Century" w:ascii="Century" w:hAnsi="Century"/>
          <w:rtl w:val="true"/>
        </w:rPr>
        <w:t xml:space="preserve">. </w:t>
      </w:r>
      <w:r>
        <w:rPr>
          <w:rFonts w:ascii="Century" w:hAnsi="Century" w:cs="Century"/>
          <w:rtl w:val="true"/>
        </w:rPr>
        <w:t>עוד העלתה טענות באשר לחוקיות הירי לעבר רכבו של המערער</w:t>
      </w:r>
      <w:r>
        <w:rPr>
          <w:rFonts w:cs="Century" w:ascii="Century" w:hAnsi="Century"/>
          <w:rtl w:val="true"/>
        </w:rPr>
        <w:t xml:space="preserve">, </w:t>
      </w:r>
      <w:r>
        <w:rPr>
          <w:rFonts w:ascii="Century" w:hAnsi="Century" w:cs="Century"/>
          <w:rtl w:val="true"/>
        </w:rPr>
        <w:t>נסיבות היצמדותה של ניידת הבילוש לרכבו של המערער והסיבות לכך</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באשר לעונש נטען</w:t>
      </w:r>
      <w:r>
        <w:rPr>
          <w:rFonts w:cs="Century" w:ascii="Century" w:hAnsi="Century"/>
          <w:rtl w:val="true"/>
        </w:rPr>
        <w:t xml:space="preserve">, </w:t>
      </w:r>
      <w:r>
        <w:rPr>
          <w:rFonts w:ascii="Century" w:hAnsi="Century" w:cs="Century"/>
          <w:rtl w:val="true"/>
        </w:rPr>
        <w:t>כי העונש שהוטל על המערער חמור יתר על המידה</w:t>
      </w:r>
      <w:r>
        <w:rPr>
          <w:rFonts w:cs="Century" w:ascii="Century" w:hAnsi="Century"/>
          <w:rtl w:val="true"/>
        </w:rPr>
        <w:t xml:space="preserve">, </w:t>
      </w:r>
      <w:r>
        <w:rPr>
          <w:rFonts w:ascii="Century" w:hAnsi="Century" w:cs="Century"/>
          <w:rtl w:val="true"/>
        </w:rPr>
        <w:t>משלא ניתן בו משקל למצבו הנפשי של המערער שהיה בקרבה לסייג מאחריות פלילית כמו גם למצבו הבריאותי ולמאמצי השיקום שעשה במהלך השנים האחרונות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5</w:t>
      </w:r>
      <w:r>
        <w:rPr>
          <w:rFonts w:cs="Century" w:ascii="Century" w:hAnsi="Century"/>
          <w:rtl w:val="true"/>
        </w:rPr>
        <w:t>.</w:t>
        <w:tab/>
      </w:r>
      <w:r>
        <w:rPr>
          <w:rFonts w:ascii="Century" w:hAnsi="Century" w:cs="Century"/>
          <w:rtl w:val="true"/>
        </w:rPr>
        <w:t>באת כוח המשיבה תמכה בפסק דינו של בית המשפט קמא</w:t>
      </w:r>
      <w:r>
        <w:rPr>
          <w:rFonts w:cs="Century" w:ascii="Century" w:hAnsi="Century"/>
          <w:rtl w:val="true"/>
        </w:rPr>
        <w:t xml:space="preserve">. </w:t>
      </w:r>
      <w:r>
        <w:rPr>
          <w:rFonts w:ascii="Century" w:hAnsi="Century" w:cs="Century"/>
          <w:rtl w:val="true"/>
        </w:rPr>
        <w:t>לטענתה</w:t>
      </w:r>
      <w:r>
        <w:rPr>
          <w:rFonts w:cs="Century" w:ascii="Century" w:hAnsi="Century"/>
          <w:rtl w:val="true"/>
        </w:rPr>
        <w:t xml:space="preserve">, </w:t>
      </w:r>
      <w:r>
        <w:rPr>
          <w:rFonts w:ascii="Century" w:hAnsi="Century" w:cs="Century"/>
          <w:rtl w:val="true"/>
        </w:rPr>
        <w:t>ערעורו של המערער עניינו בתקיפת ממצאי עובדה ומהימנות</w:t>
      </w:r>
      <w:r>
        <w:rPr>
          <w:rFonts w:cs="Century" w:ascii="Century" w:hAnsi="Century"/>
          <w:rtl w:val="true"/>
        </w:rPr>
        <w:t xml:space="preserve">, </w:t>
      </w:r>
      <w:r>
        <w:rPr>
          <w:rFonts w:ascii="Century" w:hAnsi="Century" w:cs="Century"/>
          <w:rtl w:val="true"/>
        </w:rPr>
        <w:t>בהם ערכאת הערעור אינה נוטה להתערב</w:t>
      </w:r>
      <w:r>
        <w:rPr>
          <w:rFonts w:cs="Century" w:ascii="Century" w:hAnsi="Century"/>
          <w:rtl w:val="true"/>
        </w:rPr>
        <w:t xml:space="preserve">. </w:t>
      </w:r>
      <w:r>
        <w:rPr>
          <w:rFonts w:ascii="Century" w:hAnsi="Century" w:cs="Century"/>
          <w:rtl w:val="true"/>
        </w:rPr>
        <w:t>לגישתה</w:t>
      </w:r>
      <w:r>
        <w:rPr>
          <w:rFonts w:cs="Century" w:ascii="Century" w:hAnsi="Century"/>
          <w:rtl w:val="true"/>
        </w:rPr>
        <w:t xml:space="preserve">, </w:t>
      </w:r>
      <w:r>
        <w:rPr>
          <w:rFonts w:ascii="Century" w:hAnsi="Century" w:cs="Century"/>
          <w:rtl w:val="true"/>
        </w:rPr>
        <w:t>גם העונש שנגזר על המערער אינו חמור כלל והוא הולם את חומרת העבירות ונסיבות ביצוע המעשים ואינו סוטה ממדיניות הענישה הנוהגת והראויה ויש בו כדי ליתן ביטוי לעברו הפלילי המכביד של המערער</w:t>
      </w:r>
      <w:r>
        <w:rPr>
          <w:rFonts w:cs="Century" w:ascii="Century" w:hAnsi="Century"/>
          <w:rtl w:val="true"/>
        </w:rPr>
        <w:t xml:space="preserve">. </w:t>
      </w:r>
      <w:r>
        <w:rPr>
          <w:rFonts w:ascii="Century" w:hAnsi="Century" w:cs="Century"/>
          <w:rtl w:val="true"/>
        </w:rPr>
        <w:t>לאור האמור ביקשה המשיבה לדחות את הערעור על שני חלקיו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rFonts w:ascii="Century" w:hAnsi="Century" w:cs="Century"/>
        </w:rPr>
      </w:pPr>
      <w:r>
        <w:rPr>
          <w:rFonts w:cs="Century" w:ascii="Century" w:hAnsi="Century"/>
        </w:rPr>
        <w:t>6</w:t>
      </w:r>
      <w:r>
        <w:rPr>
          <w:rFonts w:cs="Century" w:ascii="Century" w:hAnsi="Century"/>
          <w:rtl w:val="true"/>
        </w:rPr>
        <w:t>.</w:t>
      </w:r>
      <w:r>
        <w:rPr>
          <w:rFonts w:cs="Century" w:ascii="Century" w:hAnsi="Century"/>
          <w:rtl w:val="true"/>
        </w:rPr>
        <w:tab/>
      </w:r>
      <w:r>
        <w:rPr>
          <w:rFonts w:ascii="Century" w:hAnsi="Century" w:cs="Century"/>
          <w:rtl w:val="true"/>
        </w:rPr>
        <w:t>בהודעת ערעור ארוכה ומפורטת מעלה באת כוח המערער את אותן טענות שנדונו ונדחו על ידי בית משפט קמא ומבקשת לקיים דיון מחודש</w:t>
      </w:r>
      <w:r>
        <w:rPr>
          <w:rFonts w:cs="Century" w:ascii="Century" w:hAnsi="Century"/>
        </w:rPr>
        <w:t>DE</w:t>
      </w:r>
      <w:r>
        <w:rPr>
          <w:rFonts w:cs="Century" w:ascii="Century" w:hAnsi="Century"/>
        </w:rPr>
        <w:t xml:space="preserve"> </w:t>
      </w:r>
      <w:r>
        <w:rPr>
          <w:rFonts w:cs="Century" w:ascii="Century" w:hAnsi="Century"/>
        </w:rPr>
        <w:t>NOVO</w:t>
      </w:r>
      <w:r>
        <w:rPr>
          <w:rFonts w:cs="Century" w:ascii="Century" w:hAnsi="Century"/>
          <w:rtl w:val="true"/>
        </w:rPr>
        <w:t xml:space="preserve"> </w:t>
      </w:r>
      <w:r>
        <w:rPr>
          <w:rFonts w:cs="Century" w:ascii="Century" w:hAnsi="Century"/>
          <w:rtl w:val="true"/>
        </w:rPr>
        <w:t xml:space="preserve"> </w:t>
      </w:r>
      <w:r>
        <w:rPr>
          <w:rFonts w:ascii="Century" w:hAnsi="Century" w:cs="Century"/>
          <w:rtl w:val="true"/>
        </w:rPr>
        <w:t>בכל קביעותיו ומסקנותיו של בית המשפט קמא</w:t>
      </w:r>
      <w:r>
        <w:rPr>
          <w:rFonts w:cs="Century" w:ascii="Century" w:hAnsi="Century"/>
          <w:rtl w:val="true"/>
        </w:rPr>
        <w:t xml:space="preserve">. </w:t>
      </w:r>
      <w:r>
        <w:rPr>
          <w:rFonts w:ascii="Century" w:hAnsi="Century" w:cs="Century"/>
          <w:rtl w:val="true"/>
        </w:rPr>
        <w:t>על התנהלות דומה אמר בית משפט זה ב</w:t>
      </w:r>
      <w:hyperlink r:id="rId26">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4115/08</w:t>
        </w:r>
      </w:hyperlink>
      <w:r>
        <w:rPr>
          <w:rFonts w:cs="Century" w:ascii="Century" w:hAnsi="Century"/>
          <w:rtl w:val="true"/>
        </w:rPr>
        <w:t xml:space="preserve"> </w:t>
      </w:r>
      <w:r>
        <w:rPr>
          <w:rFonts w:ascii="Century" w:hAnsi="Century" w:cs="Miriam"/>
          <w:b/>
          <w:b/>
          <w:spacing w:val="0"/>
          <w:szCs w:val="24"/>
          <w:rtl w:val="true"/>
        </w:rPr>
        <w:t>גלעד</w:t>
      </w:r>
      <w:r>
        <w:rPr>
          <w:rFonts w:ascii="Century" w:hAnsi="Century" w:eastAsia="Century" w:cs="Century"/>
          <w:b/>
          <w:b/>
          <w:spacing w:val="0"/>
          <w:szCs w:val="24"/>
          <w:rtl w:val="true"/>
        </w:rPr>
        <w:t xml:space="preserve"> </w:t>
      </w:r>
      <w:r>
        <w:rPr>
          <w:rFonts w:ascii="Century" w:hAnsi="Century" w:cs="Miriam"/>
          <w:b/>
          <w:b/>
          <w:spacing w:val="0"/>
          <w:szCs w:val="24"/>
          <w:rtl w:val="true"/>
        </w:rPr>
        <w:t>ואח</w:t>
      </w:r>
      <w:r>
        <w:rPr>
          <w:rFonts w:cs="Miriam" w:ascii="Century" w:hAnsi="Century"/>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24.2.2011</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התנהלות</w:t>
      </w:r>
      <w:r>
        <w:rPr>
          <w:rFonts w:eastAsia="Arial TUR" w:cs="Arial TUR"/>
          <w:rtl w:val="true"/>
        </w:rPr>
        <w:t xml:space="preserve"> </w:t>
      </w:r>
      <w:r>
        <w:rPr>
          <w:rtl w:val="true"/>
        </w:rPr>
        <w:t>דיונית</w:t>
      </w:r>
      <w:r>
        <w:rPr>
          <w:rFonts w:eastAsia="Arial TUR" w:cs="Arial TUR"/>
          <w:rtl w:val="true"/>
        </w:rPr>
        <w:t xml:space="preserve"> </w:t>
      </w:r>
      <w:r>
        <w:rPr>
          <w:rtl w:val="true"/>
        </w:rPr>
        <w:t>זו</w:t>
      </w:r>
      <w:r>
        <w:rPr>
          <w:rFonts w:eastAsia="Arial TUR" w:cs="Arial TUR"/>
          <w:rtl w:val="true"/>
        </w:rPr>
        <w:t xml:space="preserve"> </w:t>
      </w:r>
      <w:r>
        <w:rPr>
          <w:rtl w:val="true"/>
        </w:rPr>
        <w:t>יש</w:t>
      </w:r>
      <w:r>
        <w:rPr>
          <w:rFonts w:eastAsia="Arial TUR" w:cs="Arial TUR"/>
          <w:rtl w:val="true"/>
        </w:rPr>
        <w:t xml:space="preserve"> </w:t>
      </w:r>
      <w:r>
        <w:rPr>
          <w:rtl w:val="true"/>
        </w:rPr>
        <w:t>בה</w:t>
      </w:r>
      <w:r>
        <w:rPr>
          <w:rFonts w:eastAsia="Arial TUR" w:cs="Arial TUR"/>
          <w:rtl w:val="true"/>
        </w:rPr>
        <w:t xml:space="preserve"> </w:t>
      </w:r>
      <w:r>
        <w:rPr>
          <w:rtl w:val="true"/>
        </w:rPr>
        <w:t>כדי</w:t>
      </w:r>
      <w:r>
        <w:rPr>
          <w:rFonts w:eastAsia="Arial TUR" w:cs="Arial TUR"/>
          <w:rtl w:val="true"/>
        </w:rPr>
        <w:t xml:space="preserve"> </w:t>
      </w:r>
      <w:r>
        <w:rPr>
          <w:rtl w:val="true"/>
        </w:rPr>
        <w:t>להחמיץ</w:t>
      </w:r>
      <w:r>
        <w:rPr>
          <w:rFonts w:eastAsia="Arial TUR" w:cs="Arial TUR"/>
          <w:rtl w:val="true"/>
        </w:rPr>
        <w:t xml:space="preserve"> </w:t>
      </w:r>
      <w:r>
        <w:rPr>
          <w:rtl w:val="true"/>
        </w:rPr>
        <w:t>את</w:t>
      </w:r>
      <w:r>
        <w:rPr>
          <w:rFonts w:eastAsia="Arial TUR" w:cs="Arial TUR"/>
          <w:rtl w:val="true"/>
        </w:rPr>
        <w:t xml:space="preserve"> </w:t>
      </w:r>
      <w:r>
        <w:rPr>
          <w:rtl w:val="true"/>
        </w:rPr>
        <w:t>אופן</w:t>
      </w:r>
      <w:r>
        <w:rPr>
          <w:rFonts w:eastAsia="Arial TUR" w:cs="Arial TUR"/>
          <w:rtl w:val="true"/>
        </w:rPr>
        <w:t xml:space="preserve"> </w:t>
      </w:r>
      <w:r>
        <w:rPr>
          <w:rtl w:val="true"/>
        </w:rPr>
        <w:t>פעולתו</w:t>
      </w:r>
      <w:r>
        <w:rPr>
          <w:rFonts w:eastAsia="Arial TUR" w:cs="Arial TUR"/>
          <w:rtl w:val="true"/>
        </w:rPr>
        <w:t xml:space="preserve"> </w:t>
      </w:r>
      <w:r>
        <w:rPr>
          <w:rtl w:val="true"/>
        </w:rPr>
        <w:t>של</w:t>
      </w:r>
      <w:r>
        <w:rPr>
          <w:rFonts w:eastAsia="Arial TUR" w:cs="Arial TUR"/>
          <w:rtl w:val="true"/>
        </w:rPr>
        <w:t xml:space="preserve"> </w:t>
      </w:r>
      <w:r>
        <w:rPr>
          <w:rtl w:val="true"/>
        </w:rPr>
        <w:t>הליך</w:t>
      </w:r>
      <w:r>
        <w:rPr>
          <w:rFonts w:eastAsia="Arial TUR" w:cs="Arial TUR"/>
          <w:rtl w:val="true"/>
        </w:rPr>
        <w:t xml:space="preserve"> </w:t>
      </w:r>
      <w:r>
        <w:rPr>
          <w:rtl w:val="true"/>
        </w:rPr>
        <w:t>הערעור</w:t>
      </w:r>
      <w:r>
        <w:rPr>
          <w:rtl w:val="true"/>
        </w:rPr>
        <w:t>. '</w:t>
      </w:r>
      <w:r>
        <w:rPr>
          <w:rtl w:val="true"/>
        </w:rPr>
        <w:t>אכן</w:t>
      </w:r>
      <w:r>
        <w:rPr>
          <w:rtl w:val="true"/>
        </w:rPr>
        <w:t xml:space="preserve">, </w:t>
      </w:r>
      <w:r>
        <w:rPr>
          <w:rtl w:val="true"/>
        </w:rPr>
        <w:t>תפקידה</w:t>
      </w:r>
      <w:r>
        <w:rPr>
          <w:rFonts w:eastAsia="Arial TUR" w:cs="Arial TUR"/>
          <w:rtl w:val="true"/>
        </w:rPr>
        <w:t xml:space="preserve"> </w:t>
      </w:r>
      <w:r>
        <w:rPr>
          <w:rtl w:val="true"/>
        </w:rPr>
        <w:t>של</w:t>
      </w:r>
      <w:r>
        <w:rPr>
          <w:rFonts w:eastAsia="Arial TUR" w:cs="Arial TUR"/>
          <w:rtl w:val="true"/>
        </w:rPr>
        <w:t xml:space="preserve"> </w:t>
      </w:r>
      <w:r>
        <w:rPr>
          <w:rtl w:val="true"/>
        </w:rPr>
        <w:t>ערכאת</w:t>
      </w:r>
      <w:r>
        <w:rPr>
          <w:rFonts w:eastAsia="Arial TUR" w:cs="Arial TUR"/>
          <w:rtl w:val="true"/>
        </w:rPr>
        <w:t xml:space="preserve"> </w:t>
      </w:r>
      <w:r>
        <w:rPr>
          <w:rtl w:val="true"/>
        </w:rPr>
        <w:t>הערעור</w:t>
      </w:r>
      <w:r>
        <w:rPr>
          <w:rFonts w:eastAsia="Arial TUR" w:cs="Arial TUR"/>
          <w:rtl w:val="true"/>
        </w:rPr>
        <w:t xml:space="preserve"> </w:t>
      </w:r>
      <w:r>
        <w:rPr>
          <w:rtl w:val="true"/>
        </w:rPr>
        <w:t>אינו</w:t>
      </w:r>
      <w:r>
        <w:rPr>
          <w:rFonts w:eastAsia="Arial TUR" w:cs="Arial TUR"/>
          <w:rtl w:val="true"/>
        </w:rPr>
        <w:t xml:space="preserve"> </w:t>
      </w:r>
      <w:r>
        <w:rPr>
          <w:rtl w:val="true"/>
        </w:rPr>
        <w:t>לבחון</w:t>
      </w:r>
      <w:r>
        <w:rPr>
          <w:rFonts w:eastAsia="Arial TUR" w:cs="Arial TUR"/>
          <w:rtl w:val="true"/>
        </w:rPr>
        <w:t xml:space="preserve"> </w:t>
      </w:r>
      <w:r>
        <w:rPr>
          <w:rtl w:val="true"/>
        </w:rPr>
        <w:t>מחדש</w:t>
      </w:r>
      <w:r>
        <w:rPr>
          <w:rFonts w:eastAsia="Arial TUR" w:cs="Arial TUR"/>
          <w:rtl w:val="true"/>
        </w:rPr>
        <w:t xml:space="preserve"> </w:t>
      </w:r>
      <w:r>
        <w:rPr>
          <w:rtl w:val="true"/>
        </w:rPr>
        <w:t>את</w:t>
      </w:r>
      <w:r>
        <w:rPr>
          <w:rFonts w:eastAsia="Arial TUR" w:cs="Arial TUR"/>
          <w:rtl w:val="true"/>
        </w:rPr>
        <w:t xml:space="preserve"> </w:t>
      </w:r>
      <w:r>
        <w:rPr>
          <w:rtl w:val="true"/>
        </w:rPr>
        <w:t>אשמתו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tl w:val="true"/>
        </w:rPr>
        <w:t xml:space="preserve">, </w:t>
      </w:r>
      <w:r>
        <w:rPr>
          <w:rtl w:val="true"/>
        </w:rPr>
        <w:t>את</w:t>
      </w:r>
      <w:r>
        <w:rPr>
          <w:rFonts w:eastAsia="Arial TUR" w:cs="Arial TUR"/>
          <w:rtl w:val="true"/>
        </w:rPr>
        <w:t xml:space="preserve"> </w:t>
      </w:r>
      <w:r>
        <w:rPr>
          <w:rtl w:val="true"/>
        </w:rPr>
        <w:t>צדקתו</w:t>
      </w:r>
      <w:r>
        <w:rPr>
          <w:rFonts w:eastAsia="Arial TUR" w:cs="Arial TUR"/>
          <w:rtl w:val="true"/>
        </w:rPr>
        <w:t xml:space="preserve"> </w:t>
      </w:r>
      <w:r>
        <w:rPr>
          <w:rtl w:val="true"/>
        </w:rPr>
        <w:t>או</w:t>
      </w:r>
      <w:r>
        <w:rPr>
          <w:rFonts w:eastAsia="Arial TUR" w:cs="Arial TUR"/>
          <w:rtl w:val="true"/>
        </w:rPr>
        <w:t xml:space="preserve"> </w:t>
      </w:r>
      <w:r>
        <w:rPr>
          <w:rtl w:val="true"/>
        </w:rPr>
        <w:t>את</w:t>
      </w:r>
      <w:r>
        <w:rPr>
          <w:rFonts w:eastAsia="Arial TUR" w:cs="Arial TUR"/>
          <w:rtl w:val="true"/>
        </w:rPr>
        <w:t xml:space="preserve"> </w:t>
      </w:r>
      <w:r>
        <w:rPr>
          <w:rtl w:val="true"/>
        </w:rPr>
        <w:t>רשעתו</w:t>
      </w:r>
      <w:r>
        <w:rPr>
          <w:rtl w:val="true"/>
        </w:rPr>
        <w:t xml:space="preserve">; </w:t>
      </w:r>
      <w:r>
        <w:rPr>
          <w:rtl w:val="true"/>
        </w:rPr>
        <w:t>תפקידה</w:t>
      </w:r>
      <w:r>
        <w:rPr>
          <w:rFonts w:eastAsia="Arial TUR" w:cs="Arial TUR"/>
          <w:rtl w:val="true"/>
        </w:rPr>
        <w:t xml:space="preserve"> </w:t>
      </w:r>
      <w:r>
        <w:rPr>
          <w:rtl w:val="true"/>
        </w:rPr>
        <w:t>הוא</w:t>
      </w:r>
      <w:r>
        <w:rPr>
          <w:rFonts w:eastAsia="Arial TUR" w:cs="Arial TUR"/>
          <w:rtl w:val="true"/>
        </w:rPr>
        <w:t xml:space="preserve"> </w:t>
      </w:r>
      <w:r>
        <w:rPr>
          <w:rtl w:val="true"/>
        </w:rPr>
        <w:t>להעביר</w:t>
      </w:r>
      <w:r>
        <w:rPr>
          <w:rFonts w:eastAsia="Arial TUR" w:cs="Arial TUR"/>
          <w:rtl w:val="true"/>
        </w:rPr>
        <w:t xml:space="preserve"> </w:t>
      </w:r>
      <w:r>
        <w:rPr>
          <w:rtl w:val="true"/>
        </w:rPr>
        <w:t>תחת</w:t>
      </w:r>
      <w:r>
        <w:rPr>
          <w:rFonts w:eastAsia="Arial TUR" w:cs="Arial TUR"/>
          <w:rtl w:val="true"/>
        </w:rPr>
        <w:t xml:space="preserve"> </w:t>
      </w:r>
      <w:r>
        <w:rPr>
          <w:rtl w:val="true"/>
        </w:rPr>
        <w:t>שבט</w:t>
      </w:r>
      <w:r>
        <w:rPr>
          <w:rFonts w:eastAsia="Arial TUR" w:cs="Arial TUR"/>
          <w:rtl w:val="true"/>
        </w:rPr>
        <w:t xml:space="preserve"> </w:t>
      </w:r>
      <w:r>
        <w:rPr>
          <w:rtl w:val="true"/>
        </w:rPr>
        <w:t>ביקורתה</w:t>
      </w:r>
      <w:r>
        <w:rPr>
          <w:rFonts w:eastAsia="Arial TUR" w:cs="Arial TUR"/>
          <w:rtl w:val="true"/>
        </w:rPr>
        <w:t xml:space="preserve"> </w:t>
      </w:r>
      <w:r>
        <w:rPr>
          <w:rtl w:val="true"/>
        </w:rPr>
        <w:t>את</w:t>
      </w:r>
      <w:r>
        <w:rPr>
          <w:rFonts w:eastAsia="Arial TUR" w:cs="Arial TUR"/>
          <w:rtl w:val="true"/>
        </w:rPr>
        <w:t xml:space="preserve"> </w:t>
      </w:r>
      <w:r>
        <w:rPr>
          <w:rtl w:val="true"/>
        </w:rPr>
        <w:t>פסק</w:t>
      </w:r>
      <w:r>
        <w:rPr>
          <w:rtl w:val="true"/>
        </w:rPr>
        <w:t>-</w:t>
      </w:r>
      <w:r>
        <w:rPr>
          <w:rtl w:val="true"/>
        </w:rPr>
        <w:t>הדין</w:t>
      </w:r>
      <w:r>
        <w:rPr>
          <w:rFonts w:eastAsia="Arial TUR" w:cs="Arial TUR"/>
          <w:rtl w:val="true"/>
        </w:rPr>
        <w:t xml:space="preserve"> </w:t>
      </w:r>
      <w:r>
        <w:rPr>
          <w:rtl w:val="true"/>
        </w:rPr>
        <w:t>של</w:t>
      </w:r>
      <w:r>
        <w:rPr>
          <w:rFonts w:eastAsia="Arial TUR" w:cs="Arial TUR"/>
          <w:rtl w:val="true"/>
        </w:rPr>
        <w:t xml:space="preserve"> </w:t>
      </w:r>
      <w:r>
        <w:rPr>
          <w:rtl w:val="true"/>
        </w:rPr>
        <w:t>הערכאה</w:t>
      </w:r>
      <w:r>
        <w:rPr>
          <w:rFonts w:eastAsia="Arial TUR" w:cs="Arial TUR"/>
          <w:rtl w:val="true"/>
        </w:rPr>
        <w:t xml:space="preserve"> </w:t>
      </w:r>
      <w:r>
        <w:rPr>
          <w:rtl w:val="true"/>
        </w:rPr>
        <w:t>הדיונית</w:t>
      </w:r>
      <w:r>
        <w:rPr>
          <w:rFonts w:eastAsia="Arial TUR" w:cs="Arial TUR"/>
          <w:rtl w:val="true"/>
        </w:rPr>
        <w:t xml:space="preserve"> </w:t>
      </w:r>
      <w:r>
        <w:rPr>
          <w:rtl w:val="true"/>
        </w:rPr>
        <w:t>ולבחון</w:t>
      </w:r>
      <w:r>
        <w:rPr>
          <w:rFonts w:eastAsia="Arial TUR" w:cs="Arial TUR"/>
          <w:rtl w:val="true"/>
        </w:rPr>
        <w:t xml:space="preserve"> </w:t>
      </w:r>
      <w:r>
        <w:rPr>
          <w:rtl w:val="true"/>
        </w:rPr>
        <w:t>אם</w:t>
      </w:r>
      <w:r>
        <w:rPr>
          <w:rFonts w:eastAsia="Arial TUR" w:cs="Arial TUR"/>
          <w:rtl w:val="true"/>
        </w:rPr>
        <w:t xml:space="preserve"> </w:t>
      </w:r>
      <w:r>
        <w:rPr>
          <w:rtl w:val="true"/>
        </w:rPr>
        <w:t>'</w:t>
      </w:r>
      <w:r>
        <w:rPr>
          <w:rtl w:val="true"/>
        </w:rPr>
        <w:t>כשר</w:t>
      </w:r>
      <w:r>
        <w:rPr>
          <w:rtl w:val="true"/>
        </w:rPr>
        <w:t xml:space="preserve">' </w:t>
      </w:r>
      <w:r>
        <w:rPr>
          <w:rtl w:val="true"/>
        </w:rPr>
        <w:t>הוא</w:t>
      </w:r>
      <w:r>
        <w:rPr>
          <w:rFonts w:eastAsia="Arial TUR" w:cs="Arial TUR"/>
          <w:rtl w:val="true"/>
        </w:rPr>
        <w:t xml:space="preserve"> </w:t>
      </w:r>
      <w:r>
        <w:rPr>
          <w:rtl w:val="true"/>
        </w:rPr>
        <w:t>או</w:t>
      </w:r>
      <w:r>
        <w:rPr>
          <w:rFonts w:eastAsia="Arial TUR" w:cs="Arial TUR"/>
          <w:rtl w:val="true"/>
        </w:rPr>
        <w:t xml:space="preserve"> </w:t>
      </w:r>
      <w:r>
        <w:rPr>
          <w:rtl w:val="true"/>
        </w:rPr>
        <w:t>'</w:t>
      </w:r>
      <w:r>
        <w:rPr>
          <w:rtl w:val="true"/>
        </w:rPr>
        <w:t>פסול</w:t>
      </w:r>
      <w:r>
        <w:rPr>
          <w:rtl w:val="true"/>
        </w:rPr>
        <w:t>'</w:t>
      </w:r>
      <w:r>
        <w:rPr>
          <w:rtl w:val="true"/>
        </w:rPr>
        <w:t>,</w:t>
      </w:r>
      <w:r>
        <w:rPr>
          <w:rtl w:val="true"/>
        </w:rPr>
        <w:t xml:space="preserve"> </w:t>
      </w:r>
      <w:r>
        <w:rPr>
          <w:rtl w:val="true"/>
        </w:rPr>
        <w:t>ואם</w:t>
      </w:r>
      <w:r>
        <w:rPr>
          <w:rFonts w:eastAsia="Arial TUR" w:cs="Arial TUR"/>
          <w:rtl w:val="true"/>
        </w:rPr>
        <w:t xml:space="preserve"> </w:t>
      </w:r>
      <w:r>
        <w:rPr>
          <w:rtl w:val="true"/>
        </w:rPr>
        <w:t>נפל</w:t>
      </w:r>
      <w:r>
        <w:rPr>
          <w:rFonts w:eastAsia="Arial TUR" w:cs="Arial TUR"/>
          <w:rtl w:val="true"/>
        </w:rPr>
        <w:t xml:space="preserve"> </w:t>
      </w:r>
      <w:r>
        <w:rPr>
          <w:rtl w:val="true"/>
        </w:rPr>
        <w:t>בו</w:t>
      </w:r>
      <w:r>
        <w:rPr>
          <w:rFonts w:eastAsia="Arial TUR" w:cs="Arial TUR"/>
          <w:rtl w:val="true"/>
        </w:rPr>
        <w:t xml:space="preserve"> </w:t>
      </w:r>
      <w:r>
        <w:rPr>
          <w:rtl w:val="true"/>
        </w:rPr>
        <w:t>פגם</w:t>
      </w:r>
      <w:r>
        <w:rPr>
          <w:rFonts w:eastAsia="Arial TUR" w:cs="Arial TUR"/>
          <w:rtl w:val="true"/>
        </w:rPr>
        <w:t xml:space="preserve"> </w:t>
      </w:r>
      <w:r>
        <w:rPr>
          <w:rtl w:val="true"/>
        </w:rPr>
        <w:t>היורד</w:t>
      </w:r>
      <w:r>
        <w:rPr>
          <w:rFonts w:eastAsia="Arial TUR" w:cs="Arial TUR"/>
          <w:rtl w:val="true"/>
        </w:rPr>
        <w:t xml:space="preserve"> </w:t>
      </w:r>
      <w:r>
        <w:rPr>
          <w:rtl w:val="true"/>
        </w:rPr>
        <w:t>לשורשו</w:t>
      </w:r>
      <w:r>
        <w:rPr>
          <w:rFonts w:eastAsia="Arial TUR" w:cs="Arial TUR"/>
          <w:rtl w:val="true"/>
        </w:rPr>
        <w:t xml:space="preserve"> </w:t>
      </w:r>
      <w:r>
        <w:rPr>
          <w:rtl w:val="true"/>
        </w:rPr>
        <w:t>של</w:t>
      </w:r>
      <w:r>
        <w:rPr>
          <w:rFonts w:eastAsia="Arial TUR" w:cs="Arial TUR"/>
          <w:rtl w:val="true"/>
        </w:rPr>
        <w:t xml:space="preserve"> </w:t>
      </w:r>
      <w:r>
        <w:rPr>
          <w:rtl w:val="true"/>
        </w:rPr>
        <w:t>ענ</w:t>
      </w:r>
      <w:r>
        <w:rPr>
          <w:rtl w:val="true"/>
        </w:rPr>
        <w:t>י</w:t>
      </w:r>
      <w:r>
        <w:rPr>
          <w:rtl w:val="true"/>
        </w:rPr>
        <w:t>ין</w:t>
      </w:r>
      <w:r>
        <w:rPr>
          <w:rtl w:val="true"/>
        </w:rPr>
        <w:t>' (</w:t>
      </w:r>
      <w:hyperlink r:id="rId2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1258/03</w:t>
        </w:r>
        <w:r>
          <w:rPr>
            <w:rStyle w:val="Hyperlink"/>
            <w:color w:val="0000FF"/>
            <w:u w:val="single"/>
            <w:rtl w:val="true"/>
          </w:rPr>
          <w:t xml:space="preserve"> </w:t>
        </w:r>
        <w:r>
          <w:rPr>
            <w:rStyle w:val="Hyperlink"/>
            <w:color w:val="0000FF"/>
            <w:u w:val="single"/>
            <w:rtl w:val="true"/>
          </w:rPr>
          <w:t>פלוני</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נח</w:t>
        </w:r>
      </w:hyperlink>
      <w:r>
        <w:rPr>
          <w:rtl w:val="true"/>
        </w:rPr>
        <w:t>(</w:t>
      </w:r>
      <w:r>
        <w:rPr/>
        <w:t>6</w:t>
      </w:r>
      <w:r>
        <w:rPr>
          <w:rtl w:val="true"/>
        </w:rPr>
        <w:t xml:space="preserve">) </w:t>
      </w:r>
      <w:r>
        <w:rPr/>
        <w:t>625</w:t>
      </w:r>
      <w:r>
        <w:rPr>
          <w:rtl w:val="true"/>
        </w:rPr>
        <w:t xml:space="preserve">, </w:t>
      </w:r>
      <w:r>
        <w:rPr/>
        <w:t>642</w:t>
      </w:r>
      <w:r>
        <w:rPr>
          <w:rtl w:val="true"/>
        </w:rPr>
        <w:t xml:space="preserve">, </w:t>
      </w:r>
      <w:r>
        <w:rPr>
          <w:rtl w:val="true"/>
        </w:rPr>
        <w:t>מול</w:t>
      </w:r>
      <w:r>
        <w:rPr>
          <w:rFonts w:eastAsia="Arial TUR" w:cs="Arial TUR"/>
          <w:rtl w:val="true"/>
        </w:rPr>
        <w:t xml:space="preserve"> </w:t>
      </w:r>
      <w:r>
        <w:rPr>
          <w:rtl w:val="true"/>
        </w:rPr>
        <w:t>האותיות</w:t>
      </w:r>
      <w:r>
        <w:rPr>
          <w:rFonts w:eastAsia="Arial TUR" w:cs="Arial TUR"/>
          <w:rtl w:val="true"/>
        </w:rPr>
        <w:t xml:space="preserve"> </w:t>
      </w:r>
      <w:r>
        <w:rPr>
          <w:rtl w:val="true"/>
        </w:rPr>
        <w:t>ה</w:t>
      </w:r>
      <w:r>
        <w:rPr>
          <w:rtl w:val="true"/>
        </w:rPr>
        <w:t>-</w:t>
      </w:r>
      <w:r>
        <w:rPr>
          <w:rtl w:val="true"/>
        </w:rPr>
        <w:t>ו</w:t>
      </w:r>
      <w:r>
        <w:rPr>
          <w:rFonts w:eastAsia="Arial TUR" w:cs="Arial TUR"/>
          <w:rtl w:val="true"/>
        </w:rPr>
        <w:t xml:space="preserve"> </w:t>
      </w:r>
      <w:r>
        <w:rPr>
          <w:rtl w:val="true"/>
        </w:rPr>
        <w:t>(</w:t>
      </w:r>
      <w:r>
        <w:rPr/>
        <w:t>2004</w:t>
      </w:r>
      <w:r>
        <w:rPr>
          <w:rtl w:val="true"/>
        </w:rPr>
        <w:t>))</w:t>
      </w:r>
      <w:r>
        <w:rPr>
          <w:rtl w:val="true"/>
        </w:rPr>
        <w:t>.</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של</w:t>
      </w:r>
      <w:r>
        <w:rPr>
          <w:rFonts w:eastAsia="Arial TUR" w:cs="Arial TUR"/>
          <w:rtl w:val="true"/>
        </w:rPr>
        <w:t xml:space="preserve"> </w:t>
      </w:r>
      <w:r>
        <w:rPr>
          <w:rtl w:val="true"/>
        </w:rPr>
        <w:t>ערעור</w:t>
      </w:r>
      <w:r>
        <w:rPr>
          <w:rFonts w:eastAsia="Arial TUR" w:cs="Arial TUR"/>
          <w:rtl w:val="true"/>
        </w:rPr>
        <w:t xml:space="preserve"> </w:t>
      </w:r>
      <w:r>
        <w:rPr>
          <w:rtl w:val="true"/>
        </w:rPr>
        <w:t>אינו</w:t>
      </w:r>
      <w:r>
        <w:rPr>
          <w:rFonts w:eastAsia="Arial TUR" w:cs="Arial TUR"/>
          <w:rtl w:val="true"/>
        </w:rPr>
        <w:t xml:space="preserve"> </w:t>
      </w:r>
      <w:r>
        <w:rPr>
          <w:rtl w:val="true"/>
        </w:rPr>
        <w:t>חייב</w:t>
      </w:r>
      <w:r>
        <w:rPr>
          <w:rFonts w:eastAsia="Arial TUR" w:cs="Arial TUR"/>
          <w:rtl w:val="true"/>
        </w:rPr>
        <w:t xml:space="preserve"> </w:t>
      </w:r>
      <w:r>
        <w:rPr>
          <w:rtl w:val="true"/>
        </w:rPr>
        <w:t>להתייחס</w:t>
      </w:r>
      <w:r>
        <w:rPr>
          <w:rFonts w:eastAsia="Arial TUR" w:cs="Arial TUR"/>
          <w:rtl w:val="true"/>
        </w:rPr>
        <w:t xml:space="preserve"> </w:t>
      </w:r>
      <w:r>
        <w:rPr>
          <w:rtl w:val="true"/>
        </w:rPr>
        <w:t>לכל</w:t>
      </w:r>
      <w:r>
        <w:rPr>
          <w:rFonts w:eastAsia="Arial TUR" w:cs="Arial TUR"/>
          <w:rtl w:val="true"/>
        </w:rPr>
        <w:t xml:space="preserve"> </w:t>
      </w:r>
      <w:r>
        <w:rPr>
          <w:rtl w:val="true"/>
        </w:rPr>
        <w:t>טענה</w:t>
      </w:r>
      <w:r>
        <w:rPr>
          <w:rFonts w:eastAsia="Arial TUR" w:cs="Arial TUR"/>
          <w:rtl w:val="true"/>
        </w:rPr>
        <w:t xml:space="preserve"> </w:t>
      </w:r>
      <w:r>
        <w:rPr>
          <w:rtl w:val="true"/>
        </w:rPr>
        <w:t>וטענה</w:t>
      </w:r>
      <w:r>
        <w:rPr>
          <w:rFonts w:eastAsia="Arial TUR" w:cs="Arial TUR"/>
          <w:rtl w:val="true"/>
        </w:rPr>
        <w:t xml:space="preserve"> </w:t>
      </w:r>
      <w:r>
        <w:rPr>
          <w:rtl w:val="true"/>
        </w:rPr>
        <w:t>המועלית</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הצדדים</w:t>
      </w:r>
      <w:r>
        <w:rPr>
          <w:rtl w:val="true"/>
        </w:rPr>
        <w:t xml:space="preserve">, </w:t>
      </w:r>
      <w:r>
        <w:rPr>
          <w:rtl w:val="true"/>
        </w:rPr>
        <w:t>והוא</w:t>
      </w:r>
      <w:r>
        <w:rPr>
          <w:rFonts w:eastAsia="Arial TUR" w:cs="Arial TUR"/>
          <w:rtl w:val="true"/>
        </w:rPr>
        <w:t xml:space="preserve"> </w:t>
      </w:r>
      <w:r>
        <w:rPr>
          <w:rtl w:val="true"/>
        </w:rPr>
        <w:t>רשאי</w:t>
      </w:r>
      <w:r>
        <w:rPr>
          <w:rFonts w:eastAsia="Arial TUR" w:cs="Arial TUR"/>
          <w:rtl w:val="true"/>
        </w:rPr>
        <w:t xml:space="preserve"> </w:t>
      </w:r>
      <w:r>
        <w:rPr>
          <w:rtl w:val="true"/>
        </w:rPr>
        <w:t>להתמקד</w:t>
      </w:r>
      <w:r>
        <w:rPr>
          <w:rFonts w:eastAsia="Arial TUR" w:cs="Arial TUR"/>
          <w:rtl w:val="true"/>
        </w:rPr>
        <w:t xml:space="preserve"> </w:t>
      </w:r>
      <w:r>
        <w:rPr>
          <w:rtl w:val="true"/>
        </w:rPr>
        <w:t>באלו</w:t>
      </w:r>
      <w:r>
        <w:rPr>
          <w:rFonts w:eastAsia="Arial TUR" w:cs="Arial TUR"/>
          <w:rtl w:val="true"/>
        </w:rPr>
        <w:t xml:space="preserve"> </w:t>
      </w:r>
      <w:r>
        <w:rPr>
          <w:rtl w:val="true"/>
        </w:rPr>
        <w:t>הנראות</w:t>
      </w:r>
      <w:r>
        <w:rPr>
          <w:rFonts w:eastAsia="Arial TUR" w:cs="Arial TUR"/>
          <w:rtl w:val="true"/>
        </w:rPr>
        <w:t xml:space="preserve"> </w:t>
      </w:r>
      <w:r>
        <w:rPr>
          <w:rtl w:val="true"/>
        </w:rPr>
        <w:t>בעיניו</w:t>
      </w:r>
      <w:r>
        <w:rPr>
          <w:rFonts w:eastAsia="Arial TUR" w:cs="Arial TUR"/>
          <w:rtl w:val="true"/>
        </w:rPr>
        <w:t xml:space="preserve"> </w:t>
      </w:r>
      <w:r>
        <w:rPr>
          <w:rtl w:val="true"/>
        </w:rPr>
        <w:t>משמעותיות</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למשל</w:t>
      </w:r>
      <w:r>
        <w:rPr>
          <w:rtl w:val="true"/>
        </w:rPr>
        <w:t xml:space="preserve">, </w:t>
      </w:r>
      <w:hyperlink r:id="rId2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2042/94</w:t>
        </w:r>
      </w:hyperlink>
      <w:r>
        <w:rPr>
          <w:rtl w:val="true"/>
        </w:rPr>
        <w:t xml:space="preserve"> </w:t>
      </w:r>
      <w:r>
        <w:rPr>
          <w:rFonts w:cs="Miriam"/>
          <w:spacing w:val="0"/>
          <w:sz w:val="28"/>
          <w:sz w:val="28"/>
          <w:szCs w:val="24"/>
          <w:rtl w:val="true"/>
        </w:rPr>
        <w:t>פלוני</w:t>
      </w:r>
      <w:r>
        <w:rPr>
          <w:rFonts w:eastAsia="Arial TUR" w:cs="Arial TUR"/>
          <w:spacing w:val="0"/>
          <w:sz w:val="28"/>
          <w:sz w:val="28"/>
          <w:szCs w:val="24"/>
          <w:rtl w:val="true"/>
        </w:rPr>
        <w:t xml:space="preserve"> </w:t>
      </w:r>
      <w:r>
        <w:rPr>
          <w:rFonts w:cs="Miriam"/>
          <w:spacing w:val="0"/>
          <w:sz w:val="28"/>
          <w:sz w:val="28"/>
          <w:szCs w:val="24"/>
          <w:rtl w:val="true"/>
        </w:rPr>
        <w:t>נ</w:t>
      </w:r>
      <w:r>
        <w:rPr>
          <w:rFonts w:cs="Miriam"/>
          <w:spacing w:val="0"/>
          <w:sz w:val="28"/>
          <w:szCs w:val="24"/>
          <w:rtl w:val="true"/>
        </w:rPr>
        <w:t xml:space="preserve">' </w:t>
      </w:r>
      <w:r>
        <w:rPr>
          <w:rFonts w:cs="Miriam"/>
          <w:spacing w:val="0"/>
          <w:sz w:val="28"/>
          <w:sz w:val="28"/>
          <w:szCs w:val="24"/>
          <w:rtl w:val="true"/>
        </w:rPr>
        <w:t>מדינת</w:t>
      </w:r>
      <w:r>
        <w:rPr>
          <w:rFonts w:eastAsia="Arial TUR" w:cs="Arial TUR"/>
          <w:spacing w:val="0"/>
          <w:sz w:val="28"/>
          <w:sz w:val="28"/>
          <w:szCs w:val="24"/>
          <w:rtl w:val="true"/>
        </w:rPr>
        <w:t xml:space="preserve"> </w:t>
      </w:r>
      <w:r>
        <w:rPr>
          <w:rFonts w:cs="Miriam"/>
          <w:spacing w:val="0"/>
          <w:sz w:val="28"/>
          <w:sz w:val="28"/>
          <w:szCs w:val="24"/>
          <w:rtl w:val="true"/>
        </w:rPr>
        <w:t>ישראל</w:t>
      </w:r>
      <w:r>
        <w:rPr>
          <w:rtl w:val="true"/>
        </w:rPr>
        <w:t xml:space="preserve">, </w:t>
      </w:r>
      <w:r>
        <w:rPr>
          <w:rtl w:val="true"/>
        </w:rPr>
        <w:t>פסקה</w:t>
      </w:r>
      <w:r>
        <w:rPr>
          <w:rFonts w:eastAsia="Arial TUR" w:cs="Arial TUR"/>
          <w:rtl w:val="true"/>
        </w:rPr>
        <w:t xml:space="preserve"> </w:t>
      </w:r>
      <w:r>
        <w:rPr/>
        <w:t>2</w:t>
      </w:r>
      <w:r>
        <w:rPr>
          <w:rtl w:val="true"/>
        </w:rPr>
        <w:t xml:space="preserve"> (</w:t>
      </w:r>
      <w:r>
        <w:rPr>
          <w:rtl w:val="true"/>
        </w:rPr>
        <w:t>לא</w:t>
      </w:r>
      <w:r>
        <w:rPr>
          <w:rFonts w:eastAsia="Arial TUR" w:cs="Arial TUR"/>
          <w:rtl w:val="true"/>
        </w:rPr>
        <w:t xml:space="preserve"> </w:t>
      </w:r>
      <w:r>
        <w:rPr>
          <w:rtl w:val="true"/>
        </w:rPr>
        <w:t>פורסם</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w:t>
      </w:r>
      <w:r>
        <w:rPr>
          <w:rtl w:val="true"/>
        </w:rPr>
        <w:t xml:space="preserve">, </w:t>
      </w:r>
      <w:r>
        <w:rPr/>
        <w:t>17.1.95</w:t>
      </w:r>
      <w:r>
        <w:rPr>
          <w:rtl w:val="true"/>
        </w:rPr>
        <w:t xml:space="preserve">)). </w:t>
      </w:r>
      <w:r>
        <w:rPr>
          <w:rtl w:val="true"/>
        </w:rPr>
        <w:t>אתייחס</w:t>
      </w:r>
      <w:r>
        <w:rPr>
          <w:rFonts w:eastAsia="Arial TUR" w:cs="Arial TUR"/>
          <w:rtl w:val="true"/>
        </w:rPr>
        <w:t xml:space="preserve"> </w:t>
      </w:r>
      <w:r>
        <w:rPr>
          <w:rtl w:val="true"/>
        </w:rPr>
        <w:t>אפוא</w:t>
      </w:r>
      <w:r>
        <w:rPr>
          <w:rFonts w:eastAsia="Arial TUR" w:cs="Arial TUR"/>
          <w:rtl w:val="true"/>
        </w:rPr>
        <w:t xml:space="preserve"> </w:t>
      </w:r>
      <w:r>
        <w:rPr>
          <w:rtl w:val="true"/>
        </w:rPr>
        <w:t>רק</w:t>
      </w:r>
      <w:r>
        <w:rPr>
          <w:rFonts w:eastAsia="Arial TUR" w:cs="Arial TUR"/>
          <w:rtl w:val="true"/>
        </w:rPr>
        <w:t xml:space="preserve"> </w:t>
      </w:r>
      <w:r>
        <w:rPr>
          <w:rtl w:val="true"/>
        </w:rPr>
        <w:t>לטענות</w:t>
      </w:r>
      <w:r>
        <w:rPr>
          <w:rFonts w:eastAsia="Arial TUR" w:cs="Arial TUR"/>
          <w:rtl w:val="true"/>
        </w:rPr>
        <w:t xml:space="preserve"> </w:t>
      </w:r>
      <w:r>
        <w:rPr>
          <w:rtl w:val="true"/>
        </w:rPr>
        <w:t>העיקריות</w:t>
      </w:r>
      <w:r>
        <w:rPr>
          <w:rFonts w:eastAsia="Arial TUR" w:cs="Arial TUR"/>
          <w:rtl w:val="true"/>
        </w:rPr>
        <w:t xml:space="preserve"> </w:t>
      </w:r>
      <w:r>
        <w:rPr>
          <w:rtl w:val="true"/>
        </w:rPr>
        <w:t>המועלות</w:t>
      </w:r>
      <w:r>
        <w:rPr>
          <w:rFonts w:eastAsia="Arial TUR" w:cs="Arial TUR"/>
          <w:rtl w:val="true"/>
        </w:rPr>
        <w:t xml:space="preserve"> </w:t>
      </w:r>
      <w:r>
        <w:rPr>
          <w:rtl w:val="true"/>
        </w:rPr>
        <w:t>בערעורים</w:t>
      </w:r>
      <w:r>
        <w:rPr>
          <w:rFonts w:eastAsia="Arial TUR" w:cs="Arial TUR"/>
          <w:rtl w:val="true"/>
        </w:rPr>
        <w:t xml:space="preserve"> </w:t>
      </w:r>
      <w:r>
        <w:rPr>
          <w:rtl w:val="true"/>
        </w:rPr>
        <w:t>השונים</w:t>
      </w:r>
      <w:r>
        <w:rPr>
          <w:rFonts w:eastAsia="Arial TUR" w:cs="Arial TUR"/>
          <w:rtl w:val="true"/>
        </w:rPr>
        <w:t xml:space="preserve"> </w:t>
      </w:r>
      <w:r>
        <w:rPr>
          <w:rtl w:val="true"/>
        </w:rPr>
        <w:t xml:space="preserve">...". </w:t>
      </w:r>
    </w:p>
    <w:p>
      <w:pPr>
        <w:pStyle w:val="Ruller41"/>
        <w:ind w:end="0"/>
        <w:jc w:val="both"/>
        <w:rPr/>
      </w:pPr>
      <w:r>
        <w:rPr>
          <w:rtl w:val="true"/>
        </w:rPr>
      </w:r>
    </w:p>
    <w:p>
      <w:pPr>
        <w:pStyle w:val="Ruller41"/>
        <w:ind w:end="0"/>
        <w:jc w:val="both"/>
        <w:rPr/>
      </w:pPr>
      <w:r>
        <w:rPr>
          <w:rFonts w:cs="Century" w:ascii="Century" w:hAnsi="Century"/>
          <w:rtl w:val="true"/>
        </w:rPr>
        <w:tab/>
      </w:r>
      <w:r>
        <w:rPr>
          <w:rFonts w:ascii="Century" w:hAnsi="Century" w:cs="Century"/>
          <w:rtl w:val="true"/>
        </w:rPr>
        <w:t>בהתאם לאמור אתייחס אפוא רק לטענות העיקריות שנראות בעיני ראויות להתייחסות</w:t>
      </w:r>
      <w:r>
        <w:rPr>
          <w:rFonts w:cs="Century" w:ascii="Century" w:hAnsi="Century"/>
          <w:rtl w:val="true"/>
        </w:rPr>
        <w:t xml:space="preserve">. </w:t>
      </w:r>
      <w:r>
        <w:rPr>
          <w:rFonts w:ascii="Century" w:hAnsi="Century" w:cs="Century"/>
          <w:rtl w:val="true"/>
        </w:rPr>
        <w:t>אך בטרם אעשה כן</w:t>
      </w:r>
      <w:r>
        <w:rPr>
          <w:rFonts w:cs="Century" w:ascii="Century" w:hAnsi="Century"/>
          <w:rtl w:val="true"/>
        </w:rPr>
        <w:t xml:space="preserve">, </w:t>
      </w:r>
      <w:r>
        <w:rPr>
          <w:rFonts w:ascii="Century" w:hAnsi="Century" w:cs="Century"/>
          <w:rtl w:val="true"/>
        </w:rPr>
        <w:t>אפנה למושכלות יסוד</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7</w:t>
      </w:r>
      <w:r>
        <w:rPr>
          <w:rFonts w:cs="Century" w:ascii="Century" w:hAnsi="Century"/>
          <w:rtl w:val="true"/>
        </w:rPr>
        <w:t>.</w:t>
        <w:tab/>
      </w:r>
      <w:r>
        <w:rPr>
          <w:rFonts w:ascii="Century" w:hAnsi="Century" w:cs="Century"/>
          <w:rtl w:val="true"/>
        </w:rPr>
        <w:t>הלכה היא</w:t>
      </w:r>
      <w:r>
        <w:rPr>
          <w:rFonts w:cs="Century" w:ascii="Century" w:hAnsi="Century"/>
          <w:rtl w:val="true"/>
        </w:rPr>
        <w:t xml:space="preserve">, </w:t>
      </w:r>
      <w:r>
        <w:rPr>
          <w:rFonts w:ascii="Century" w:hAnsi="Century" w:cs="Century"/>
          <w:rtl w:val="true"/>
        </w:rPr>
        <w:t>כי ערכאת הערעור אינה נוטה להתערב בממצאי עובדה ומהימנות שקבעה הערכאה הדיונית</w:t>
      </w:r>
      <w:r>
        <w:rPr>
          <w:rFonts w:cs="Century" w:ascii="Century" w:hAnsi="Century"/>
          <w:rtl w:val="true"/>
        </w:rPr>
        <w:t xml:space="preserve">. </w:t>
      </w:r>
      <w:r>
        <w:rPr>
          <w:rFonts w:ascii="Century" w:hAnsi="Century" w:cs="Century"/>
          <w:rtl w:val="true"/>
        </w:rPr>
        <w:t>לאור יתרונה של האחרונה להתרשם באופן בלתי אמצעי מהעדים שהופיעו לפניה</w:t>
      </w:r>
      <w:r>
        <w:rPr>
          <w:rFonts w:cs="Century" w:ascii="Century" w:hAnsi="Century"/>
          <w:rtl w:val="true"/>
        </w:rPr>
        <w:t xml:space="preserve">, </w:t>
      </w:r>
      <w:r>
        <w:rPr>
          <w:rFonts w:ascii="Century" w:hAnsi="Century" w:cs="Century"/>
          <w:rtl w:val="true"/>
        </w:rPr>
        <w:t>מהאופן בו מסרו את עדותם</w:t>
      </w:r>
      <w:r>
        <w:rPr>
          <w:rFonts w:cs="Century" w:ascii="Century" w:hAnsi="Century"/>
          <w:rtl w:val="true"/>
        </w:rPr>
        <w:t xml:space="preserve">, </w:t>
      </w:r>
      <w:r>
        <w:rPr>
          <w:rFonts w:ascii="Century" w:hAnsi="Century" w:cs="Century"/>
          <w:rtl w:val="true"/>
        </w:rPr>
        <w:t>מהתנהגותם על דוכן העדים ועוד</w:t>
      </w:r>
      <w:r>
        <w:rPr>
          <w:rFonts w:cs="Century" w:ascii="Century" w:hAnsi="Century"/>
          <w:rtl w:val="true"/>
        </w:rPr>
        <w:t xml:space="preserve">. </w:t>
      </w:r>
      <w:r>
        <w:rPr>
          <w:rFonts w:ascii="Century" w:hAnsi="Century" w:cs="Century"/>
          <w:rtl w:val="true"/>
        </w:rPr>
        <w:t xml:space="preserve">ראה </w:t>
      </w:r>
      <w:hyperlink r:id="rId2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9468/10</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16.4.2012</w:t>
      </w:r>
      <w:r>
        <w:rPr>
          <w:rFonts w:cs="Century" w:ascii="Century" w:hAnsi="Century"/>
          <w:rtl w:val="true"/>
        </w:rPr>
        <w:t xml:space="preserve">). </w:t>
      </w:r>
      <w:r>
        <w:rPr>
          <w:rFonts w:ascii="Century" w:hAnsi="Century" w:cs="Century"/>
          <w:rtl w:val="true"/>
        </w:rPr>
        <w:t>הדברים הינם מקל וחומר כאשר מדובר בערעור התוקף את החלטת הערכאה הדיונית להעדיף חוות דעת פסיכיאטרית אחת על פני רעותה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5"/>
        <w:ind w:end="1282"/>
        <w:jc w:val="both"/>
        <w:rPr>
          <w:rFonts w:ascii="Century" w:hAnsi="Century" w:cs="Century"/>
        </w:rPr>
      </w:pPr>
      <w:r>
        <w:rPr>
          <w:rtl w:val="true"/>
        </w:rPr>
        <w:tab/>
        <w:t>"</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הטעמים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לכלל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אי</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ההתערבות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הדברים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מקבלים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תוקף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כאשר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מדובר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בשאלות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מקצועיות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ובעדויות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מומחים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שהגישו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חוות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דעתם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לבית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המשפט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ונחקרו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במשך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שעות</w:t>
      </w:r>
      <w:r>
        <w:rPr>
          <w:rtl w:val="true"/>
        </w:rPr>
        <w:t xml:space="preserve">, </w:t>
      </w:r>
      <w:r>
        <w:rPr>
          <w:rtl w:val="true"/>
        </w:rPr>
        <w:t>ולעתים</w:t>
      </w:r>
      <w:r>
        <w:rPr>
          <w:rFonts w:eastAsia="Arial TUR" w:cs="Arial TUR"/>
          <w:rtl w:val="true"/>
        </w:rPr>
        <w:t xml:space="preserve"> </w:t>
      </w:r>
      <w:r>
        <w:rPr>
          <w:rtl w:val="true"/>
        </w:rPr>
        <w:t>אף</w:t>
      </w:r>
      <w:r>
        <w:rPr>
          <w:rFonts w:eastAsia="Arial TUR" w:cs="Arial TUR"/>
          <w:rtl w:val="true"/>
        </w:rPr>
        <w:t xml:space="preserve"> </w:t>
      </w:r>
      <w:r>
        <w:rPr>
          <w:rtl w:val="true"/>
        </w:rPr>
        <w:t>ימים</w:t>
      </w:r>
      <w:r>
        <w:rPr>
          <w:rtl w:val="true"/>
        </w:rPr>
        <w:t xml:space="preserve">, </w:t>
      </w:r>
      <w:r>
        <w:rPr>
          <w:rtl w:val="true"/>
        </w:rPr>
        <w:t>על</w:t>
      </w:r>
      <w:r>
        <w:rPr>
          <w:rFonts w:eastAsia="Arial TUR" w:cs="Arial TUR"/>
          <w:rtl w:val="true"/>
        </w:rPr>
        <w:t xml:space="preserve"> </w:t>
      </w:r>
      <w:r>
        <w:rPr>
          <w:rtl w:val="true"/>
        </w:rPr>
        <w:t>דוכן</w:t>
      </w:r>
      <w:r>
        <w:rPr>
          <w:rFonts w:eastAsia="Arial TUR" w:cs="Arial TUR"/>
          <w:rtl w:val="true"/>
        </w:rPr>
        <w:t xml:space="preserve"> </w:t>
      </w:r>
      <w:r>
        <w:rPr>
          <w:rtl w:val="true"/>
        </w:rPr>
        <w:t>העדים</w:t>
      </w:r>
      <w:r>
        <w:rPr>
          <w:rFonts w:eastAsia="Arial TUR" w:cs="Arial TUR"/>
          <w:rtl w:val="true"/>
        </w:rPr>
        <w:t xml:space="preserve"> </w:t>
      </w:r>
      <w:r>
        <w:rPr>
          <w:rtl w:val="true"/>
        </w:rPr>
        <w:t>לגבי</w:t>
      </w:r>
      <w:r>
        <w:rPr>
          <w:rFonts w:eastAsia="Arial TUR" w:cs="Arial TUR"/>
          <w:rtl w:val="true"/>
        </w:rPr>
        <w:t xml:space="preserve"> </w:t>
      </w:r>
      <w:r>
        <w:rPr>
          <w:rtl w:val="true"/>
        </w:rPr>
        <w:t>עמדתם</w:t>
      </w:r>
      <w:r>
        <w:rPr>
          <w:rtl w:val="true"/>
        </w:rPr>
        <w:t xml:space="preserve">. </w:t>
      </w:r>
      <w:r>
        <w:rPr>
          <w:rtl w:val="true"/>
        </w:rPr>
        <w:t>לבית</w:t>
      </w:r>
      <w:r>
        <w:rPr>
          <w:rFonts w:eastAsia="Arial TUR" w:cs="Arial TUR"/>
          <w:rtl w:val="true"/>
        </w:rPr>
        <w:t xml:space="preserve"> </w:t>
      </w:r>
      <w:r>
        <w:rPr>
          <w:rtl w:val="true"/>
        </w:rPr>
        <w:t>המשפט</w:t>
      </w:r>
      <w:r>
        <w:rPr>
          <w:rFonts w:eastAsia="Arial TUR" w:cs="Arial TUR"/>
          <w:rtl w:val="true"/>
        </w:rPr>
        <w:t xml:space="preserve"> </w:t>
      </w:r>
      <w:r>
        <w:rPr>
          <w:rtl w:val="true"/>
        </w:rPr>
        <w:t>מתאפשרת</w:t>
      </w:r>
      <w:r>
        <w:rPr>
          <w:rFonts w:eastAsia="Arial TUR" w:cs="Arial TUR"/>
          <w:rtl w:val="true"/>
        </w:rPr>
        <w:t xml:space="preserve"> </w:t>
      </w:r>
      <w:r>
        <w:rPr>
          <w:rtl w:val="true"/>
        </w:rPr>
        <w:t>הסתכלות</w:t>
      </w:r>
      <w:r>
        <w:rPr>
          <w:rFonts w:eastAsia="Arial TUR" w:cs="Arial TUR"/>
          <w:rtl w:val="true"/>
        </w:rPr>
        <w:t xml:space="preserve"> </w:t>
      </w:r>
      <w:r>
        <w:rPr>
          <w:rtl w:val="true"/>
        </w:rPr>
        <w:t>על</w:t>
      </w:r>
      <w:r>
        <w:rPr>
          <w:rFonts w:eastAsia="Arial TUR" w:cs="Arial TUR"/>
          <w:rtl w:val="true"/>
        </w:rPr>
        <w:t xml:space="preserve"> </w:t>
      </w:r>
      <w:r>
        <w:rPr>
          <w:rtl w:val="true"/>
        </w:rPr>
        <w:t>דרך</w:t>
      </w:r>
      <w:r>
        <w:rPr>
          <w:rFonts w:eastAsia="Arial TUR" w:cs="Arial TUR"/>
          <w:rtl w:val="true"/>
        </w:rPr>
        <w:t xml:space="preserve"> </w:t>
      </w:r>
      <w:r>
        <w:rPr>
          <w:rtl w:val="true"/>
        </w:rPr>
        <w:t>בחינת</w:t>
      </w:r>
      <w:r>
        <w:rPr>
          <w:rFonts w:eastAsia="Arial TUR" w:cs="Arial TUR"/>
          <w:rtl w:val="true"/>
        </w:rPr>
        <w:t xml:space="preserve"> </w:t>
      </w:r>
      <w:r>
        <w:rPr>
          <w:rtl w:val="true"/>
        </w:rPr>
        <w:t>החומר</w:t>
      </w:r>
      <w:r>
        <w:rPr>
          <w:rFonts w:eastAsia="Arial TUR" w:cs="Arial TUR"/>
          <w:rtl w:val="true"/>
        </w:rPr>
        <w:t xml:space="preserve"> </w:t>
      </w:r>
      <w:r>
        <w:rPr>
          <w:rtl w:val="true"/>
        </w:rPr>
        <w:t>המקצועי</w:t>
      </w:r>
      <w:r>
        <w:rPr>
          <w:rtl w:val="true"/>
        </w:rPr>
        <w:t xml:space="preserve">, </w:t>
      </w:r>
      <w:r>
        <w:rPr>
          <w:rtl w:val="true"/>
        </w:rPr>
        <w:t>וכן</w:t>
      </w:r>
      <w:r>
        <w:rPr>
          <w:rFonts w:eastAsia="Arial TUR" w:cs="Arial TUR"/>
          <w:rtl w:val="true"/>
        </w:rPr>
        <w:t xml:space="preserve"> </w:t>
      </w:r>
      <w:r>
        <w:rPr>
          <w:rtl w:val="true"/>
        </w:rPr>
        <w:t>התרשמות</w:t>
      </w:r>
      <w:r>
        <w:rPr>
          <w:rFonts w:eastAsia="Arial TUR" w:cs="Arial TUR"/>
          <w:rtl w:val="true"/>
        </w:rPr>
        <w:t xml:space="preserve"> </w:t>
      </w:r>
      <w:r>
        <w:rPr>
          <w:rtl w:val="true"/>
        </w:rPr>
        <w:t>ישירה</w:t>
      </w:r>
      <w:r>
        <w:rPr>
          <w:rFonts w:eastAsia="Arial TUR" w:cs="Arial TUR"/>
          <w:rtl w:val="true"/>
        </w:rPr>
        <w:t xml:space="preserve"> </w:t>
      </w:r>
      <w:r>
        <w:rPr>
          <w:rtl w:val="true"/>
        </w:rPr>
        <w:t>מהמומחים</w:t>
      </w:r>
      <w:r>
        <w:rPr>
          <w:rtl w:val="true"/>
        </w:rPr>
        <w:t xml:space="preserve">, </w:t>
      </w:r>
      <w:r>
        <w:rPr>
          <w:rtl w:val="true"/>
        </w:rPr>
        <w:t>התייחסותם</w:t>
      </w:r>
      <w:r>
        <w:rPr>
          <w:rFonts w:eastAsia="Arial TUR" w:cs="Arial TUR"/>
          <w:rtl w:val="true"/>
        </w:rPr>
        <w:t xml:space="preserve"> </w:t>
      </w:r>
      <w:r>
        <w:rPr>
          <w:rtl w:val="true"/>
        </w:rPr>
        <w:t>להיבטים</w:t>
      </w:r>
      <w:r>
        <w:rPr>
          <w:rFonts w:eastAsia="Arial TUR" w:cs="Arial TUR"/>
          <w:rtl w:val="true"/>
        </w:rPr>
        <w:t xml:space="preserve"> </w:t>
      </w:r>
      <w:r>
        <w:rPr>
          <w:rtl w:val="true"/>
        </w:rPr>
        <w:t>השונים</w:t>
      </w:r>
      <w:r>
        <w:rPr>
          <w:rFonts w:eastAsia="Arial TUR" w:cs="Arial TUR"/>
          <w:rtl w:val="true"/>
        </w:rPr>
        <w:t xml:space="preserve"> </w:t>
      </w:r>
      <w:r>
        <w:rPr>
          <w:rtl w:val="true"/>
        </w:rPr>
        <w:t>של</w:t>
      </w:r>
      <w:r>
        <w:rPr>
          <w:rFonts w:eastAsia="Arial TUR" w:cs="Arial TUR"/>
          <w:rtl w:val="true"/>
        </w:rPr>
        <w:t xml:space="preserve"> </w:t>
      </w:r>
      <w:r>
        <w:rPr>
          <w:rtl w:val="true"/>
        </w:rPr>
        <w:t>הסוגיה</w:t>
      </w:r>
      <w:r>
        <w:rPr>
          <w:rFonts w:eastAsia="Arial TUR" w:cs="Arial TUR"/>
          <w:rtl w:val="true"/>
        </w:rPr>
        <w:t xml:space="preserve"> </w:t>
      </w:r>
      <w:r>
        <w:rPr>
          <w:rtl w:val="true"/>
        </w:rPr>
        <w:t>שבפניהם</w:t>
      </w:r>
      <w:r>
        <w:rPr>
          <w:rtl w:val="true"/>
        </w:rPr>
        <w:t xml:space="preserve">, </w:t>
      </w:r>
      <w:r>
        <w:rPr>
          <w:rtl w:val="true"/>
        </w:rPr>
        <w:t>אופן</w:t>
      </w:r>
      <w:r>
        <w:rPr>
          <w:rFonts w:eastAsia="Arial TUR" w:cs="Arial TUR"/>
          <w:rtl w:val="true"/>
        </w:rPr>
        <w:t xml:space="preserve"> </w:t>
      </w:r>
      <w:r>
        <w:rPr>
          <w:rtl w:val="true"/>
        </w:rPr>
        <w:t>בדיקתם</w:t>
      </w:r>
      <w:r>
        <w:rPr>
          <w:rFonts w:eastAsia="Arial TUR" w:cs="Arial TUR"/>
          <w:rtl w:val="true"/>
        </w:rPr>
        <w:t xml:space="preserve"> </w:t>
      </w:r>
      <w:r>
        <w:rPr>
          <w:rtl w:val="true"/>
        </w:rPr>
        <w:t>והדרך</w:t>
      </w:r>
      <w:r>
        <w:rPr>
          <w:rFonts w:eastAsia="Arial TUR" w:cs="Arial TUR"/>
          <w:rtl w:val="true"/>
        </w:rPr>
        <w:t xml:space="preserve"> </w:t>
      </w:r>
      <w:r>
        <w:rPr>
          <w:rtl w:val="true"/>
        </w:rPr>
        <w:t>שבה</w:t>
      </w:r>
      <w:r>
        <w:rPr>
          <w:rFonts w:eastAsia="Arial TUR" w:cs="Arial TUR"/>
          <w:rtl w:val="true"/>
        </w:rPr>
        <w:t xml:space="preserve"> </w:t>
      </w:r>
      <w:r>
        <w:rPr>
          <w:rtl w:val="true"/>
        </w:rPr>
        <w:t>גיבשו</w:t>
      </w:r>
      <w:r>
        <w:rPr>
          <w:rFonts w:eastAsia="Arial TUR" w:cs="Arial TUR"/>
          <w:rtl w:val="true"/>
        </w:rPr>
        <w:t xml:space="preserve"> </w:t>
      </w:r>
      <w:r>
        <w:rPr>
          <w:rtl w:val="true"/>
        </w:rPr>
        <w:t>מסקנותיהם</w:t>
      </w:r>
      <w:r>
        <w:rPr>
          <w:rtl w:val="true"/>
        </w:rPr>
        <w:t xml:space="preserve">. </w:t>
      </w:r>
      <w:r>
        <w:rPr>
          <w:rtl w:val="true"/>
        </w:rPr>
        <w:t>לפיכך</w:t>
      </w:r>
      <w:r>
        <w:rPr>
          <w:rtl w:val="true"/>
        </w:rPr>
        <w:t xml:space="preserve">, </w:t>
      </w:r>
      <w:r>
        <w:rPr>
          <w:rFonts w:ascii="Times New Roman" w:hAnsi="Times New Roman" w:cs="Miriam"/>
          <w:spacing w:val="0"/>
          <w:sz w:val="28"/>
          <w:sz w:val="28"/>
          <w:szCs w:val="24"/>
          <w:rtl w:val="true"/>
        </w:rPr>
        <w:t>מקום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שבו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בחרה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הערכאה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הדיונית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לבכר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חוות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דעת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מומחה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אחת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האחרת</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בשאלות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מקצועיות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בשאלות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שברפואה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תימנע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בדרך</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כלל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ערכאת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הערעור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מלהתערב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בהכרעתה</w:t>
      </w:r>
      <w:r>
        <w:rPr>
          <w:rFonts w:cs="Century" w:ascii="Century" w:hAnsi="Century"/>
          <w:rtl w:val="true"/>
        </w:rPr>
        <w:t>"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פסקה </w:t>
      </w:r>
      <w:r>
        <w:rPr>
          <w:rFonts w:cs="Century" w:ascii="Century" w:hAnsi="Century"/>
        </w:rPr>
        <w:t>25</w:t>
      </w:r>
      <w:r>
        <w:rPr>
          <w:rFonts w:cs="Century" w:ascii="Century" w:hAnsi="Century"/>
          <w:rtl w:val="true"/>
        </w:rPr>
        <w:t>). (</w:t>
      </w:r>
      <w:r>
        <w:rPr>
          <w:rFonts w:ascii="Century" w:hAnsi="Century" w:cs="Century"/>
          <w:rtl w:val="true"/>
        </w:rPr>
        <w:t>הדגשות לא במקור</w:t>
      </w:r>
      <w:r>
        <w:rPr>
          <w:rFonts w:cs="Century" w:ascii="Century" w:hAnsi="Century"/>
          <w:rtl w:val="true"/>
        </w:rPr>
        <w:t>).</w:t>
      </w:r>
    </w:p>
    <w:p>
      <w:pPr>
        <w:pStyle w:val="Ruller5"/>
        <w:ind w:end="1282"/>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8</w:t>
      </w:r>
      <w:r>
        <w:rPr>
          <w:rFonts w:cs="Century" w:ascii="Century" w:hAnsi="Century"/>
          <w:rtl w:val="true"/>
        </w:rPr>
        <w:t>.</w:t>
        <w:tab/>
      </w:r>
      <w:r>
        <w:rPr>
          <w:rFonts w:ascii="Century" w:hAnsi="Century" w:cs="Century"/>
          <w:rtl w:val="true"/>
        </w:rPr>
        <w:t>קביעתו של בית המשפט קמא לפיה העדיף את חוות דעתו של ד</w:t>
      </w:r>
      <w:r>
        <w:rPr>
          <w:rFonts w:cs="Century" w:ascii="Century" w:hAnsi="Century"/>
          <w:rtl w:val="true"/>
        </w:rPr>
        <w:t>"</w:t>
      </w:r>
      <w:r>
        <w:rPr>
          <w:rFonts w:ascii="Century" w:hAnsi="Century" w:cs="Century"/>
          <w:rtl w:val="true"/>
        </w:rPr>
        <w:t>ר ברש המומחה מטעם המשיבה על פני חוות דעתו של ד</w:t>
      </w:r>
      <w:r>
        <w:rPr>
          <w:rFonts w:cs="Century" w:ascii="Century" w:hAnsi="Century"/>
          <w:rtl w:val="true"/>
        </w:rPr>
        <w:t>"</w:t>
      </w:r>
      <w:r>
        <w:rPr>
          <w:rFonts w:ascii="Century" w:hAnsi="Century" w:cs="Century"/>
          <w:rtl w:val="true"/>
        </w:rPr>
        <w:t>ר פוקס מבוססת ומנומקת הן עניינית והן על סמך התרשמותו מהתנהלותו של המערער לפני בית המשפט</w:t>
      </w:r>
      <w:r>
        <w:rPr>
          <w:rFonts w:cs="Century" w:ascii="Century" w:hAnsi="Century"/>
          <w:rtl w:val="true"/>
        </w:rPr>
        <w:t>, "</w:t>
      </w:r>
      <w:r>
        <w:rPr>
          <w:rFonts w:ascii="Century" w:hAnsi="Century" w:cs="Century"/>
          <w:rtl w:val="true"/>
        </w:rPr>
        <w:t>עמדתו של ד</w:t>
      </w:r>
      <w:r>
        <w:rPr>
          <w:rFonts w:cs="Century" w:ascii="Century" w:hAnsi="Century"/>
          <w:rtl w:val="true"/>
        </w:rPr>
        <w:t>"</w:t>
      </w:r>
      <w:r>
        <w:rPr>
          <w:rFonts w:ascii="Century" w:hAnsi="Century" w:cs="Century"/>
          <w:rtl w:val="true"/>
        </w:rPr>
        <w:t>ר ברש היתה משכנעת כשלעצמה</w:t>
      </w:r>
      <w:r>
        <w:rPr>
          <w:rFonts w:cs="Century" w:ascii="Century" w:hAnsi="Century"/>
          <w:rtl w:val="true"/>
        </w:rPr>
        <w:t xml:space="preserve">. </w:t>
      </w:r>
      <w:r>
        <w:rPr>
          <w:rFonts w:ascii="Century" w:hAnsi="Century" w:cs="Century"/>
          <w:rtl w:val="true"/>
        </w:rPr>
        <w:t>בנוסף עלתה בקנה אחד עם התרשמותי מהתנהלותו של הנאשם ומהטענות שהועלו מצדו</w:t>
      </w:r>
      <w:r>
        <w:rPr>
          <w:rFonts w:cs="Century" w:ascii="Century" w:hAnsi="Century"/>
          <w:rtl w:val="true"/>
        </w:rPr>
        <w:t xml:space="preserve">. </w:t>
      </w:r>
      <w:r>
        <w:rPr>
          <w:rFonts w:ascii="Century" w:hAnsi="Century" w:cs="Century"/>
          <w:rtl w:val="true"/>
        </w:rPr>
        <w:t>ד</w:t>
      </w:r>
      <w:r>
        <w:rPr>
          <w:rFonts w:cs="Century" w:ascii="Century" w:hAnsi="Century"/>
          <w:rtl w:val="true"/>
        </w:rPr>
        <w:t>"</w:t>
      </w:r>
      <w:r>
        <w:rPr>
          <w:rFonts w:ascii="Century" w:hAnsi="Century" w:cs="Century"/>
          <w:rtl w:val="true"/>
        </w:rPr>
        <w:t xml:space="preserve">ר פוקס ביסס את חוות דעתו על </w:t>
      </w:r>
      <w:r>
        <w:rPr>
          <w:rFonts w:ascii="Century" w:hAnsi="Century" w:cs="Miriam"/>
          <w:b/>
          <w:b/>
          <w:spacing w:val="0"/>
          <w:szCs w:val="24"/>
          <w:rtl w:val="true"/>
        </w:rPr>
        <w:t>הנחה</w:t>
      </w:r>
      <w:r>
        <w:rPr>
          <w:rFonts w:ascii="Century" w:hAnsi="Century" w:cs="Century"/>
          <w:rtl w:val="true"/>
        </w:rPr>
        <w:t xml:space="preserve"> שמחשבות הנאשם אודות רדיפת המשטרה אחריו מצביעות על חרדה פסיכוטית </w:t>
      </w:r>
      <w:r>
        <w:rPr>
          <w:rFonts w:cs="Century" w:ascii="Century" w:hAnsi="Century"/>
          <w:rtl w:val="true"/>
        </w:rPr>
        <w:t xml:space="preserve">... </w:t>
      </w:r>
      <w:r>
        <w:rPr>
          <w:rFonts w:ascii="Century" w:hAnsi="Century" w:cs="Century"/>
          <w:rtl w:val="true"/>
        </w:rPr>
        <w:t xml:space="preserve">אולם הנאשם טען כבר בחקירותיו במשטרה </w:t>
      </w:r>
      <w:r>
        <w:rPr>
          <w:rFonts w:cs="Century" w:ascii="Century" w:hAnsi="Century"/>
          <w:rtl w:val="true"/>
        </w:rPr>
        <w:t xml:space="preserve">... </w:t>
      </w:r>
      <w:r>
        <w:rPr>
          <w:rFonts w:ascii="Century" w:hAnsi="Century" w:cs="Century"/>
          <w:rtl w:val="true"/>
        </w:rPr>
        <w:t xml:space="preserve">שחששותיו אכן מבוססים הן בשל היתקלויותיו בעבר עם שוטרים והן בשל ניסיונות החיסול שעבר והיותו מאוים גם היום </w:t>
      </w:r>
      <w:r>
        <w:rPr>
          <w:rFonts w:cs="Century" w:ascii="Century" w:hAnsi="Century"/>
          <w:rtl w:val="true"/>
        </w:rPr>
        <w:t xml:space="preserve">... </w:t>
      </w:r>
      <w:r>
        <w:rPr>
          <w:rFonts w:ascii="Century" w:hAnsi="Century" w:cs="Century"/>
          <w:rtl w:val="true"/>
        </w:rPr>
        <w:t>בנסיבות אלה סבירה בעיני התפיסה לפיה חרדותיו של הנאשם מבוססות על תפיסה ריאלית של מציאות חייו ואינן מהוות ביטוי למצב פסיכוטי</w:t>
      </w:r>
      <w:r>
        <w:rPr>
          <w:rFonts w:cs="Century" w:ascii="Century" w:hAnsi="Century"/>
          <w:rtl w:val="true"/>
        </w:rPr>
        <w:t>" (</w:t>
      </w:r>
      <w:r>
        <w:rPr>
          <w:rFonts w:ascii="Century" w:hAnsi="Century" w:cs="Century"/>
          <w:rtl w:val="true"/>
        </w:rPr>
        <w:t xml:space="preserve">ההגשה אינה במקור </w:t>
      </w:r>
      <w:r>
        <w:rPr>
          <w:rFonts w:ascii="Century" w:hAnsi="Century" w:cs="Century"/>
          <w:rtl w:val="true"/>
        </w:rPr>
        <w:t>–</w:t>
      </w:r>
      <w:r>
        <w:rPr>
          <w:rFonts w:ascii="Century" w:hAnsi="Century" w:cs="Century"/>
          <w:rtl w:val="true"/>
        </w:rPr>
        <w:t xml:space="preserve"> ג</w:t>
      </w:r>
      <w:r>
        <w:rPr>
          <w:rFonts w:cs="Century" w:ascii="Century" w:hAnsi="Century"/>
          <w:rtl w:val="true"/>
        </w:rPr>
        <w:t>'.</w:t>
      </w:r>
      <w:r>
        <w:rPr>
          <w:rFonts w:ascii="Century" w:hAnsi="Century" w:cs="Century"/>
          <w:rtl w:val="true"/>
        </w:rPr>
        <w:t>ק</w:t>
      </w:r>
      <w:r>
        <w:rPr>
          <w:rFonts w:cs="Century" w:ascii="Century" w:hAnsi="Century"/>
          <w:rtl w:val="true"/>
        </w:rPr>
        <w:t xml:space="preserve">.). </w:t>
      </w:r>
      <w:r>
        <w:rPr>
          <w:rFonts w:ascii="Century" w:hAnsi="Century" w:cs="Century"/>
          <w:rtl w:val="true"/>
        </w:rPr>
        <w:t>בהתחשב בכלל אי ההתערבות שחל בענייננו במשנה תוקף</w:t>
      </w:r>
      <w:r>
        <w:rPr>
          <w:rFonts w:cs="Century" w:ascii="Century" w:hAnsi="Century"/>
          <w:rtl w:val="true"/>
        </w:rPr>
        <w:t xml:space="preserve">, </w:t>
      </w:r>
      <w:r>
        <w:rPr>
          <w:rFonts w:ascii="Century" w:hAnsi="Century" w:cs="Century"/>
          <w:rtl w:val="true"/>
        </w:rPr>
        <w:t>תוכן הנמקתו העניינית והמבוססת של בית המשפט קמא</w:t>
      </w:r>
      <w:r>
        <w:rPr>
          <w:rFonts w:cs="Century" w:ascii="Century" w:hAnsi="Century"/>
          <w:rtl w:val="true"/>
        </w:rPr>
        <w:t xml:space="preserve">, </w:t>
      </w:r>
      <w:r>
        <w:rPr>
          <w:rFonts w:ascii="Century" w:hAnsi="Century" w:cs="Century"/>
          <w:rtl w:val="true"/>
        </w:rPr>
        <w:t>לא מצאתי כל סיבה להתערבות בקביעה זו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9</w:t>
      </w:r>
      <w:r>
        <w:rPr>
          <w:rFonts w:cs="Century" w:ascii="Century" w:hAnsi="Century"/>
          <w:rtl w:val="true"/>
        </w:rPr>
        <w:t>.</w:t>
        <w:tab/>
      </w:r>
      <w:r>
        <w:rPr>
          <w:rFonts w:ascii="Century" w:hAnsi="Century" w:cs="Century"/>
          <w:rtl w:val="true"/>
        </w:rPr>
        <w:t>טענת הטעות שהעלה המערער לפיה סבר בטעות לאור המצב החרדתי שבו היה נתון על רקע ניסיונות חיסול קודמים שעבר</w:t>
      </w:r>
      <w:r>
        <w:rPr>
          <w:rFonts w:cs="Century" w:ascii="Century" w:hAnsi="Century"/>
          <w:rtl w:val="true"/>
        </w:rPr>
        <w:t xml:space="preserve">, </w:t>
      </w:r>
      <w:r>
        <w:rPr>
          <w:rFonts w:ascii="Century" w:hAnsi="Century" w:cs="Century"/>
          <w:rtl w:val="true"/>
        </w:rPr>
        <w:t>נדחתה על ידי בית המשפט קמא ובדין כך</w:t>
      </w:r>
      <w:r>
        <w:rPr>
          <w:rFonts w:cs="Century" w:ascii="Century" w:hAnsi="Century"/>
          <w:rtl w:val="true"/>
        </w:rPr>
        <w:t xml:space="preserve">. </w:t>
      </w:r>
      <w:r>
        <w:rPr>
          <w:rFonts w:ascii="Century" w:hAnsi="Century" w:cs="Century"/>
          <w:rtl w:val="true"/>
        </w:rPr>
        <w:t>בית המשפט חילק את אירוע המרדף לשני חלקים</w:t>
      </w:r>
      <w:r>
        <w:rPr>
          <w:rFonts w:cs="Century" w:ascii="Century" w:hAnsi="Century"/>
          <w:rtl w:val="true"/>
        </w:rPr>
        <w:t xml:space="preserve">: </w:t>
      </w:r>
      <w:r>
        <w:rPr>
          <w:rFonts w:ascii="Century" w:hAnsi="Century" w:cs="Century"/>
          <w:rtl w:val="true"/>
        </w:rPr>
        <w:t>חלקו הראשון</w:t>
      </w:r>
      <w:r>
        <w:rPr>
          <w:rFonts w:cs="Century" w:ascii="Century" w:hAnsi="Century"/>
          <w:rtl w:val="true"/>
        </w:rPr>
        <w:t xml:space="preserve">, </w:t>
      </w:r>
      <w:r>
        <w:rPr>
          <w:rFonts w:ascii="Century" w:hAnsi="Century" w:cs="Century"/>
          <w:rtl w:val="true"/>
        </w:rPr>
        <w:t>כאשר הניידת המוסווית התקרבה לרכבו שאז פתח במנוסה</w:t>
      </w:r>
      <w:r>
        <w:rPr>
          <w:rFonts w:cs="Century" w:ascii="Century" w:hAnsi="Century"/>
          <w:rtl w:val="true"/>
        </w:rPr>
        <w:t xml:space="preserve">, </w:t>
      </w:r>
      <w:r>
        <w:rPr>
          <w:rFonts w:ascii="Century" w:hAnsi="Century" w:cs="Century"/>
          <w:rtl w:val="true"/>
        </w:rPr>
        <w:t>וחלקו השני שבו הצטרפו למרדף ניידות כחולות עם אורות מהבהבים וסירנות</w:t>
      </w:r>
      <w:r>
        <w:rPr>
          <w:rFonts w:cs="Century" w:ascii="Century" w:hAnsi="Century"/>
          <w:rtl w:val="true"/>
        </w:rPr>
        <w:t xml:space="preserve">. </w:t>
      </w:r>
      <w:r>
        <w:rPr>
          <w:rFonts w:ascii="Century" w:hAnsi="Century" w:cs="Century"/>
          <w:rtl w:val="true"/>
        </w:rPr>
        <w:t>בית המשפט הסביר</w:t>
      </w:r>
      <w:r>
        <w:rPr>
          <w:rFonts w:cs="Century" w:ascii="Century" w:hAnsi="Century"/>
          <w:rtl w:val="true"/>
        </w:rPr>
        <w:t xml:space="preserve">, </w:t>
      </w:r>
      <w:r>
        <w:rPr>
          <w:rFonts w:ascii="Century" w:hAnsi="Century" w:cs="Century"/>
          <w:rtl w:val="true"/>
        </w:rPr>
        <w:t xml:space="preserve">שגם אם בתחילה היה המערער תחת הרושם המוטעה </w:t>
      </w:r>
      <w:r>
        <w:rPr>
          <w:rFonts w:cs="Century" w:ascii="Century" w:hAnsi="Century"/>
          <w:rtl w:val="true"/>
        </w:rPr>
        <w:t>(</w:t>
      </w:r>
      <w:r>
        <w:rPr>
          <w:rFonts w:ascii="Century" w:hAnsi="Century" w:cs="Century"/>
          <w:rtl w:val="true"/>
        </w:rPr>
        <w:t>אף שלא נקבע כי כך היה</w:t>
      </w:r>
      <w:r>
        <w:rPr>
          <w:rFonts w:cs="Century" w:ascii="Century" w:hAnsi="Century"/>
          <w:rtl w:val="true"/>
        </w:rPr>
        <w:t xml:space="preserve">) </w:t>
      </w:r>
      <w:r>
        <w:rPr>
          <w:rFonts w:ascii="Century" w:hAnsi="Century" w:cs="Century"/>
          <w:rtl w:val="true"/>
        </w:rPr>
        <w:t>כי ניידת הבילוש הינה רכב של עבריינים הבאים לחסלו</w:t>
      </w:r>
      <w:r>
        <w:rPr>
          <w:rFonts w:cs="Century" w:ascii="Century" w:hAnsi="Century"/>
          <w:rtl w:val="true"/>
        </w:rPr>
        <w:t xml:space="preserve">, </w:t>
      </w:r>
      <w:r>
        <w:rPr>
          <w:rFonts w:ascii="Century" w:hAnsi="Century" w:cs="Century"/>
          <w:rtl w:val="true"/>
        </w:rPr>
        <w:t xml:space="preserve">הרי שזמן קצר לאחר מכן </w:t>
      </w:r>
      <w:r>
        <w:rPr>
          <w:rFonts w:cs="Century" w:ascii="Century" w:hAnsi="Century"/>
          <w:rtl w:val="true"/>
        </w:rPr>
        <w:t>"</w:t>
      </w:r>
      <w:r>
        <w:rPr>
          <w:rFonts w:ascii="Century" w:hAnsi="Century" w:cs="Century"/>
          <w:rtl w:val="true"/>
        </w:rPr>
        <w:t>שניות או מספר קטן של דקות</w:t>
      </w:r>
      <w:r>
        <w:rPr>
          <w:rFonts w:cs="Century" w:ascii="Century" w:hAnsi="Century"/>
          <w:rtl w:val="true"/>
        </w:rPr>
        <w:t xml:space="preserve">", </w:t>
      </w:r>
      <w:r>
        <w:rPr>
          <w:rFonts w:ascii="Century" w:hAnsi="Century" w:cs="Century"/>
          <w:rtl w:val="true"/>
        </w:rPr>
        <w:t xml:space="preserve">כאשר </w:t>
      </w:r>
      <w:r>
        <w:rPr>
          <w:rFonts w:cs="Century" w:ascii="Century" w:hAnsi="Century"/>
          <w:rtl w:val="true"/>
        </w:rPr>
        <w:t>"</w:t>
      </w:r>
      <w:r>
        <w:rPr>
          <w:rFonts w:ascii="Century" w:hAnsi="Century" w:cs="Century"/>
          <w:rtl w:val="true"/>
        </w:rPr>
        <w:t>פמליה</w:t>
      </w:r>
      <w:r>
        <w:rPr>
          <w:rFonts w:cs="Century" w:ascii="Century" w:hAnsi="Century"/>
          <w:rtl w:val="true"/>
        </w:rPr>
        <w:t xml:space="preserve">" </w:t>
      </w:r>
      <w:r>
        <w:rPr>
          <w:rFonts w:ascii="Century" w:hAnsi="Century" w:cs="Century"/>
          <w:rtl w:val="true"/>
        </w:rPr>
        <w:t>של ניידות משטרה כחולות הצטרפה למרדף אחריו לא יכול היה המערער להמשיך לטעות כי אלה עבריינים המבקשים לחסלו</w:t>
      </w:r>
      <w:r>
        <w:rPr>
          <w:rFonts w:cs="Century" w:ascii="Century" w:hAnsi="Century"/>
          <w:rtl w:val="true"/>
        </w:rPr>
        <w:t xml:space="preserve">. </w:t>
      </w:r>
      <w:r>
        <w:rPr>
          <w:rFonts w:ascii="Century" w:hAnsi="Century" w:cs="Century"/>
          <w:rtl w:val="true"/>
        </w:rPr>
        <w:t>בית המשפט קבע</w:t>
      </w:r>
      <w:r>
        <w:rPr>
          <w:rFonts w:cs="Century" w:ascii="Century" w:hAnsi="Century"/>
          <w:rtl w:val="true"/>
        </w:rPr>
        <w:t xml:space="preserve">, </w:t>
      </w:r>
      <w:r>
        <w:rPr>
          <w:rFonts w:ascii="Century" w:hAnsi="Century" w:cs="Century"/>
          <w:rtl w:val="true"/>
        </w:rPr>
        <w:t>כי תשובותיו של המערער לשאלות שנשאל בעניין חלקו השני של המרדף</w:t>
      </w:r>
      <w:r>
        <w:rPr>
          <w:rFonts w:cs="Century" w:ascii="Century" w:hAnsi="Century"/>
          <w:rtl w:val="true"/>
        </w:rPr>
        <w:t xml:space="preserve">, </w:t>
      </w:r>
      <w:r>
        <w:rPr>
          <w:rFonts w:ascii="Century" w:hAnsi="Century" w:cs="Century"/>
          <w:rtl w:val="true"/>
        </w:rPr>
        <w:t>נענו על ידו ב</w:t>
      </w:r>
      <w:r>
        <w:rPr>
          <w:rFonts w:cs="Century" w:ascii="Century" w:hAnsi="Century"/>
          <w:rtl w:val="true"/>
        </w:rPr>
        <w:t>"</w:t>
      </w:r>
      <w:r>
        <w:rPr>
          <w:rFonts w:ascii="Century" w:hAnsi="Century" w:cs="Century"/>
          <w:rtl w:val="true"/>
        </w:rPr>
        <w:t>תשובות מתשובות שונות</w:t>
      </w:r>
      <w:r>
        <w:rPr>
          <w:rFonts w:cs="Century" w:ascii="Century" w:hAnsi="Century"/>
          <w:rtl w:val="true"/>
        </w:rPr>
        <w:t xml:space="preserve">" </w:t>
      </w:r>
      <w:r>
        <w:rPr>
          <w:rFonts w:ascii="Century" w:hAnsi="Century" w:cs="Century"/>
          <w:rtl w:val="true"/>
        </w:rPr>
        <w:t xml:space="preserve">שלא היה בהן כדי ליתן הסבר להמשך התנהגותו </w:t>
      </w:r>
      <w:r>
        <w:rPr>
          <w:rFonts w:cs="Century" w:ascii="Century" w:hAnsi="Century"/>
          <w:rtl w:val="true"/>
        </w:rPr>
        <w:t>"</w:t>
      </w:r>
      <w:r>
        <w:rPr>
          <w:rFonts w:ascii="Century" w:hAnsi="Century" w:cs="Century"/>
          <w:rtl w:val="true"/>
        </w:rPr>
        <w:t>לא מצאתי בכל עדותו הסבר מספק לשאלה זו</w:t>
      </w:r>
      <w:r>
        <w:rPr>
          <w:rFonts w:cs="Century" w:ascii="Century" w:hAnsi="Century"/>
          <w:rtl w:val="true"/>
        </w:rPr>
        <w:t xml:space="preserve">". </w:t>
      </w:r>
      <w:r>
        <w:rPr>
          <w:rFonts w:ascii="Century" w:hAnsi="Century" w:cs="Century"/>
          <w:rtl w:val="true"/>
        </w:rPr>
        <w:t>כך גם לאחר שייצוגו הוחלף והמערער נדרש לשאלה זו בעדותו המשלימה</w:t>
      </w:r>
      <w:r>
        <w:rPr>
          <w:rFonts w:cs="Century" w:ascii="Century" w:hAnsi="Century"/>
          <w:rtl w:val="true"/>
        </w:rPr>
        <w:t>, "</w:t>
      </w:r>
      <w:r>
        <w:rPr>
          <w:rFonts w:ascii="Century" w:hAnsi="Century" w:cs="Century"/>
          <w:rtl w:val="true"/>
        </w:rPr>
        <w:t>התקשה לספק הסבר</w:t>
      </w:r>
      <w:r>
        <w:rPr>
          <w:rFonts w:cs="Century" w:ascii="Century" w:hAnsi="Century"/>
          <w:rtl w:val="true"/>
        </w:rPr>
        <w:t xml:space="preserve">" </w:t>
      </w:r>
      <w:r>
        <w:rPr>
          <w:rFonts w:ascii="Century" w:hAnsi="Century" w:cs="Century"/>
          <w:rtl w:val="true"/>
        </w:rPr>
        <w:t>להתנהגותו</w:t>
      </w:r>
      <w:r>
        <w:rPr>
          <w:rFonts w:cs="Century" w:ascii="Century" w:hAnsi="Century"/>
          <w:rtl w:val="true"/>
        </w:rPr>
        <w:t xml:space="preserve">. </w:t>
      </w:r>
      <w:r>
        <w:rPr>
          <w:rFonts w:ascii="Century" w:hAnsi="Century" w:cs="Century"/>
          <w:rtl w:val="true"/>
        </w:rPr>
        <w:t>אם נוסיף לכך את משך הזמן בו התנהל המרדף והמרחק שעבר רכבו של המערער מנקודת ההתחלה ועד לסוף המרדף</w:t>
      </w:r>
      <w:r>
        <w:rPr>
          <w:rFonts w:cs="Century" w:ascii="Century" w:hAnsi="Century"/>
          <w:rtl w:val="true"/>
        </w:rPr>
        <w:t xml:space="preserve">, </w:t>
      </w:r>
      <w:r>
        <w:rPr>
          <w:rFonts w:ascii="Century" w:hAnsi="Century" w:cs="Century"/>
          <w:rtl w:val="true"/>
        </w:rPr>
        <w:t>התחמקותו בנהיגה פרועה מניידות משטרה גלויות שביקשו לחסום את נתיב בריחתו</w:t>
      </w:r>
      <w:r>
        <w:rPr>
          <w:rFonts w:cs="Century" w:ascii="Century" w:hAnsi="Century"/>
          <w:rtl w:val="true"/>
        </w:rPr>
        <w:t xml:space="preserve">, </w:t>
      </w:r>
      <w:r>
        <w:rPr>
          <w:rFonts w:ascii="Century" w:hAnsi="Century" w:cs="Century"/>
          <w:rtl w:val="true"/>
        </w:rPr>
        <w:t>מסקנתו של בית המשפט לדחות את טענת הטעות בדין יסודה ואין מקום להתערב בה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10</w:t>
      </w:r>
      <w:r>
        <w:rPr>
          <w:rFonts w:cs="Century" w:ascii="Century" w:hAnsi="Century"/>
          <w:rtl w:val="true"/>
        </w:rPr>
        <w:t>.</w:t>
      </w:r>
      <w:r>
        <w:rPr>
          <w:rFonts w:cs="Century" w:ascii="Century" w:hAnsi="Century"/>
          <w:rtl w:val="true"/>
        </w:rPr>
        <w:tab/>
      </w:r>
      <w:r>
        <w:rPr>
          <w:rFonts w:ascii="Century" w:hAnsi="Century" w:cs="Century"/>
          <w:rtl w:val="true"/>
        </w:rPr>
        <w:t>המערער טען כי הגנתו נפגעה עקב סיכול בדיקתו הפסיכיאטרית בסמוך לאירוע על ידי המשטרה</w:t>
      </w:r>
      <w:r>
        <w:rPr>
          <w:rFonts w:cs="Century" w:ascii="Century" w:hAnsi="Century"/>
          <w:rtl w:val="true"/>
        </w:rPr>
        <w:t xml:space="preserve">. </w:t>
      </w:r>
      <w:r>
        <w:rPr>
          <w:rFonts w:ascii="Century" w:hAnsi="Century" w:cs="Century"/>
          <w:rtl w:val="true"/>
        </w:rPr>
        <w:t>גם טענה זו נדחתה על ידי בית משפט קמא שקבע שאילו העריכו הרופאים הבודקים חרף המחלוקת שנוצרה עם השוטרים שליוו את המערער לבדיקה</w:t>
      </w:r>
      <w:r>
        <w:rPr>
          <w:rFonts w:cs="Century" w:ascii="Century" w:hAnsi="Century"/>
          <w:rtl w:val="true"/>
        </w:rPr>
        <w:t xml:space="preserve">, </w:t>
      </w:r>
      <w:r>
        <w:rPr>
          <w:rFonts w:ascii="Century" w:hAnsi="Century" w:cs="Century"/>
          <w:rtl w:val="true"/>
        </w:rPr>
        <w:t>כי יש צורך ממשי בהמשך הימצאותו של המערער במסגרת פסיכיאטרית והמערער ובא כוחו היה נחושים להמשיך בהליך הבדיקה</w:t>
      </w:r>
      <w:r>
        <w:rPr>
          <w:rFonts w:cs="Century" w:ascii="Century" w:hAnsi="Century"/>
          <w:rtl w:val="true"/>
        </w:rPr>
        <w:t xml:space="preserve">, </w:t>
      </w:r>
      <w:r>
        <w:rPr>
          <w:rFonts w:ascii="Century" w:hAnsi="Century" w:cs="Century"/>
          <w:rtl w:val="true"/>
        </w:rPr>
        <w:t>היתה נמצאת המסגרת המתאימה לבצעה</w:t>
      </w:r>
      <w:r>
        <w:rPr>
          <w:rFonts w:cs="Century" w:ascii="Century" w:hAnsi="Century"/>
          <w:rtl w:val="true"/>
        </w:rPr>
        <w:t xml:space="preserve">. </w:t>
      </w:r>
      <w:r>
        <w:rPr>
          <w:rFonts w:ascii="Century" w:hAnsi="Century" w:cs="Century"/>
          <w:rtl w:val="true"/>
        </w:rPr>
        <w:t>הראיה לכך</w:t>
      </w:r>
      <w:r>
        <w:rPr>
          <w:rFonts w:cs="Century" w:ascii="Century" w:hAnsi="Century"/>
          <w:rtl w:val="true"/>
        </w:rPr>
        <w:t xml:space="preserve">, </w:t>
      </w:r>
      <w:r>
        <w:rPr>
          <w:rFonts w:ascii="Century" w:hAnsi="Century" w:cs="Century"/>
          <w:rtl w:val="true"/>
        </w:rPr>
        <w:t xml:space="preserve">שגם בית המשפט שהורה על שליחתו של המערער להסתכלות פסיכיאטרית </w:t>
      </w:r>
      <w:r>
        <w:rPr>
          <w:rFonts w:cs="Century" w:ascii="Century" w:hAnsi="Century"/>
          <w:rtl w:val="true"/>
        </w:rPr>
        <w:t>"</w:t>
      </w:r>
      <w:r>
        <w:rPr>
          <w:rFonts w:ascii="Century" w:hAnsi="Century" w:cs="Century"/>
          <w:rtl w:val="true"/>
        </w:rPr>
        <w:t>היה מגיב</w:t>
      </w:r>
      <w:r>
        <w:rPr>
          <w:rFonts w:ascii="Century" w:hAnsi="Century" w:cs="Century"/>
          <w:rtl w:val="true"/>
        </w:rPr>
        <w:t xml:space="preserve"> באופן נחרץ אילו התרשם שנמנעה בדיקה חיונית בשל התנהלות המשטרה</w:t>
      </w:r>
      <w:r>
        <w:rPr>
          <w:rFonts w:cs="Century" w:ascii="Century" w:hAnsi="Century"/>
          <w:rtl w:val="true"/>
        </w:rPr>
        <w:t xml:space="preserve">". </w:t>
      </w:r>
      <w:r>
        <w:rPr>
          <w:rFonts w:ascii="Century" w:hAnsi="Century" w:cs="Century"/>
          <w:rtl w:val="true"/>
        </w:rPr>
        <w:t>בית המשפט התייחס לשאלה זו גם בעת שבחן את טענת המערער לקיום מצב פסיכוטי וקבע בהסתמך על עדותו של ד</w:t>
      </w:r>
      <w:r>
        <w:rPr>
          <w:rFonts w:cs="Century" w:ascii="Century" w:hAnsi="Century"/>
          <w:rtl w:val="true"/>
        </w:rPr>
        <w:t>"</w:t>
      </w:r>
      <w:r>
        <w:rPr>
          <w:rFonts w:ascii="Century" w:hAnsi="Century" w:cs="Century"/>
          <w:rtl w:val="true"/>
        </w:rPr>
        <w:t xml:space="preserve">ר ברש </w:t>
      </w:r>
      <w:r>
        <w:rPr>
          <w:rFonts w:cs="Century" w:ascii="Century" w:hAnsi="Century"/>
          <w:rtl w:val="true"/>
        </w:rPr>
        <w:t>"</w:t>
      </w:r>
      <w:r>
        <w:rPr>
          <w:rFonts w:ascii="Century" w:hAnsi="Century" w:cs="Century"/>
          <w:rtl w:val="true"/>
        </w:rPr>
        <w:t>שההימנעות מאשפוז הנאשם לא נגרמה בשל נוכחותם של שוטרים במדים בבית החולים</w:t>
      </w:r>
      <w:r>
        <w:rPr>
          <w:rFonts w:cs="Century" w:ascii="Century" w:hAnsi="Century"/>
          <w:rtl w:val="true"/>
        </w:rPr>
        <w:t xml:space="preserve">, </w:t>
      </w:r>
      <w:r>
        <w:rPr>
          <w:rFonts w:ascii="Century" w:hAnsi="Century" w:cs="Century"/>
          <w:rtl w:val="true"/>
        </w:rPr>
        <w:t>אלא משיקול מקצועי רפואי</w:t>
      </w:r>
      <w:r>
        <w:rPr>
          <w:rFonts w:cs="Century" w:ascii="Century" w:hAnsi="Century"/>
          <w:rtl w:val="true"/>
        </w:rPr>
        <w:t xml:space="preserve">". </w:t>
      </w:r>
      <w:r>
        <w:rPr>
          <w:rFonts w:ascii="Century" w:hAnsi="Century" w:cs="Century"/>
          <w:rtl w:val="true"/>
        </w:rPr>
        <w:t>לא מצאתי מקום להתערב בקביעותיו של בית המשפט קמא</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11</w:t>
      </w:r>
      <w:r>
        <w:rPr>
          <w:rFonts w:cs="Century" w:ascii="Century" w:hAnsi="Century"/>
          <w:rtl w:val="true"/>
        </w:rPr>
        <w:t>.</w:t>
        <w:tab/>
      </w:r>
      <w:r>
        <w:rPr>
          <w:rFonts w:ascii="Century" w:hAnsi="Century" w:cs="Century"/>
          <w:rtl w:val="true"/>
        </w:rPr>
        <w:t>המערער טען כי לא היה מקום להרשיעו בעבירה של סיכון חיי אדם מאחר שבזמן המרדף לא היו ברחובות אנשים לבד מהמשטרה</w:t>
      </w:r>
      <w:r>
        <w:rPr>
          <w:rFonts w:cs="Century" w:ascii="Century" w:hAnsi="Century"/>
          <w:rtl w:val="true"/>
        </w:rPr>
        <w:t xml:space="preserve">. </w:t>
      </w:r>
      <w:r>
        <w:rPr>
          <w:rFonts w:ascii="Century" w:hAnsi="Century" w:cs="Century"/>
          <w:rtl w:val="true"/>
        </w:rPr>
        <w:t>אין בטענה זו ממש</w:t>
      </w:r>
      <w:r>
        <w:rPr>
          <w:rFonts w:cs="Century" w:ascii="Century" w:hAnsi="Century"/>
          <w:rtl w:val="true"/>
        </w:rPr>
        <w:t xml:space="preserve">. </w:t>
      </w:r>
      <w:r>
        <w:rPr>
          <w:rFonts w:ascii="Century" w:hAnsi="Century" w:cs="Century"/>
          <w:rtl w:val="true"/>
        </w:rPr>
        <w:t>עבירה של סיכון חיי אדם במזיד בנתיב תחבורה מתייחסת לסיכון חייו של כל אדם</w:t>
      </w:r>
      <w:r>
        <w:rPr>
          <w:rFonts w:cs="Century" w:ascii="Century" w:hAnsi="Century"/>
          <w:rtl w:val="true"/>
        </w:rPr>
        <w:t xml:space="preserve">, </w:t>
      </w:r>
      <w:r>
        <w:rPr>
          <w:rFonts w:ascii="Century" w:hAnsi="Century" w:cs="Century"/>
          <w:rtl w:val="true"/>
        </w:rPr>
        <w:t>לרבות שוטרים שהיו בכביש והשתתפו במרדף ובנסיונות מעצרו של המערער</w:t>
      </w:r>
      <w:r>
        <w:rPr>
          <w:rFonts w:cs="Century" w:ascii="Century" w:hAnsi="Century"/>
          <w:rtl w:val="true"/>
        </w:rPr>
        <w:t xml:space="preserve">. </w:t>
      </w:r>
      <w:r>
        <w:rPr>
          <w:rFonts w:ascii="Century" w:hAnsi="Century" w:cs="Century"/>
          <w:rtl w:val="true"/>
        </w:rPr>
        <w:t>הכרעת הדין רצופה בקביעות עובדתיות של סיכון חיי אדם של השוטרים שהשתתפו במרדף ובניסיון מעצרו של המערער</w:t>
      </w:r>
      <w:r>
        <w:rPr>
          <w:rFonts w:cs="Century" w:ascii="Century" w:hAnsi="Century"/>
          <w:rtl w:val="true"/>
        </w:rPr>
        <w:t xml:space="preserve">. </w:t>
      </w:r>
      <w:r>
        <w:rPr>
          <w:rFonts w:ascii="Century" w:hAnsi="Century" w:cs="Century"/>
          <w:rtl w:val="true"/>
        </w:rPr>
        <w:t>אחד מהשוטרים אף נאלץ לזנק ממקום עמידתו עקב חששו מפגיעת רכבו של המערער וכתוצאה מכך נחבל בברכיו ובגין כך הורשע המערער בעבירה נפרדת של פציעה בנסיבות מחמירות</w:t>
      </w:r>
      <w:r>
        <w:rPr>
          <w:rFonts w:cs="Century" w:ascii="Century" w:hAnsi="Century"/>
          <w:rtl w:val="true"/>
        </w:rPr>
        <w:t xml:space="preserve">. </w:t>
      </w:r>
      <w:r>
        <w:rPr>
          <w:rFonts w:ascii="Century" w:hAnsi="Century" w:cs="Century"/>
          <w:rtl w:val="true"/>
        </w:rPr>
        <w:t>גם בקביעות אלה לא מצאתי מקום להתערב</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12</w:t>
      </w:r>
      <w:r>
        <w:rPr>
          <w:rFonts w:cs="Century" w:ascii="Century" w:hAnsi="Century"/>
          <w:rtl w:val="true"/>
        </w:rPr>
        <w:t>.</w:t>
        <w:tab/>
      </w:r>
      <w:r>
        <w:rPr>
          <w:rFonts w:ascii="Century" w:hAnsi="Century" w:cs="Century"/>
          <w:rtl w:val="true"/>
        </w:rPr>
        <w:t>גם בטענה של אי תפיסת מצלמות הדרך לא מצאתי ממש</w:t>
      </w:r>
      <w:r>
        <w:rPr>
          <w:rFonts w:cs="Century" w:ascii="Century" w:hAnsi="Century"/>
          <w:rtl w:val="true"/>
        </w:rPr>
        <w:t xml:space="preserve">. </w:t>
      </w:r>
      <w:r>
        <w:rPr>
          <w:rFonts w:ascii="Century" w:hAnsi="Century" w:cs="Century"/>
          <w:rtl w:val="true"/>
        </w:rPr>
        <w:t>בית המשפט בזהירות הראויה החליט להרשיע את המערער אך בעבירה אחת של מעבר צומת באור אדום</w:t>
      </w:r>
      <w:r>
        <w:rPr>
          <w:rFonts w:cs="Century" w:ascii="Century" w:hAnsi="Century"/>
          <w:rtl w:val="true"/>
        </w:rPr>
        <w:t xml:space="preserve">, </w:t>
      </w:r>
      <w:r>
        <w:rPr>
          <w:rFonts w:ascii="Century" w:hAnsi="Century" w:cs="Century"/>
          <w:rtl w:val="true"/>
        </w:rPr>
        <w:t>כשבכתב האישום יוחסו לו חמש עבירות נוספות של חציית צומת ברמזור אדום</w:t>
      </w:r>
      <w:r>
        <w:rPr>
          <w:rFonts w:cs="Century" w:ascii="Century" w:hAnsi="Century"/>
          <w:rtl w:val="true"/>
        </w:rPr>
        <w:t xml:space="preserve">. </w:t>
      </w:r>
      <w:r>
        <w:rPr>
          <w:rFonts w:ascii="Century" w:hAnsi="Century" w:cs="Century"/>
          <w:rtl w:val="true"/>
        </w:rPr>
        <w:t xml:space="preserve">בית המשפט הסביר את הכרעתו בכך </w:t>
      </w:r>
      <w:r>
        <w:rPr>
          <w:rFonts w:cs="Century" w:ascii="Century" w:hAnsi="Century"/>
          <w:rtl w:val="true"/>
        </w:rPr>
        <w:t>"</w:t>
      </w:r>
      <w:r>
        <w:rPr>
          <w:rFonts w:ascii="Century" w:hAnsi="Century" w:cs="Century"/>
          <w:rtl w:val="true"/>
        </w:rPr>
        <w:t>שהמעבר באור אדום מבוסס על עדויות שוטרים בלבד ללא צילום או תיעוד מדויק בזמן אמת</w:t>
      </w:r>
      <w:r>
        <w:rPr>
          <w:rFonts w:cs="Century" w:ascii="Century" w:hAnsi="Century"/>
          <w:rtl w:val="true"/>
        </w:rPr>
        <w:t xml:space="preserve">. </w:t>
      </w:r>
      <w:r>
        <w:rPr>
          <w:rFonts w:ascii="Century" w:hAnsi="Century" w:cs="Century"/>
          <w:rtl w:val="true"/>
        </w:rPr>
        <w:t>אני נמנעת מהרשעת המערער בשש עבירות המתייחסות לצמתים ספציפיים ומרשיעה אותו בעבירה אחת בלבד</w:t>
      </w:r>
      <w:r>
        <w:rPr>
          <w:rFonts w:cs="Century" w:ascii="Century" w:hAnsi="Century"/>
          <w:rtl w:val="true"/>
        </w:rPr>
        <w:t xml:space="preserve">". </w:t>
      </w:r>
      <w:r>
        <w:rPr>
          <w:rFonts w:ascii="Century" w:hAnsi="Century" w:cs="Century"/>
          <w:rtl w:val="true"/>
        </w:rPr>
        <w:t>לדידי</w:t>
      </w:r>
      <w:r>
        <w:rPr>
          <w:rFonts w:cs="Century" w:ascii="Century" w:hAnsi="Century"/>
          <w:rtl w:val="true"/>
        </w:rPr>
        <w:t xml:space="preserve">, </w:t>
      </w:r>
      <w:r>
        <w:rPr>
          <w:rFonts w:ascii="Century" w:hAnsi="Century" w:cs="Century"/>
          <w:rtl w:val="true"/>
        </w:rPr>
        <w:t>במסקנתו זו שקלל בית המשפט הלכה למעשה את המחדל המשטרתי באי תפיסת המצלמות עד לאי הרשעת המערער בחמש עבירות של מעבר צומת באור אדום</w:t>
      </w:r>
      <w:r>
        <w:rPr>
          <w:rFonts w:cs="Century" w:ascii="Century" w:hAnsi="Century"/>
          <w:rtl w:val="true"/>
        </w:rPr>
        <w:t xml:space="preserve">. </w:t>
      </w:r>
      <w:r>
        <w:rPr>
          <w:rFonts w:ascii="Century" w:hAnsi="Century" w:cs="Century"/>
          <w:rtl w:val="true"/>
        </w:rPr>
        <w:t xml:space="preserve">למסקנה זו הגיע בית המשפט חרף קביעתו </w:t>
      </w:r>
      <w:r>
        <w:rPr>
          <w:rFonts w:cs="Century" w:ascii="Century" w:hAnsi="Century"/>
          <w:rtl w:val="true"/>
        </w:rPr>
        <w:t>"</w:t>
      </w:r>
      <w:r>
        <w:rPr>
          <w:rFonts w:ascii="Century" w:hAnsi="Century" w:cs="Century"/>
          <w:rtl w:val="true"/>
        </w:rPr>
        <w:t>שעצם קיומו של המרדף ועיקרי העובדות שתוארו על</w:t>
      </w:r>
      <w:r>
        <w:rPr>
          <w:rFonts w:cs="Century" w:ascii="Century" w:hAnsi="Century"/>
          <w:rtl w:val="true"/>
        </w:rPr>
        <w:t>-</w:t>
      </w:r>
      <w:r>
        <w:rPr>
          <w:rFonts w:ascii="Century" w:hAnsi="Century" w:cs="Century"/>
          <w:rtl w:val="true"/>
        </w:rPr>
        <w:t>ידי השוטרים בנוגע להתנהלות המרדף אינם שנויים במחלוקת</w:t>
      </w:r>
      <w:r>
        <w:rPr>
          <w:rFonts w:cs="Century" w:ascii="Century" w:hAnsi="Century"/>
          <w:rtl w:val="true"/>
        </w:rPr>
        <w:t xml:space="preserve">. </w:t>
      </w:r>
      <w:r>
        <w:rPr>
          <w:rFonts w:ascii="Century" w:hAnsi="Century" w:cs="Century"/>
          <w:rtl w:val="true"/>
        </w:rPr>
        <w:t>כך שהעדר תיעוד מצולם אינו משנה מהותית את תמונת הראיות ואינו פוגע בהגנת הנאשם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13</w:t>
      </w:r>
      <w:r>
        <w:rPr>
          <w:rFonts w:cs="Century" w:ascii="Century" w:hAnsi="Century"/>
          <w:rtl w:val="true"/>
        </w:rPr>
        <w:t>.</w:t>
        <w:tab/>
      </w:r>
      <w:r>
        <w:rPr>
          <w:rFonts w:ascii="Century" w:hAnsi="Century" w:cs="Century"/>
          <w:rtl w:val="true"/>
        </w:rPr>
        <w:t>לטענותיו האחרות של המערער בדבר נסיבות הימצאותו של רכב הבילוש</w:t>
      </w:r>
      <w:r>
        <w:rPr>
          <w:rFonts w:cs="Century" w:ascii="Century" w:hAnsi="Century"/>
          <w:rtl w:val="true"/>
        </w:rPr>
        <w:t xml:space="preserve">, </w:t>
      </w:r>
      <w:r>
        <w:rPr>
          <w:rFonts w:ascii="Century" w:hAnsi="Century" w:cs="Century"/>
          <w:rtl w:val="true"/>
        </w:rPr>
        <w:t>נסיבות הירי לעבר רכבו של המערער וחוקיותו</w:t>
      </w:r>
      <w:r>
        <w:rPr>
          <w:rFonts w:cs="Century" w:ascii="Century" w:hAnsi="Century"/>
          <w:rtl w:val="true"/>
        </w:rPr>
        <w:t xml:space="preserve">, </w:t>
      </w:r>
      <w:r>
        <w:rPr>
          <w:rFonts w:ascii="Century" w:hAnsi="Century" w:cs="Century"/>
          <w:rtl w:val="true"/>
        </w:rPr>
        <w:t>הרשעתו בעבירה של החזקת סכין</w:t>
      </w:r>
      <w:r>
        <w:rPr>
          <w:rFonts w:cs="Century" w:ascii="Century" w:hAnsi="Century"/>
          <w:rtl w:val="true"/>
        </w:rPr>
        <w:t xml:space="preserve">, </w:t>
      </w:r>
      <w:r>
        <w:rPr>
          <w:rFonts w:ascii="Century" w:hAnsi="Century" w:cs="Century"/>
          <w:rtl w:val="true"/>
        </w:rPr>
        <w:t>הרשעתו בעבירה של גרימת נזק לרכב לא מצאתי להתייחס משקביעותיו של בית המשפט קמא בעניינים אלה מקובלת עלי</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b/>
          <w:spacing w:val="0"/>
          <w:szCs w:val="24"/>
        </w:rPr>
      </w:pPr>
      <w:r>
        <w:rPr>
          <w:rFonts w:ascii="Century" w:hAnsi="Century" w:cs="Miriam"/>
          <w:b/>
          <w:b/>
          <w:spacing w:val="0"/>
          <w:szCs w:val="24"/>
          <w:rtl w:val="true"/>
        </w:rPr>
        <w:t>הערעור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העונש</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rFonts w:ascii="Century" w:hAnsi="Century" w:cs="Century"/>
        </w:rPr>
      </w:pPr>
      <w:r>
        <w:rPr>
          <w:rFonts w:cs="Century" w:ascii="Century" w:hAnsi="Century"/>
        </w:rPr>
        <w:t>14</w:t>
      </w:r>
      <w:r>
        <w:rPr>
          <w:rFonts w:cs="Century" w:ascii="Century" w:hAnsi="Century"/>
          <w:rtl w:val="true"/>
        </w:rPr>
        <w:t>.</w:t>
        <w:tab/>
      </w:r>
      <w:r>
        <w:rPr>
          <w:rFonts w:ascii="Century" w:hAnsi="Century" w:cs="Century"/>
          <w:rtl w:val="true"/>
        </w:rPr>
        <w:t>השגתו של המערער בעניין העונש מתמקדת בתקופת המאסר בפועל שהוטלה עליו</w:t>
      </w:r>
      <w:r>
        <w:rPr>
          <w:rFonts w:cs="Century" w:ascii="Century" w:hAnsi="Century"/>
          <w:rtl w:val="true"/>
        </w:rPr>
        <w:t xml:space="preserve">, </w:t>
      </w:r>
      <w:r>
        <w:rPr>
          <w:rFonts w:ascii="Century" w:hAnsi="Century" w:cs="Century"/>
          <w:rtl w:val="true"/>
        </w:rPr>
        <w:t xml:space="preserve">העומדת על </w:t>
      </w:r>
      <w:r>
        <w:rPr>
          <w:rFonts w:cs="Century" w:ascii="Century" w:hAnsi="Century"/>
        </w:rPr>
        <w:t>44</w:t>
      </w:r>
      <w:r>
        <w:rPr>
          <w:rFonts w:cs="Century" w:ascii="Century" w:hAnsi="Century"/>
          <w:rtl w:val="true"/>
        </w:rPr>
        <w:t xml:space="preserve"> </w:t>
      </w:r>
      <w:r>
        <w:rPr>
          <w:rFonts w:ascii="Century" w:hAnsi="Century" w:cs="Century"/>
          <w:rtl w:val="true"/>
        </w:rPr>
        <w:t>חודשי מאסר בפועל</w:t>
      </w:r>
      <w:r>
        <w:rPr>
          <w:rFonts w:cs="Century" w:ascii="Century" w:hAnsi="Century"/>
          <w:rtl w:val="true"/>
        </w:rPr>
        <w:t xml:space="preserve">. </w:t>
      </w:r>
      <w:r>
        <w:rPr>
          <w:rFonts w:ascii="Century" w:hAnsi="Century" w:cs="Century"/>
          <w:rtl w:val="true"/>
        </w:rPr>
        <w:t>לגישתו</w:t>
      </w:r>
      <w:r>
        <w:rPr>
          <w:rFonts w:cs="Century" w:ascii="Century" w:hAnsi="Century"/>
          <w:rtl w:val="true"/>
        </w:rPr>
        <w:t xml:space="preserve">, </w:t>
      </w:r>
      <w:r>
        <w:rPr>
          <w:rFonts w:ascii="Century" w:hAnsi="Century" w:cs="Century"/>
          <w:rtl w:val="true"/>
        </w:rPr>
        <w:t>העונש חמור יתר על המידה בהתחשב בנסיבות המקרה ומהלכי השיקום בהם נוקט המערער בתקופה האחרונה</w:t>
      </w:r>
      <w:r>
        <w:rPr>
          <w:rFonts w:cs="Century" w:ascii="Century" w:hAnsi="Century"/>
          <w:rtl w:val="true"/>
        </w:rPr>
        <w:t xml:space="preserve">, </w:t>
      </w:r>
      <w:r>
        <w:rPr>
          <w:rFonts w:ascii="Century" w:hAnsi="Century" w:cs="Century"/>
          <w:rtl w:val="true"/>
        </w:rPr>
        <w:t>משהוא נמנע מכל מעורבות בפלילים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לא מצאתי ממש בערעורו של המערער גם לעניין העונש</w:t>
      </w:r>
      <w:r>
        <w:rPr>
          <w:rFonts w:cs="Century" w:ascii="Century" w:hAnsi="Century"/>
          <w:rtl w:val="true"/>
        </w:rPr>
        <w:t xml:space="preserve">. </w:t>
      </w:r>
      <w:r>
        <w:rPr>
          <w:rFonts w:ascii="Century" w:hAnsi="Century" w:cs="Century"/>
          <w:rtl w:val="true"/>
        </w:rPr>
        <w:t>יצוין</w:t>
      </w:r>
      <w:r>
        <w:rPr>
          <w:rFonts w:cs="Century" w:ascii="Century" w:hAnsi="Century"/>
          <w:rtl w:val="true"/>
        </w:rPr>
        <w:t xml:space="preserve">, </w:t>
      </w:r>
      <w:r>
        <w:rPr>
          <w:rFonts w:ascii="Century" w:hAnsi="Century" w:cs="Century"/>
          <w:rtl w:val="true"/>
        </w:rPr>
        <w:t>כי בית המשפט קבע מתחם ענישה אחד לכל האירוע</w:t>
      </w:r>
      <w:r>
        <w:rPr>
          <w:rFonts w:cs="Century" w:ascii="Century" w:hAnsi="Century"/>
          <w:rtl w:val="true"/>
        </w:rPr>
        <w:t xml:space="preserve">, </w:t>
      </w:r>
      <w:r>
        <w:rPr>
          <w:rFonts w:ascii="Century" w:hAnsi="Century" w:cs="Century"/>
          <w:rtl w:val="true"/>
        </w:rPr>
        <w:t>שנע בין שנתיים לחמש שנות מאסר</w:t>
      </w:r>
      <w:r>
        <w:rPr>
          <w:rFonts w:cs="Century" w:ascii="Century" w:hAnsi="Century"/>
          <w:rtl w:val="true"/>
        </w:rPr>
        <w:t xml:space="preserve">. </w:t>
      </w:r>
      <w:r>
        <w:rPr>
          <w:rFonts w:ascii="Century" w:hAnsi="Century" w:cs="Century"/>
          <w:rtl w:val="true"/>
        </w:rPr>
        <w:t xml:space="preserve">בתוך מתחם זה </w:t>
      </w:r>
      <w:r>
        <w:rPr>
          <w:rFonts w:cs="Century" w:ascii="Century" w:hAnsi="Century"/>
          <w:rtl w:val="true"/>
        </w:rPr>
        <w:t>"</w:t>
      </w:r>
      <w:r>
        <w:rPr>
          <w:rFonts w:ascii="Century" w:hAnsi="Century" w:cs="Century"/>
          <w:rtl w:val="true"/>
        </w:rPr>
        <w:t>נבלעו</w:t>
      </w:r>
      <w:r>
        <w:rPr>
          <w:rFonts w:cs="Century" w:ascii="Century" w:hAnsi="Century"/>
          <w:rtl w:val="true"/>
        </w:rPr>
        <w:t xml:space="preserve">" </w:t>
      </w:r>
      <w:r>
        <w:rPr>
          <w:rFonts w:ascii="Century" w:hAnsi="Century" w:cs="Century"/>
          <w:rtl w:val="true"/>
        </w:rPr>
        <w:t>כלל העבירות שבהן הורשע המערער</w:t>
      </w:r>
      <w:r>
        <w:rPr>
          <w:rFonts w:cs="Century" w:ascii="Century" w:hAnsi="Century"/>
          <w:rtl w:val="true"/>
        </w:rPr>
        <w:t xml:space="preserve">. </w:t>
      </w:r>
      <w:r>
        <w:rPr>
          <w:rFonts w:ascii="Century" w:hAnsi="Century" w:cs="Century"/>
          <w:rtl w:val="true"/>
        </w:rPr>
        <w:t>בית המשפט מיקם את המערער מעט מעל אמצע המתחם</w:t>
      </w:r>
      <w:r>
        <w:rPr>
          <w:rFonts w:cs="Century" w:ascii="Century" w:hAnsi="Century"/>
          <w:rtl w:val="true"/>
        </w:rPr>
        <w:t xml:space="preserve">. </w:t>
      </w:r>
      <w:r>
        <w:rPr>
          <w:rFonts w:ascii="Century" w:hAnsi="Century" w:cs="Century"/>
          <w:rtl w:val="true"/>
        </w:rPr>
        <w:t xml:space="preserve">וגזר עליו עונש לתקופה של </w:t>
      </w:r>
      <w:r>
        <w:rPr>
          <w:rFonts w:cs="Century" w:ascii="Century" w:hAnsi="Century"/>
        </w:rPr>
        <w:t>44</w:t>
      </w:r>
      <w:r>
        <w:rPr>
          <w:rFonts w:cs="Century" w:ascii="Century" w:hAnsi="Century"/>
          <w:rtl w:val="true"/>
        </w:rPr>
        <w:t xml:space="preserve"> </w:t>
      </w:r>
      <w:r>
        <w:rPr>
          <w:rFonts w:ascii="Century" w:hAnsi="Century" w:cs="Century"/>
          <w:rtl w:val="true"/>
        </w:rPr>
        <w:t>חודשי מאסר</w:t>
      </w:r>
      <w:r>
        <w:rPr>
          <w:rFonts w:cs="Century" w:ascii="Century" w:hAnsi="Century"/>
          <w:rtl w:val="true"/>
        </w:rPr>
        <w:t xml:space="preserve">. </w:t>
      </w:r>
      <w:r>
        <w:rPr>
          <w:rFonts w:ascii="Century" w:hAnsi="Century" w:cs="Century"/>
          <w:rtl w:val="true"/>
        </w:rPr>
        <w:t>עונש זה</w:t>
      </w:r>
      <w:r>
        <w:rPr>
          <w:rFonts w:cs="Century" w:ascii="Century" w:hAnsi="Century"/>
          <w:rtl w:val="true"/>
        </w:rPr>
        <w:t xml:space="preserve">, </w:t>
      </w:r>
      <w:r>
        <w:rPr>
          <w:rFonts w:ascii="Century" w:hAnsi="Century" w:cs="Century"/>
          <w:rtl w:val="true"/>
        </w:rPr>
        <w:t>בגין רצף עבירות שביצע המערער</w:t>
      </w:r>
      <w:r>
        <w:rPr>
          <w:rFonts w:cs="Century" w:ascii="Century" w:hAnsi="Century"/>
          <w:rtl w:val="true"/>
        </w:rPr>
        <w:t xml:space="preserve">, </w:t>
      </w:r>
      <w:r>
        <w:rPr>
          <w:rFonts w:ascii="Century" w:hAnsi="Century" w:cs="Century"/>
          <w:rtl w:val="true"/>
        </w:rPr>
        <w:t>שהחמורה מביניהן הינה עבירה של סיכון חיי אדם בנתיב תחבורה</w:t>
      </w:r>
      <w:r>
        <w:rPr>
          <w:rFonts w:cs="Century" w:ascii="Century" w:hAnsi="Century"/>
          <w:rtl w:val="true"/>
        </w:rPr>
        <w:t xml:space="preserve">, </w:t>
      </w:r>
      <w:r>
        <w:rPr>
          <w:rFonts w:ascii="Century" w:hAnsi="Century" w:cs="Century"/>
          <w:rtl w:val="true"/>
        </w:rPr>
        <w:t xml:space="preserve">שהעונש הקבוע בצדה הינו </w:t>
      </w:r>
      <w:r>
        <w:rPr>
          <w:rFonts w:cs="Century" w:ascii="Century" w:hAnsi="Century"/>
        </w:rPr>
        <w:t>20</w:t>
      </w:r>
      <w:r>
        <w:rPr>
          <w:rFonts w:cs="Century" w:ascii="Century" w:hAnsi="Century"/>
          <w:rtl w:val="true"/>
        </w:rPr>
        <w:t xml:space="preserve"> </w:t>
      </w:r>
      <w:r>
        <w:rPr>
          <w:rFonts w:ascii="Century" w:hAnsi="Century" w:cs="Century"/>
          <w:rtl w:val="true"/>
        </w:rPr>
        <w:t>שנות מאסר</w:t>
      </w:r>
      <w:r>
        <w:rPr>
          <w:rFonts w:cs="Century" w:ascii="Century" w:hAnsi="Century"/>
          <w:rtl w:val="true"/>
        </w:rPr>
        <w:t xml:space="preserve">, </w:t>
      </w:r>
      <w:r>
        <w:rPr>
          <w:rFonts w:ascii="Century" w:hAnsi="Century" w:cs="Century"/>
          <w:rtl w:val="true"/>
        </w:rPr>
        <w:t>אינו עונש חמור יתר על המידה</w:t>
      </w:r>
      <w:r>
        <w:rPr>
          <w:rFonts w:cs="Century" w:ascii="Century" w:hAnsi="Century"/>
          <w:rtl w:val="true"/>
        </w:rPr>
        <w:t xml:space="preserve">. </w:t>
      </w:r>
      <w:r>
        <w:rPr>
          <w:rFonts w:ascii="Century" w:hAnsi="Century" w:cs="Century"/>
          <w:rtl w:val="true"/>
        </w:rPr>
        <w:t xml:space="preserve">ראה </w:t>
      </w:r>
      <w:hyperlink r:id="rId3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2499/14</w:t>
        </w:r>
      </w:hyperlink>
      <w:r>
        <w:rPr>
          <w:rFonts w:cs="Century" w:ascii="Century" w:hAnsi="Century"/>
          <w:rtl w:val="true"/>
        </w:rPr>
        <w:t xml:space="preserve"> </w:t>
      </w:r>
      <w:r>
        <w:rPr>
          <w:rFonts w:ascii="Times New Roman" w:hAnsi="Times New Roman" w:cs="Miriam"/>
          <w:spacing w:val="0"/>
          <w:sz w:val="28"/>
          <w:sz w:val="28"/>
          <w:szCs w:val="24"/>
          <w:rtl w:val="true"/>
        </w:rPr>
        <w:t>אלנבארי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5.11.2014</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בהינתן עברו הפלילי המכביד של המערער</w:t>
      </w:r>
      <w:r>
        <w:rPr>
          <w:rFonts w:cs="Century" w:ascii="Century" w:hAnsi="Century"/>
          <w:rtl w:val="true"/>
        </w:rPr>
        <w:t xml:space="preserve">, </w:t>
      </w:r>
      <w:r>
        <w:rPr>
          <w:rFonts w:ascii="Century" w:hAnsi="Century" w:cs="Century"/>
          <w:rtl w:val="true"/>
        </w:rPr>
        <w:t>נהיגתו הפראית והמסוכנת כשרק ירי השוטרים לעבר הרכב בו נהג הביא למעצרו</w:t>
      </w:r>
      <w:r>
        <w:rPr>
          <w:rFonts w:cs="Century" w:ascii="Century" w:hAnsi="Century"/>
          <w:rtl w:val="true"/>
        </w:rPr>
        <w:t xml:space="preserve">, </w:t>
      </w:r>
      <w:r>
        <w:rPr>
          <w:rFonts w:ascii="Century" w:hAnsi="Century" w:cs="Century"/>
          <w:rtl w:val="true"/>
        </w:rPr>
        <w:t>העונש שהוטל הינו עונש ראוי והולם שאינו מצדיק התערבות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לאור האמור אציע אפוא לדחות את הערעור על שני חלקיו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Normal"/>
              <w:tabs>
                <w:tab w:val="clear" w:pos="720"/>
                <w:tab w:val="left" w:pos="800" w:leader="none"/>
              </w:tabs>
              <w:snapToGrid w:val="false"/>
              <w:ind w:end="0"/>
              <w:jc w:val="both"/>
              <w:rPr>
                <w:rFonts w:ascii="Arial TUR" w:hAnsi="Arial TUR" w:cs="Arial TUR"/>
                <w:sz w:val="22"/>
              </w:rPr>
            </w:pPr>
            <w:r>
              <w:rPr>
                <w:rFonts w:cs="Arial TUR" w:ascii="Arial TUR" w:hAnsi="Arial TUR"/>
                <w:sz w:val="22"/>
                <w:rtl w:val="true"/>
              </w:rPr>
            </w:r>
          </w:p>
        </w:tc>
        <w:tc>
          <w:tcPr>
            <w:tcW w:w="2843" w:type="dxa"/>
            <w:tcBorders/>
          </w:tcPr>
          <w:p>
            <w:pPr>
              <w:pStyle w:val="Normal"/>
              <w:tabs>
                <w:tab w:val="clear" w:pos="720"/>
                <w:tab w:val="left" w:pos="800" w:leader="none"/>
              </w:tabs>
              <w:snapToGrid w:val="false"/>
              <w:ind w:end="0"/>
              <w:jc w:val="both"/>
              <w:rPr>
                <w:rFonts w:ascii="Arial TUR" w:hAnsi="Arial TUR" w:cs="Arial TUR"/>
                <w:sz w:val="22"/>
              </w:rPr>
            </w:pPr>
            <w:r>
              <w:rPr>
                <w:rFonts w:cs="Arial TUR" w:ascii="Arial TUR" w:hAnsi="Arial TUR"/>
                <w:sz w:val="22"/>
                <w:rtl w:val="true"/>
              </w:rPr>
            </w:r>
          </w:p>
        </w:tc>
        <w:tc>
          <w:tcPr>
            <w:tcW w:w="2843" w:type="dxa"/>
            <w:tcBorders/>
          </w:tcPr>
          <w:p>
            <w:pPr>
              <w:pStyle w:val="Ruller41"/>
              <w:ind w:end="0"/>
              <w:jc w:val="center"/>
              <w:rPr>
                <w:sz w:val="28"/>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Normal"/>
        <w:tabs>
          <w:tab w:val="clear" w:pos="720"/>
          <w:tab w:val="left" w:pos="800" w:leader="none"/>
        </w:tabs>
        <w:ind w:end="0"/>
        <w:jc w:val="both"/>
        <w:rPr>
          <w:rFonts w:ascii="Arial TUR" w:hAnsi="Arial TUR" w:cs="Arial TUR"/>
          <w:sz w:val="22"/>
        </w:rPr>
      </w:pPr>
      <w:r>
        <w:rPr>
          <w:rFonts w:cs="Arial TUR" w:ascii="Arial TUR" w:hAnsi="Arial TUR"/>
          <w:sz w:val="22"/>
          <w:rtl w:val="true"/>
        </w:rPr>
      </w:r>
    </w:p>
    <w:p>
      <w:pPr>
        <w:pStyle w:val="Normal"/>
        <w:tabs>
          <w:tab w:val="clear" w:pos="720"/>
          <w:tab w:val="left" w:pos="800" w:leader="none"/>
        </w:tabs>
        <w:ind w:end="0"/>
        <w:jc w:val="both"/>
        <w:rPr>
          <w:rFonts w:ascii="Arial TUR" w:hAnsi="Arial TUR" w:cs="Miriam"/>
          <w:sz w:val="24"/>
          <w:u w:val="single"/>
        </w:rPr>
      </w:pPr>
      <w:r>
        <w:rPr>
          <w:rFonts w:cs="Miriam" w:ascii="Arial TUR" w:hAnsi="Arial TUR"/>
          <w:sz w:val="24"/>
          <w:u w:val="single"/>
          <w:rtl w:val="true"/>
        </w:rPr>
      </w:r>
    </w:p>
    <w:p>
      <w:pPr>
        <w:pStyle w:val="Normal"/>
        <w:tabs>
          <w:tab w:val="clear" w:pos="720"/>
          <w:tab w:val="left" w:pos="800" w:leader="none"/>
        </w:tabs>
        <w:ind w:end="0"/>
        <w:jc w:val="both"/>
        <w:rPr>
          <w:rFonts w:cs="Miriam"/>
          <w:sz w:val="24"/>
        </w:rPr>
      </w:pPr>
      <w:r>
        <w:rPr>
          <w:rFonts w:cs="Miriam"/>
          <w:sz w:val="24"/>
          <w:sz w:val="24"/>
          <w:u w:val="single"/>
          <w:rtl w:val="true"/>
        </w:rPr>
        <w:t>ה</w:t>
      </w:r>
      <w:r>
        <w:rPr>
          <w:rFonts w:cs="Miriam"/>
          <w:sz w:val="24"/>
          <w:sz w:val="24"/>
          <w:u w:val="single"/>
          <w:rtl w:val="true"/>
        </w:rPr>
        <w:t>שופט</w:t>
      </w:r>
      <w:r>
        <w:rPr>
          <w:rFonts w:cs="Times New Roman"/>
          <w:sz w:val="24"/>
          <w:sz w:val="24"/>
          <w:u w:val="single"/>
          <w:rtl w:val="true"/>
        </w:rPr>
        <w:t xml:space="preserve"> </w:t>
      </w:r>
      <w:r>
        <w:rPr>
          <w:rFonts w:cs="Miriam"/>
          <w:sz w:val="24"/>
          <w:sz w:val="24"/>
          <w:u w:val="single"/>
          <w:rtl w:val="true"/>
        </w:rPr>
        <w:t>א</w:t>
      </w:r>
      <w:r>
        <w:rPr>
          <w:rFonts w:cs="Miriam"/>
          <w:sz w:val="24"/>
          <w:u w:val="single"/>
          <w:rtl w:val="true"/>
        </w:rPr>
        <w:t xml:space="preserve">' </w:t>
      </w:r>
      <w:r>
        <w:rPr>
          <w:rFonts w:cs="Miriam"/>
          <w:sz w:val="24"/>
          <w:sz w:val="24"/>
          <w:u w:val="single"/>
          <w:rtl w:val="true"/>
        </w:rPr>
        <w:t>שהם</w:t>
      </w:r>
      <w:r>
        <w:rPr>
          <w:rFonts w:cs="Miriam"/>
          <w:sz w:val="24"/>
          <w:rtl w:val="true"/>
        </w:rPr>
        <w:t>:</w:t>
      </w:r>
    </w:p>
    <w:p>
      <w:pPr>
        <w:pStyle w:val="Ruller41"/>
        <w:ind w:end="0"/>
        <w:jc w:val="both"/>
        <w:rPr>
          <w:rFonts w:cs="Miriam"/>
          <w:sz w:val="24"/>
        </w:rPr>
      </w:pPr>
      <w:r>
        <w:rPr>
          <w:rFonts w:cs="Miriam"/>
          <w:sz w:val="24"/>
          <w:rtl w:val="true"/>
        </w:rPr>
      </w:r>
    </w:p>
    <w:p>
      <w:pPr>
        <w:pStyle w:val="Ruller41"/>
        <w:ind w:end="0"/>
        <w:jc w:val="both"/>
        <w:rPr/>
      </w:pPr>
      <w:r>
        <w:rPr>
          <w:rtl w:val="true"/>
        </w:rPr>
        <w:tab/>
      </w:r>
      <w:r>
        <w:rPr>
          <w:rtl w:val="true"/>
        </w:rPr>
        <w:t>אני</w:t>
      </w:r>
      <w:r>
        <w:rPr>
          <w:rFonts w:eastAsia="Arial TUR" w:cs="Arial TUR"/>
          <w:rtl w:val="true"/>
        </w:rPr>
        <w:t xml:space="preserve"> </w:t>
      </w:r>
      <w:r>
        <w:rPr>
          <w:rtl w:val="true"/>
        </w:rPr>
        <w:t>מסכים</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Normal"/>
              <w:tabs>
                <w:tab w:val="clear" w:pos="720"/>
                <w:tab w:val="left" w:pos="800" w:leader="none"/>
              </w:tabs>
              <w:snapToGrid w:val="false"/>
              <w:ind w:end="0"/>
              <w:jc w:val="both"/>
              <w:rPr>
                <w:rFonts w:ascii="Arial TUR" w:hAnsi="Arial TUR" w:cs="Arial TUR"/>
                <w:sz w:val="22"/>
              </w:rPr>
            </w:pPr>
            <w:r>
              <w:rPr>
                <w:rFonts w:cs="Arial TUR" w:ascii="Arial TUR" w:hAnsi="Arial TUR"/>
                <w:sz w:val="22"/>
                <w:rtl w:val="true"/>
              </w:rPr>
            </w:r>
          </w:p>
        </w:tc>
        <w:tc>
          <w:tcPr>
            <w:tcW w:w="2843" w:type="dxa"/>
            <w:tcBorders/>
          </w:tcPr>
          <w:p>
            <w:pPr>
              <w:pStyle w:val="Normal"/>
              <w:tabs>
                <w:tab w:val="clear" w:pos="720"/>
                <w:tab w:val="left" w:pos="800" w:leader="none"/>
              </w:tabs>
              <w:snapToGrid w:val="false"/>
              <w:ind w:end="0"/>
              <w:jc w:val="both"/>
              <w:rPr>
                <w:rFonts w:ascii="Arial TUR" w:hAnsi="Arial TUR" w:cs="Arial TUR"/>
                <w:sz w:val="22"/>
              </w:rPr>
            </w:pPr>
            <w:r>
              <w:rPr>
                <w:rFonts w:cs="Arial TUR" w:ascii="Arial TUR" w:hAnsi="Arial TUR"/>
                <w:sz w:val="22"/>
                <w:rtl w:val="true"/>
              </w:rPr>
            </w:r>
          </w:p>
        </w:tc>
        <w:tc>
          <w:tcPr>
            <w:tcW w:w="2843" w:type="dxa"/>
            <w:tcBorders/>
          </w:tcPr>
          <w:p>
            <w:pPr>
              <w:pStyle w:val="Ruller41"/>
              <w:ind w:end="0"/>
              <w:jc w:val="center"/>
              <w:rPr>
                <w:sz w:val="28"/>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Normal"/>
        <w:tabs>
          <w:tab w:val="clear" w:pos="720"/>
          <w:tab w:val="left" w:pos="800" w:leader="none"/>
        </w:tabs>
        <w:ind w:end="0"/>
        <w:jc w:val="both"/>
        <w:rPr>
          <w:rFonts w:ascii="Arial TUR" w:hAnsi="Arial TUR" w:cs="Arial TUR"/>
          <w:sz w:val="22"/>
        </w:rPr>
      </w:pPr>
      <w:r>
        <w:rPr>
          <w:rFonts w:cs="Arial TUR" w:ascii="Arial TUR" w:hAnsi="Arial TUR"/>
          <w:sz w:val="22"/>
          <w:rtl w:val="true"/>
        </w:rPr>
      </w:r>
    </w:p>
    <w:p>
      <w:pPr>
        <w:pStyle w:val="Ruller41"/>
        <w:ind w:end="0"/>
        <w:jc w:val="both"/>
        <w:rPr>
          <w:rFonts w:ascii="Century" w:hAnsi="Century" w:cs="Century"/>
          <w:sz w:val="22"/>
        </w:rPr>
      </w:pPr>
      <w:r>
        <w:rPr>
          <w:rFonts w:cs="Century" w:ascii="Century" w:hAnsi="Century"/>
          <w:sz w:val="22"/>
          <w:rtl w:val="true"/>
        </w:rPr>
      </w:r>
    </w:p>
    <w:p>
      <w:pPr>
        <w:pStyle w:val="Normal"/>
        <w:tabs>
          <w:tab w:val="clear" w:pos="720"/>
          <w:tab w:val="left" w:pos="800" w:leader="none"/>
        </w:tabs>
        <w:ind w:end="0"/>
        <w:jc w:val="both"/>
        <w:rPr>
          <w:rFonts w:cs="Miriam"/>
          <w:sz w:val="24"/>
        </w:rPr>
      </w:pPr>
      <w:r>
        <w:rPr>
          <w:rFonts w:cs="Miriam"/>
          <w:sz w:val="24"/>
          <w:sz w:val="24"/>
          <w:u w:val="single"/>
          <w:rtl w:val="true"/>
        </w:rPr>
        <w:t>השופטת</w:t>
      </w:r>
      <w:r>
        <w:rPr>
          <w:rFonts w:cs="Times New Roman"/>
          <w:sz w:val="24"/>
          <w:sz w:val="24"/>
          <w:u w:val="single"/>
          <w:rtl w:val="true"/>
        </w:rPr>
        <w:t xml:space="preserve"> </w:t>
      </w:r>
      <w:r>
        <w:rPr>
          <w:rFonts w:cs="Miriam"/>
          <w:sz w:val="24"/>
          <w:sz w:val="24"/>
          <w:u w:val="single"/>
          <w:rtl w:val="true"/>
        </w:rPr>
        <w:t>י</w:t>
      </w:r>
      <w:r>
        <w:rPr>
          <w:rFonts w:cs="Miriam"/>
          <w:sz w:val="24"/>
          <w:u w:val="single"/>
          <w:rtl w:val="true"/>
        </w:rPr>
        <w:t xml:space="preserve">' </w:t>
      </w:r>
      <w:r>
        <w:rPr>
          <w:rFonts w:cs="Miriam"/>
          <w:sz w:val="24"/>
          <w:sz w:val="24"/>
          <w:u w:val="single"/>
          <w:rtl w:val="true"/>
        </w:rPr>
        <w:t>וילנר</w:t>
      </w:r>
      <w:r>
        <w:rPr>
          <w:rFonts w:cs="Miriam"/>
          <w:sz w:val="24"/>
          <w:rtl w:val="true"/>
        </w:rPr>
        <w:t>:</w:t>
      </w:r>
    </w:p>
    <w:p>
      <w:pPr>
        <w:pStyle w:val="Ruller41"/>
        <w:ind w:end="0"/>
        <w:jc w:val="both"/>
        <w:rPr>
          <w:rFonts w:ascii="Times New Roman" w:hAnsi="Times New Roman" w:cs="Times New Roman"/>
          <w:sz w:val="24"/>
        </w:rPr>
      </w:pPr>
      <w:r>
        <w:rPr>
          <w:rFonts w:cs="Times New Roman" w:ascii="Times New Roman" w:hAnsi="Times New Roman"/>
          <w:sz w:val="24"/>
          <w:rtl w:val="true"/>
        </w:rPr>
      </w:r>
    </w:p>
    <w:p>
      <w:pPr>
        <w:pStyle w:val="Ruller41"/>
        <w:ind w:end="0"/>
        <w:jc w:val="both"/>
        <w:rPr>
          <w:rFonts w:ascii="Times New Roman" w:hAnsi="Times New Roman" w:cs="Times New Roman"/>
        </w:rPr>
      </w:pPr>
      <w:r>
        <w:rPr>
          <w:rtl w:val="true"/>
        </w:rPr>
        <w:tab/>
      </w:r>
      <w:r>
        <w:rPr>
          <w:rtl w:val="true"/>
        </w:rPr>
        <w:t>אני</w:t>
      </w:r>
      <w:r>
        <w:rPr>
          <w:rFonts w:eastAsia="Arial TUR" w:cs="Arial TUR"/>
          <w:rtl w:val="true"/>
        </w:rPr>
        <w:t xml:space="preserve"> </w:t>
      </w:r>
      <w:r>
        <w:rPr>
          <w:rtl w:val="true"/>
        </w:rPr>
        <w:t>מסכימה</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Normal"/>
              <w:tabs>
                <w:tab w:val="clear" w:pos="720"/>
                <w:tab w:val="left" w:pos="800" w:leader="none"/>
              </w:tabs>
              <w:ind w:end="0"/>
              <w:jc w:val="both"/>
              <w:rPr>
                <w:rFonts w:ascii="Arial TUR" w:hAnsi="Arial TUR" w:cs="Arial TUR"/>
                <w:sz w:val="22"/>
              </w:rPr>
            </w:pPr>
            <w:r>
              <w:rPr>
                <w:rFonts w:eastAsia="Century" w:cs="Century" w:ascii="Century" w:hAnsi="Century"/>
                <w:rtl w:val="true"/>
              </w:rPr>
              <w:t xml:space="preserve"> </w:t>
            </w:r>
          </w:p>
        </w:tc>
        <w:tc>
          <w:tcPr>
            <w:tcW w:w="2843" w:type="dxa"/>
            <w:tcBorders/>
          </w:tcPr>
          <w:p>
            <w:pPr>
              <w:pStyle w:val="Normal"/>
              <w:tabs>
                <w:tab w:val="clear" w:pos="720"/>
                <w:tab w:val="left" w:pos="800" w:leader="none"/>
              </w:tabs>
              <w:snapToGrid w:val="false"/>
              <w:ind w:end="0"/>
              <w:jc w:val="both"/>
              <w:rPr>
                <w:rFonts w:ascii="Arial TUR" w:hAnsi="Arial TUR" w:cs="Arial TUR"/>
                <w:sz w:val="22"/>
              </w:rPr>
            </w:pPr>
            <w:r>
              <w:rPr>
                <w:rFonts w:cs="Arial TUR" w:ascii="Arial TUR" w:hAnsi="Arial TUR"/>
                <w:sz w:val="22"/>
                <w:rtl w:val="true"/>
              </w:rPr>
            </w:r>
          </w:p>
        </w:tc>
        <w:tc>
          <w:tcPr>
            <w:tcW w:w="2843" w:type="dxa"/>
            <w:tcBorders/>
          </w:tcPr>
          <w:p>
            <w:pPr>
              <w:pStyle w:val="Ruller41"/>
              <w:ind w:end="0"/>
              <w:jc w:val="center"/>
              <w:rPr>
                <w:sz w:val="28"/>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sz w:val="28"/>
                <w:sz w:val="28"/>
                <w:rtl w:val="true"/>
              </w:rPr>
              <w:t xml:space="preserve"> </w:t>
            </w:r>
            <w:r>
              <w:rPr>
                <w:sz w:val="28"/>
                <w:sz w:val="28"/>
                <w:rtl w:val="true"/>
              </w:rPr>
              <w:t>ת</w:t>
            </w:r>
          </w:p>
        </w:tc>
      </w:tr>
    </w:tbl>
    <w:p>
      <w:pPr>
        <w:pStyle w:val="Normal"/>
        <w:tabs>
          <w:tab w:val="clear" w:pos="720"/>
          <w:tab w:val="left" w:pos="800" w:leader="none"/>
        </w:tabs>
        <w:ind w:end="0"/>
        <w:jc w:val="both"/>
        <w:rPr>
          <w:rFonts w:ascii="Arial TUR" w:hAnsi="Arial TUR" w:cs="Arial TUR"/>
          <w:sz w:val="22"/>
        </w:rPr>
      </w:pPr>
      <w:r>
        <w:rPr>
          <w:rFonts w:cs="Arial TUR" w:ascii="Arial TUR" w:hAnsi="Arial TUR"/>
          <w:sz w:val="22"/>
          <w:rtl w:val="true"/>
        </w:rPr>
      </w:r>
    </w:p>
    <w:p>
      <w:pPr>
        <w:pStyle w:val="Ruller41"/>
        <w:ind w:end="0"/>
        <w:jc w:val="both"/>
        <w:rPr>
          <w:rFonts w:ascii="Arial TUR" w:hAnsi="Arial TUR" w:cs="Arial TUR"/>
          <w:sz w:val="22"/>
        </w:rPr>
      </w:pPr>
      <w:r>
        <w:rPr>
          <w:rFonts w:cs="Arial TUR"/>
          <w:sz w:val="22"/>
          <w:rtl w:val="true"/>
        </w:rPr>
      </w:r>
    </w:p>
    <w:p>
      <w:pPr>
        <w:pStyle w:val="Ruller41"/>
        <w:ind w:end="0"/>
        <w:jc w:val="both"/>
        <w:rPr/>
      </w:pPr>
      <w:r>
        <w:rPr>
          <w:rtl w:val="true"/>
        </w:rPr>
        <w:tab/>
      </w:r>
      <w:r>
        <w:rPr>
          <w:rtl w:val="true"/>
        </w:rPr>
        <w:t>לפיכך</w:t>
      </w:r>
      <w:r>
        <w:rPr>
          <w:rFonts w:eastAsia="Arial TUR" w:cs="Arial TUR"/>
          <w:rtl w:val="true"/>
        </w:rPr>
        <w:t xml:space="preserve"> </w:t>
      </w:r>
      <w:r>
        <w:rPr>
          <w:rtl w:val="true"/>
        </w:rPr>
        <w:t>הוחלט</w:t>
      </w:r>
      <w:r>
        <w:rPr>
          <w:rFonts w:eastAsia="Arial TUR" w:cs="Arial TUR"/>
          <w:rtl w:val="true"/>
        </w:rPr>
        <w:t xml:space="preserve"> </w:t>
      </w:r>
      <w:r>
        <w:rPr>
          <w:rtl w:val="true"/>
        </w:rPr>
        <w:t>כאמור</w:t>
      </w:r>
      <w:r>
        <w:rPr>
          <w:rFonts w:eastAsia="Arial TUR" w:cs="Arial TUR"/>
          <w:rtl w:val="true"/>
        </w:rPr>
        <w:t xml:space="preserve"> </w:t>
      </w:r>
      <w:r>
        <w:rPr>
          <w:rtl w:val="true"/>
        </w:rPr>
        <w:t>בפסק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Times New Roman" w:hAnsi="Times New Roman" w:cs="Miriam"/>
          <w:spacing w:val="0"/>
          <w:sz w:val="28"/>
          <w:sz w:val="28"/>
          <w:szCs w:val="24"/>
          <w:rtl w:val="true"/>
        </w:rPr>
        <w:t>ג</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קרא</w:t>
      </w:r>
      <w:r>
        <w:rPr>
          <w:rtl w:val="true"/>
        </w:rPr>
        <w:t>.</w:t>
      </w:r>
    </w:p>
    <w:p>
      <w:pPr>
        <w:pStyle w:val="Ruller41"/>
        <w:ind w:end="0"/>
        <w:jc w:val="both"/>
        <w:rPr/>
      </w:pPr>
      <w:r>
        <w:rPr>
          <w:rFonts w:eastAsia="Arial TUR" w:cs="Arial TUR"/>
          <w:rtl w:val="true"/>
        </w:rPr>
        <w:t xml:space="preserve"> </w:t>
      </w:r>
    </w:p>
    <w:p>
      <w:pPr>
        <w:pStyle w:val="Ruller41"/>
        <w:ind w:end="0"/>
        <w:jc w:val="both"/>
        <w:rPr/>
      </w:pPr>
      <w:r>
        <w:rPr>
          <w:rFonts w:eastAsia="Arial TUR" w:cs="Arial TUR"/>
          <w:rtl w:val="true"/>
        </w:rPr>
        <w:t xml:space="preserve"> </w:t>
      </w:r>
      <w:r>
        <w:rPr>
          <w:rtl w:val="true"/>
        </w:rPr>
        <w:t>ניתן</w:t>
      </w:r>
      <w:r>
        <w:rPr>
          <w:rFonts w:eastAsia="Arial TUR" w:cs="Arial TUR"/>
          <w:rtl w:val="true"/>
        </w:rPr>
        <w:t xml:space="preserve"> </w:t>
      </w:r>
      <w:r>
        <w:rPr>
          <w:rtl w:val="true"/>
        </w:rPr>
        <w:t>היום</w:t>
      </w:r>
      <w:r>
        <w:rPr>
          <w:rtl w:val="true"/>
        </w:rPr>
        <w:t xml:space="preserve">, </w:t>
      </w:r>
      <w:r>
        <w:rPr>
          <w:rtl w:val="true"/>
        </w:rPr>
        <w:t>ט</w:t>
      </w:r>
      <w:r>
        <w:rPr>
          <w:rtl w:val="true"/>
        </w:rPr>
        <w:t xml:space="preserve">' </w:t>
      </w:r>
      <w:r>
        <w:rPr>
          <w:rtl w:val="true"/>
        </w:rPr>
        <w:t>בסיון</w:t>
      </w:r>
      <w:r>
        <w:rPr>
          <w:rFonts w:eastAsia="Arial TUR" w:cs="Arial TUR"/>
          <w:rtl w:val="true"/>
        </w:rPr>
        <w:t xml:space="preserve"> </w:t>
      </w:r>
      <w:r>
        <w:rPr>
          <w:rtl w:val="true"/>
        </w:rPr>
        <w:t>התשע</w:t>
      </w:r>
      <w:r>
        <w:rPr>
          <w:rtl w:val="true"/>
        </w:rPr>
        <w:t>"</w:t>
      </w:r>
      <w:r>
        <w:rPr>
          <w:rtl w:val="true"/>
        </w:rPr>
        <w:t>ח</w:t>
      </w:r>
      <w:r>
        <w:rPr>
          <w:rFonts w:eastAsia="Arial TUR" w:cs="Arial TUR"/>
          <w:rtl w:val="true"/>
        </w:rPr>
        <w:t xml:space="preserve"> </w:t>
      </w:r>
      <w:r>
        <w:rPr>
          <w:rtl w:val="true"/>
        </w:rPr>
        <w:t>(‏</w:t>
      </w:r>
      <w:r>
        <w:rPr/>
        <w:t>23.5.2018</w:t>
      </w:r>
      <w:r>
        <w:rPr>
          <w:rtl w:val="true"/>
        </w:rPr>
        <w:t xml:space="preserve">). </w:t>
      </w:r>
    </w:p>
    <w:p>
      <w:pPr>
        <w:pStyle w:val="Ruller41"/>
        <w:ind w:end="0"/>
        <w:jc w:val="both"/>
        <w:rPr>
          <w:color w:val="FFFFFF"/>
          <w:sz w:val="2"/>
          <w:szCs w:val="2"/>
        </w:rPr>
      </w:pPr>
      <w:bookmarkStart w:id="17" w:name="Start_Write"/>
      <w:bookmarkEnd w:id="17"/>
      <w:r>
        <w:rPr>
          <w:color w:val="FFFFFF"/>
          <w:sz w:val="2"/>
          <w:szCs w:val="2"/>
        </w:rPr>
        <w:t>5129371</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ind w:end="0"/>
              <w:jc w:val="both"/>
              <w:rPr/>
            </w:pPr>
            <w:r>
              <w:rPr>
                <w:color w:val="FFFFFF"/>
                <w:sz w:val="2"/>
                <w:szCs w:val="2"/>
              </w:rPr>
              <w:t>54678313</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843" w:type="dxa"/>
            <w:tcBorders/>
          </w:tcPr>
          <w:p>
            <w:pPr>
              <w:pStyle w:val="Ruller41"/>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843" w:type="dxa"/>
            <w:tcBorders/>
          </w:tcPr>
          <w:p>
            <w:pPr>
              <w:pStyle w:val="Ruller41"/>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ת</w:t>
            </w:r>
          </w:p>
        </w:tc>
      </w:tr>
    </w:tbl>
    <w:p>
      <w:pPr>
        <w:pStyle w:val="Normal"/>
        <w:ind w:end="0"/>
        <w:jc w:val="start"/>
        <w:rPr>
          <w:szCs w:val="16"/>
        </w:rPr>
      </w:pPr>
      <w:r>
        <w:rPr>
          <w:szCs w:val="16"/>
          <w:rtl w:val="true"/>
        </w:rPr>
      </w:r>
    </w:p>
    <w:p>
      <w:pPr>
        <w:pStyle w:val="Normal"/>
        <w:ind w:end="0"/>
        <w:jc w:val="start"/>
        <w:rPr>
          <w:szCs w:val="16"/>
        </w:rPr>
      </w:pPr>
      <w:r>
        <w:rPr>
          <w:szCs w:val="16"/>
          <w:rtl w:val="true"/>
        </w:rPr>
      </w:r>
    </w:p>
    <w:p>
      <w:pPr>
        <w:pStyle w:val="Normal"/>
        <w:ind w:end="0"/>
        <w:jc w:val="start"/>
        <w:rPr/>
      </w:pPr>
      <w:r>
        <w:rPr>
          <w:szCs w:val="16"/>
          <w:rtl w:val="true"/>
        </w:rPr>
        <w:t>_________________</w:t>
      </w:r>
      <w:r>
        <w:rPr>
          <w:szCs w:val="16"/>
          <w:rtl w:val="true"/>
        </w:rPr>
        <w:t>________</w:t>
      </w:r>
    </w:p>
    <w:p>
      <w:pPr>
        <w:pStyle w:val="Ruller381"/>
        <w:ind w:end="0"/>
        <w:jc w:val="start"/>
        <w:rPr/>
      </w:pPr>
      <w:r>
        <w:rPr>
          <w:rtl w:val="true"/>
        </w:rPr>
        <w:t>העותק</w:t>
      </w:r>
      <w:r>
        <w:rPr>
          <w:rFonts w:cs="Times New Roman"/>
          <w:rtl w:val="true"/>
        </w:rPr>
        <w:t xml:space="preserve"> </w:t>
      </w:r>
      <w:r>
        <w:rPr>
          <w:rtl w:val="true"/>
        </w:rPr>
        <w:t>כפוף</w:t>
      </w:r>
      <w:r>
        <w:rPr>
          <w:rFonts w:cs="Times New Roman"/>
          <w:rtl w:val="true"/>
        </w:rPr>
        <w:t xml:space="preserve"> </w:t>
      </w:r>
      <w:r>
        <w:rPr>
          <w:rtl w:val="true"/>
        </w:rPr>
        <w:t>לשינויי</w:t>
      </w:r>
      <w:r>
        <w:rPr>
          <w:rFonts w:cs="Times New Roman"/>
          <w:rtl w:val="true"/>
        </w:rPr>
        <w:t xml:space="preserve"> </w:t>
      </w:r>
      <w:r>
        <w:rPr>
          <w:rtl w:val="true"/>
        </w:rPr>
        <w:t>עריכה</w:t>
      </w:r>
      <w:r>
        <w:rPr>
          <w:rFonts w:cs="Times New Roman"/>
          <w:rtl w:val="true"/>
        </w:rPr>
        <w:t xml:space="preserve"> </w:t>
      </w:r>
      <w:r>
        <w:rPr>
          <w:rtl w:val="true"/>
        </w:rPr>
        <w:t>וניסוח</w:t>
      </w:r>
      <w:r>
        <w:rPr>
          <w:rtl w:val="true"/>
        </w:rPr>
        <w:t>.</w:t>
      </w:r>
      <w:r>
        <w:rPr>
          <w:sz w:val="16"/>
          <w:rtl w:val="true"/>
        </w:rPr>
        <w:t xml:space="preserve">   </w:t>
      </w:r>
      <w:r>
        <w:rPr>
          <w:sz w:val="16"/>
        </w:rPr>
        <w:t>17089630</w:t>
      </w:r>
      <w:r>
        <w:rPr>
          <w:sz w:val="16"/>
          <w:rtl w:val="true"/>
        </w:rPr>
        <w:t>_</w:t>
      </w:r>
      <w:r>
        <w:rPr>
          <w:sz w:val="16"/>
        </w:rPr>
        <w:t>Q06.doc</w:t>
      </w:r>
      <w:r>
        <w:rPr>
          <w:rtl w:val="true"/>
        </w:rPr>
        <w:t>עכ</w:t>
      </w:r>
      <w:r>
        <w:rPr>
          <w:rtl w:val="true"/>
        </w:rPr>
        <w:t>+</w:t>
      </w:r>
      <w:r>
        <w:rPr>
          <w:rtl w:val="true"/>
        </w:rPr>
        <w:t>סח</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31">
        <w:r>
          <w:rPr>
            <w:rStyle w:val="Hyperlink"/>
            <w:color w:val="548DD4"/>
            <w:sz w:val="16"/>
            <w:u w:val="single"/>
          </w:rPr>
          <w:t>supreme.court.gov.il</w:t>
        </w:r>
      </w:hyperlink>
    </w:p>
    <w:p>
      <w:pPr>
        <w:pStyle w:val="Ruller381"/>
        <w:keepNext w:val="true"/>
        <w:ind w:end="0"/>
        <w:jc w:val="start"/>
        <w:rPr>
          <w:rFonts w:ascii="David" w:hAnsi="David" w:cs="David"/>
          <w:color w:val="000000"/>
          <w:szCs w:val="22"/>
        </w:rPr>
      </w:pPr>
      <w:r>
        <w:rPr>
          <w:rFonts w:ascii="David" w:hAnsi="David"/>
          <w:color w:val="000000"/>
          <w:szCs w:val="22"/>
          <w:rtl w:val="true"/>
        </w:rPr>
        <w:t>א</w:t>
      </w:r>
      <w:r>
        <w:rPr>
          <w:rFonts w:cs="David" w:ascii="David" w:hAnsi="David"/>
          <w:color w:val="000000"/>
          <w:szCs w:val="22"/>
          <w:rtl w:val="true"/>
        </w:rPr>
        <w:t xml:space="preserve">' </w:t>
      </w:r>
      <w:r>
        <w:rPr>
          <w:rFonts w:ascii="David" w:hAnsi="David"/>
          <w:color w:val="000000"/>
          <w:szCs w:val="22"/>
          <w:rtl w:val="true"/>
        </w:rPr>
        <w:t xml:space="preserve">שהם </w:t>
      </w:r>
      <w:r>
        <w:rPr>
          <w:rFonts w:cs="David" w:ascii="David" w:hAnsi="David"/>
          <w:color w:val="000000"/>
          <w:szCs w:val="22"/>
        </w:rPr>
        <w:t>54678313-8963/17</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32">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33"/>
      <w:footerReference w:type="default" r:id="rId34"/>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TUR">
    <w:charset w:val="00" w:characterSet="windows-1252"/>
    <w:family w:val="swiss"/>
    <w:pitch w:val="variable"/>
  </w:font>
  <w:font w:name="Liberation Sans">
    <w:altName w:val="Arial"/>
    <w:charset w:val="01" w:characterSet="utf-8"/>
    <w:family w:val="swiss"/>
    <w:pitch w:val="variable"/>
  </w:font>
  <w:font w:name="FrankRuehl">
    <w:charset w:val="b1" w:characterSet="windows-1255"/>
    <w:family w:val="swiss"/>
    <w:pitch w:val="variable"/>
  </w:font>
  <w:font w:name="Century">
    <w:charset w:val="00" w:characterSet="windows-1252"/>
    <w:family w:val="roman"/>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11</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8963/17</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כפיר ששון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Ruller4">
    <w:name w:val="Ruller4 תו"/>
    <w:qFormat/>
    <w:rPr>
      <w:rFonts w:ascii="Arial TUR" w:hAnsi="Arial TUR"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1">
    <w:name w:val="Ruller4"/>
    <w:basedOn w:val="Normal"/>
    <w:qFormat/>
    <w:pPr>
      <w:tabs>
        <w:tab w:val="clear" w:pos="720"/>
        <w:tab w:val="left" w:pos="800" w:leader="none"/>
      </w:tabs>
      <w:spacing w:lineRule="auto" w:line="360"/>
      <w:ind w:hanging="0" w:start="0" w:end="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 w:hAnsi="Arial TUR" w:cs="DavidFix"/>
      <w:spacing w:val="10"/>
      <w:sz w:val="22"/>
      <w:szCs w:val="20"/>
    </w:rPr>
  </w:style>
  <w:style w:type="paragraph" w:styleId="WriterName">
    <w:name w:val="Writer Name"/>
    <w:basedOn w:val="Ruller41"/>
    <w:next w:val="Ruller41"/>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1480312"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186.a" TargetMode="External"/><Relationship Id="rId5" Type="http://schemas.openxmlformats.org/officeDocument/2006/relationships/hyperlink" Target="http://www.nevo.co.il/law/70301/275" TargetMode="External"/><Relationship Id="rId6" Type="http://schemas.openxmlformats.org/officeDocument/2006/relationships/hyperlink" Target="http://www.nevo.co.il/law/70301/332.2" TargetMode="External"/><Relationship Id="rId7" Type="http://schemas.openxmlformats.org/officeDocument/2006/relationships/hyperlink" Target="http://www.nevo.co.il/law/70301/334" TargetMode="External"/><Relationship Id="rId8" Type="http://schemas.openxmlformats.org/officeDocument/2006/relationships/hyperlink" Target="http://www.nevo.co.il/law/70301/335" TargetMode="External"/><Relationship Id="rId9" Type="http://schemas.openxmlformats.org/officeDocument/2006/relationships/hyperlink" Target="http://www.nevo.co.il/law/70301/413" TargetMode="External"/><Relationship Id="rId10" Type="http://schemas.openxmlformats.org/officeDocument/2006/relationships/hyperlink" Target="http://www.nevo.co.il/law/5227" TargetMode="External"/><Relationship Id="rId11" Type="http://schemas.openxmlformats.org/officeDocument/2006/relationships/hyperlink" Target="http://www.nevo.co.il/law/5227/2" TargetMode="External"/><Relationship Id="rId12" Type="http://schemas.openxmlformats.org/officeDocument/2006/relationships/hyperlink" Target="http://www.nevo.co.il/law/74274" TargetMode="External"/><Relationship Id="rId13" Type="http://schemas.openxmlformats.org/officeDocument/2006/relationships/hyperlink" Target="http://www.nevo.co.il/law/74274/22" TargetMode="External"/><Relationship Id="rId14" Type="http://schemas.openxmlformats.org/officeDocument/2006/relationships/hyperlink" Target="http://www.nevo.co.il/case/21480312" TargetMode="External"/><Relationship Id="rId15" Type="http://schemas.openxmlformats.org/officeDocument/2006/relationships/hyperlink" Target="http://www.nevo.co.il/law/70301/332.2" TargetMode="External"/><Relationship Id="rId16" Type="http://schemas.openxmlformats.org/officeDocument/2006/relationships/hyperlink" Target="http://www.nevo.co.il/law/70301" TargetMode="External"/><Relationship Id="rId17" Type="http://schemas.openxmlformats.org/officeDocument/2006/relationships/hyperlink" Target="http://www.nevo.co.il/law/70301/413" TargetMode="External"/><Relationship Id="rId18" Type="http://schemas.openxmlformats.org/officeDocument/2006/relationships/hyperlink" Target="http://www.nevo.co.il/law/70301/275" TargetMode="External"/><Relationship Id="rId19" Type="http://schemas.openxmlformats.org/officeDocument/2006/relationships/hyperlink" Target="http://www.nevo.co.il/law/70301/334" TargetMode="External"/><Relationship Id="rId20" Type="http://schemas.openxmlformats.org/officeDocument/2006/relationships/hyperlink" Target="http://www.nevo.co.il/law/70301/335" TargetMode="External"/><Relationship Id="rId21" Type="http://schemas.openxmlformats.org/officeDocument/2006/relationships/hyperlink" Target="http://www.nevo.co.il/law/70301/186.a" TargetMode="External"/><Relationship Id="rId22" Type="http://schemas.openxmlformats.org/officeDocument/2006/relationships/hyperlink" Target="http://www.nevo.co.il/law/5227/2" TargetMode="External"/><Relationship Id="rId23" Type="http://schemas.openxmlformats.org/officeDocument/2006/relationships/hyperlink" Target="http://www.nevo.co.il/law/5227" TargetMode="External"/><Relationship Id="rId24" Type="http://schemas.openxmlformats.org/officeDocument/2006/relationships/hyperlink" Target="http://www.nevo.co.il/law/74274/22" TargetMode="External"/><Relationship Id="rId25" Type="http://schemas.openxmlformats.org/officeDocument/2006/relationships/hyperlink" Target="http://www.nevo.co.il/law/74274" TargetMode="External"/><Relationship Id="rId26" Type="http://schemas.openxmlformats.org/officeDocument/2006/relationships/hyperlink" Target="http://www.nevo.co.il/case/5734674" TargetMode="External"/><Relationship Id="rId27" Type="http://schemas.openxmlformats.org/officeDocument/2006/relationships/hyperlink" Target="http://www.nevo.co.il/case/6198659" TargetMode="External"/><Relationship Id="rId28" Type="http://schemas.openxmlformats.org/officeDocument/2006/relationships/hyperlink" Target="http://www.nevo.co.il/case/17914350" TargetMode="External"/><Relationship Id="rId29" Type="http://schemas.openxmlformats.org/officeDocument/2006/relationships/hyperlink" Target="http://www.nevo.co.il/case/6249173" TargetMode="External"/><Relationship Id="rId30" Type="http://schemas.openxmlformats.org/officeDocument/2006/relationships/hyperlink" Target="http://www.nevo.co.il/case/13097168" TargetMode="External"/><Relationship Id="rId31" Type="http://schemas.openxmlformats.org/officeDocument/2006/relationships/hyperlink" Target="https://supreme.court.gov.il/" TargetMode="External"/><Relationship Id="rId32" Type="http://schemas.openxmlformats.org/officeDocument/2006/relationships/hyperlink" Target="http://www.nevo.co.il/advertisements/nevo-100.doc"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4</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2018-05-24T07:47:00Z</dcterms:created>
  <dc:creator> </dc:creator>
  <dc:description/>
  <cp:keywords/>
  <dc:language>en-IL</dc:language>
  <cp:lastModifiedBy>orly</cp:lastModifiedBy>
  <cp:lastPrinted>2009-02-15T11:12:00Z</cp:lastPrinted>
  <dcterms:modified xsi:type="dcterms:W3CDTF">2018-05-24T11:36:00Z</dcterms:modified>
  <cp:revision>4</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כפיר ששון</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ישראל;דניאל בן דוד</vt:lpwstr>
  </property>
  <property fmtid="{D5CDD505-2E9C-101B-9397-08002B2CF9AE}" pid="6" name="APPELLEE1">
    <vt:lpwstr/>
  </property>
  <property fmtid="{D5CDD505-2E9C-101B-9397-08002B2CF9AE}" pid="7" name="APPELLEE2">
    <vt:lpwstr/>
  </property>
  <property fmtid="{D5CDD505-2E9C-101B-9397-08002B2CF9AE}" pid="8" name="CASESLISTTMP1">
    <vt:lpwstr>21480312:2;5734674;6198659;17914350;6249173;13097168</vt:lpwstr>
  </property>
  <property fmtid="{D5CDD505-2E9C-101B-9397-08002B2CF9AE}" pid="9" name="CITY">
    <vt:lpwstr/>
  </property>
  <property fmtid="{D5CDD505-2E9C-101B-9397-08002B2CF9AE}" pid="10" name="DATE">
    <vt:lpwstr>20180523</vt:lpwstr>
  </property>
  <property fmtid="{D5CDD505-2E9C-101B-9397-08002B2CF9AE}" pid="11" name="DELEMATA">
    <vt:lpwstr/>
  </property>
  <property fmtid="{D5CDD505-2E9C-101B-9397-08002B2CF9AE}" pid="12" name="ISABSTRACT">
    <vt:lpwstr>Y</vt:lpwstr>
  </property>
  <property fmtid="{D5CDD505-2E9C-101B-9397-08002B2CF9AE}" pid="13" name="JUDGE">
    <vt:lpwstr>א' שהם;ג' קרא;י' וילנר</vt:lpwstr>
  </property>
  <property fmtid="{D5CDD505-2E9C-101B-9397-08002B2CF9AE}" pid="14" name="LAWLISTTMP1">
    <vt:lpwstr>70301/332.2;413;275;334;335;186.a</vt:lpwstr>
  </property>
  <property fmtid="{D5CDD505-2E9C-101B-9397-08002B2CF9AE}" pid="15" name="LAWLISTTMP2">
    <vt:lpwstr>5227/002</vt:lpwstr>
  </property>
  <property fmtid="{D5CDD505-2E9C-101B-9397-08002B2CF9AE}" pid="16" name="LAWLISTTMP3">
    <vt:lpwstr>74274/022</vt:lpwstr>
  </property>
  <property fmtid="{D5CDD505-2E9C-101B-9397-08002B2CF9AE}" pid="17" name="LAWYER">
    <vt:lpwstr>בתשבע אבגז;ורד בירגר</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METAKZER">
    <vt:lpwstr>נעה</vt:lpwstr>
  </property>
  <property fmtid="{D5CDD505-2E9C-101B-9397-08002B2CF9AE}" pid="24" name="NEWPARTA">
    <vt:lpwstr/>
  </property>
  <property fmtid="{D5CDD505-2E9C-101B-9397-08002B2CF9AE}" pid="25" name="NEWPARTB">
    <vt:lpwstr/>
  </property>
  <property fmtid="{D5CDD505-2E9C-101B-9397-08002B2CF9AE}" pid="26" name="NEWPARTC">
    <vt:lpwstr/>
  </property>
  <property fmtid="{D5CDD505-2E9C-101B-9397-08002B2CF9AE}" pid="27" name="NEWPROC">
    <vt:lpwstr/>
  </property>
  <property fmtid="{D5CDD505-2E9C-101B-9397-08002B2CF9AE}" pid="28" name="NOSE11">
    <vt:lpwstr>עונשין</vt:lpwstr>
  </property>
  <property fmtid="{D5CDD505-2E9C-101B-9397-08002B2CF9AE}" pid="29" name="NOSE110">
    <vt:lpwstr/>
  </property>
  <property fmtid="{D5CDD505-2E9C-101B-9397-08002B2CF9AE}" pid="30" name="NOSE12">
    <vt:lpwstr>עונשין</vt:lpwstr>
  </property>
  <property fmtid="{D5CDD505-2E9C-101B-9397-08002B2CF9AE}" pid="31" name="NOSE13">
    <vt:lpwstr>דיון פלילי</vt:lpwstr>
  </property>
  <property fmtid="{D5CDD505-2E9C-101B-9397-08002B2CF9AE}" pid="32" name="NOSE14">
    <vt:lpwstr/>
  </property>
  <property fmtid="{D5CDD505-2E9C-101B-9397-08002B2CF9AE}" pid="33" name="NOSE15">
    <vt:lpwstr/>
  </property>
  <property fmtid="{D5CDD505-2E9C-101B-9397-08002B2CF9AE}" pid="34" name="NOSE16">
    <vt:lpwstr/>
  </property>
  <property fmtid="{D5CDD505-2E9C-101B-9397-08002B2CF9AE}" pid="35" name="NOSE17">
    <vt:lpwstr/>
  </property>
  <property fmtid="{D5CDD505-2E9C-101B-9397-08002B2CF9AE}" pid="36" name="NOSE18">
    <vt:lpwstr/>
  </property>
  <property fmtid="{D5CDD505-2E9C-101B-9397-08002B2CF9AE}" pid="37" name="NOSE19">
    <vt:lpwstr/>
  </property>
  <property fmtid="{D5CDD505-2E9C-101B-9397-08002B2CF9AE}" pid="38" name="NOSE1ID">
    <vt:lpwstr>77;77;18</vt:lpwstr>
  </property>
  <property fmtid="{D5CDD505-2E9C-101B-9397-08002B2CF9AE}" pid="39" name="NOSE21">
    <vt:lpwstr>עבירות</vt:lpwstr>
  </property>
  <property fmtid="{D5CDD505-2E9C-101B-9397-08002B2CF9AE}" pid="40" name="NOSE210">
    <vt:lpwstr/>
  </property>
  <property fmtid="{D5CDD505-2E9C-101B-9397-08002B2CF9AE}" pid="41" name="NOSE22">
    <vt:lpwstr>ענישה</vt:lpwstr>
  </property>
  <property fmtid="{D5CDD505-2E9C-101B-9397-08002B2CF9AE}" pid="42" name="NOSE23">
    <vt:lpwstr>ערעור</vt:lpwstr>
  </property>
  <property fmtid="{D5CDD505-2E9C-101B-9397-08002B2CF9AE}" pid="43" name="NOSE24">
    <vt:lpwstr/>
  </property>
  <property fmtid="{D5CDD505-2E9C-101B-9397-08002B2CF9AE}" pid="44" name="NOSE25">
    <vt:lpwstr/>
  </property>
  <property fmtid="{D5CDD505-2E9C-101B-9397-08002B2CF9AE}" pid="45" name="NOSE26">
    <vt:lpwstr/>
  </property>
  <property fmtid="{D5CDD505-2E9C-101B-9397-08002B2CF9AE}" pid="46" name="NOSE27">
    <vt:lpwstr/>
  </property>
  <property fmtid="{D5CDD505-2E9C-101B-9397-08002B2CF9AE}" pid="47" name="NOSE28">
    <vt:lpwstr/>
  </property>
  <property fmtid="{D5CDD505-2E9C-101B-9397-08002B2CF9AE}" pid="48" name="NOSE29">
    <vt:lpwstr/>
  </property>
  <property fmtid="{D5CDD505-2E9C-101B-9397-08002B2CF9AE}" pid="49" name="NOSE2ID">
    <vt:lpwstr>1443;1446;504</vt:lpwstr>
  </property>
  <property fmtid="{D5CDD505-2E9C-101B-9397-08002B2CF9AE}" pid="50" name="NOSE31">
    <vt:lpwstr>סיכון חיי אדם בנתיב תחבורה</vt:lpwstr>
  </property>
  <property fmtid="{D5CDD505-2E9C-101B-9397-08002B2CF9AE}" pid="51" name="NOSE310">
    <vt:lpwstr/>
  </property>
  <property fmtid="{D5CDD505-2E9C-101B-9397-08002B2CF9AE}" pid="52" name="NOSE32">
    <vt:lpwstr>מדיניות ענישה: סיכון חיי אדם בנתיב תחבורה</vt:lpwstr>
  </property>
  <property fmtid="{D5CDD505-2E9C-101B-9397-08002B2CF9AE}" pid="53" name="NOSE33">
    <vt:lpwstr>אי-התערבות בממצאים עובדתיים</vt:lpwstr>
  </property>
  <property fmtid="{D5CDD505-2E9C-101B-9397-08002B2CF9AE}" pid="54" name="NOSE34">
    <vt:lpwstr/>
  </property>
  <property fmtid="{D5CDD505-2E9C-101B-9397-08002B2CF9AE}" pid="55" name="NOSE35">
    <vt:lpwstr/>
  </property>
  <property fmtid="{D5CDD505-2E9C-101B-9397-08002B2CF9AE}" pid="56" name="NOSE36">
    <vt:lpwstr/>
  </property>
  <property fmtid="{D5CDD505-2E9C-101B-9397-08002B2CF9AE}" pid="57" name="NOSE37">
    <vt:lpwstr/>
  </property>
  <property fmtid="{D5CDD505-2E9C-101B-9397-08002B2CF9AE}" pid="58" name="NOSE38">
    <vt:lpwstr/>
  </property>
  <property fmtid="{D5CDD505-2E9C-101B-9397-08002B2CF9AE}" pid="59" name="NOSE39">
    <vt:lpwstr/>
  </property>
  <property fmtid="{D5CDD505-2E9C-101B-9397-08002B2CF9AE}" pid="60" name="NOSE3ID">
    <vt:lpwstr>8876;15127;3849</vt:lpwstr>
  </property>
  <property fmtid="{D5CDD505-2E9C-101B-9397-08002B2CF9AE}" pid="61" name="PADIDATE">
    <vt:lpwstr>20180524</vt:lpwstr>
  </property>
  <property fmtid="{D5CDD505-2E9C-101B-9397-08002B2CF9AE}" pid="62" name="PADIMAIL">
    <vt:lpwstr>YES</vt:lpwstr>
  </property>
  <property fmtid="{D5CDD505-2E9C-101B-9397-08002B2CF9AE}" pid="63" name="PAGE">
    <vt:lpwstr/>
  </property>
  <property fmtid="{D5CDD505-2E9C-101B-9397-08002B2CF9AE}" pid="64" name="PART">
    <vt:lpwstr/>
  </property>
  <property fmtid="{D5CDD505-2E9C-101B-9397-08002B2CF9AE}" pid="65" name="PROCESS">
    <vt:lpwstr>עפ</vt:lpwstr>
  </property>
  <property fmtid="{D5CDD505-2E9C-101B-9397-08002B2CF9AE}" pid="66" name="PROCNUM">
    <vt:lpwstr>8963</vt:lpwstr>
  </property>
  <property fmtid="{D5CDD505-2E9C-101B-9397-08002B2CF9AE}" pid="67" name="PROCYEAR">
    <vt:lpwstr>17</vt:lpwstr>
  </property>
  <property fmtid="{D5CDD505-2E9C-101B-9397-08002B2CF9AE}" pid="68" name="PSAKDIN">
    <vt:lpwstr>פסק-דין</vt:lpwstr>
  </property>
  <property fmtid="{D5CDD505-2E9C-101B-9397-08002B2CF9AE}" pid="69" name="TYPE">
    <vt:lpwstr>1</vt:lpwstr>
  </property>
  <property fmtid="{D5CDD505-2E9C-101B-9397-08002B2CF9AE}" pid="70" name="TYPE_ABS_DATE">
    <vt:lpwstr>410120180523</vt:lpwstr>
  </property>
  <property fmtid="{D5CDD505-2E9C-101B-9397-08002B2CF9AE}" pid="71" name="TYPE_N_DATE">
    <vt:lpwstr>41020180523</vt:lpwstr>
  </property>
  <property fmtid="{D5CDD505-2E9C-101B-9397-08002B2CF9AE}" pid="72" name="VOLUME">
    <vt:lpwstr/>
  </property>
  <property fmtid="{D5CDD505-2E9C-101B-9397-08002B2CF9AE}" pid="73" name="WORDNUMPAGES">
    <vt:lpwstr>10</vt:lpwstr>
  </property>
</Properties>
</file>