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8965/18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בחיפה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26175-10-16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15.11.2018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שפירא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סגן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אליקים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נאות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09.09.2019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בורנשטיין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משפחה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קטן 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הרשעת המערער ברצח בכוונה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פציעה בנסיבות מחמירות ועבירות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עונש מאסר העולם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לא עמד בנטל ההוכחה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הגנת השכרות החלקית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מתקיימת בעניינו וחרף פגם שנפל בהתנהלות המשטרה בחקירה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כדי להביא למסקנה כי הדבר פגם בהגנתו ולהביא לזיכויו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 חל בנסיבות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התקיימות הנסיבה המחמירה הקבועה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שגם לאחר התיקון יש להשית על המערער עונש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הגנות – שכרות חלקית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רצח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חקירה במשטרה – מחדלי חקירה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פסק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בגדרו הורשע המערער בעבירות של רצח בכוונה תחילה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פציעה בנסיבות מחמירות ועבירות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ונגזרו עליו עונש של מאסר עולם ועונשים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 בוצע על רקע ויכוח שנתגלע בין המערער למנוח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במהלך מסיבת חתונה אליה הגיע המערער מצויד באקדח טעון במחסנית עם כדורים אותו הסתיר מתחת לבגדיו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המנוח רקד ברחבת הריקודים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ותוך כך פצע שניים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הנדל וברון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לטענת המערער כי עומדת לזכותו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הגנת השכרות החלקית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הטוען להתקיימות ההגנה להוכיח התקיימות שלושה תנאים מצטברים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היותו נתון תחת השפעת חומר משכר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מודעותו לפרט מפרטי העבירה בשעת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קיומו של קשר סיבתי בין השניים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די בטענה כי היה בדמו של נאשם ריכוז מסוים של אלכוהול על מנת להוכיח את התקיימות ההגנה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 הטוען להתקיימות ההגנה לא נדרש להוכיח את השיעור המופרז של האלכוהול בדמו בעת ביצוע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את היעדר יכולת התפקוד שלו כתוצאה משתיית האלכוהול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השולל את מודעתו בשעת המעשה לפרט מפרטי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הטוען לקיומה של ההגנה להניח תשתית ראייתית המעלה ספק סביר בדבר התקיימותה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הרף להוכחת טענה זו גבוה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לתחולת הגנת השכרות החלקית בהקשר של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על העושה להיות מודע למהות מעשהו שהביא למותו של הקורבן וכן נדרש שתתקיים אצלו אותה 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שמתבטאת בחזות מראש של אפשרות התרחשות תוצאה 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ורצון כי היא תתממש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זה לא עומדת למערער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הגנת השכרות החלקית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כי המערער שתה כמות כלשהי של אלכוהול קודם לאירוע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היה נתון תחת השפעת חומר אלכוהולי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שניתן לקבוע מהי רמת האלכוהול 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יתה בדמו באותה 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ובכך התקיים התנאי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התקיים התנאי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המערער היה מודע היטב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לביצוע הירי המכוון כלפי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היות המערער מודע לטיב מעשיו בעת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הרי שאפילו בהנחה ששתה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כמות נכבדה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אלכוהול קודם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שאין בכך כדי לבסס את טענת הגנת השכרות החלקית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לטענה לפיה פעולות המשטרה בעת חקירתו הסבו לו נזק ראייתי ומנעו ממנו לבסס כנדרש את הגנת השכרות החלקית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 נפל פגם מסוים בהתנהלות המשטרה שלא ביצעה למערער בדיקה לצורך בחינת רמת האלכוהול שבדמו חרף טענותיו כי היה שיכור בעת ביצוע הירי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כדי להביא לזיכוי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היעדר הבדיקה אינו מקים חשש כי הגנת המערער קופחה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והונחה תשתית ראייתית מספקת להוכחת אשמתו בעבירות שיוחסו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נדמה כי המערער עצמו הוא שמנע את היכולת לבחון את רמת האלכוהול שבדמו מיד לאחר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כן אין לו אלא להלין על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חולק כי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חל על 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בו ביצע נאשם עבירה בטרם נכנס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לתוקף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בטרם ניתן פסק דין חלוט בעניינו נכנס התיקון לחוק לתוקפו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יחול על הנאשם שהורשע בביצוע עבירת רצח הדין המקל עמו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ככל שתיקון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מקל עם המערער יש להחילו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השאלה היא האם יש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כדי להקל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במתכונתו לאחר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מורה כי עונשו של מי שגרם בכוונה או באדישות למותו של אדם אחר באחת הנסיבות המחמירות המנויות בסעיף הוא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אחת הנסיבות הללו מנויה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 בוצע תוך יצירת סכנה ממשית לחייו של אדם אחר נוסף על הקורבן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ירה במנוח כאשר כתוצאה מהירי נפצעו שניים נוספים ודי באמור כדי לקבוע כי יצר במעשיו סכנה ממשית לחיי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מתקיימת הנסיבה המחמירה האמורה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משירה המערער במנוח מספר רב של פעמים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לידו עומדים חוגגים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ספק כי היה מודע לכך שהוא יוצר במעשיו סכנה ממשית לחיי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משמתקיימת הנסיבה המחמירה הקבועה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הרי שגם לאחר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להשית על המערער עונש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ערעור על פסק דינו של בית המשפט המחוזי בחיפה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26175-10-16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11.10.2018</w:t>
      </w:r>
      <w:r>
        <w:rPr>
          <w:rtl w:val="true"/>
        </w:rPr>
        <w:t xml:space="preserve">, </w:t>
      </w:r>
      <w:r>
        <w:rPr>
          <w:rtl w:val="true"/>
        </w:rPr>
        <w:t>בגדרו הורשע המערער בעבירות של רצח בכוונה תחילה</w:t>
      </w:r>
      <w:r>
        <w:rPr>
          <w:rtl w:val="true"/>
        </w:rPr>
        <w:t xml:space="preserve">, </w:t>
      </w:r>
      <w:r>
        <w:rPr>
          <w:rtl w:val="true"/>
        </w:rPr>
        <w:t>פציעה בנסיבות מחמירות ועבירות בנשק</w:t>
      </w:r>
      <w:r>
        <w:rPr>
          <w:rtl w:val="true"/>
        </w:rPr>
        <w:t xml:space="preserve">, </w:t>
      </w:r>
      <w:r>
        <w:rPr>
          <w:rtl w:val="true"/>
        </w:rPr>
        <w:t>ונגזרו עליו עונש של מאסר עולם</w:t>
      </w:r>
      <w:r>
        <w:rPr>
          <w:rFonts w:ascii="Century" w:hAnsi="Century" w:cs="Century"/>
          <w:sz w:val="22"/>
          <w:sz w:val="22"/>
          <w:rtl w:val="true"/>
        </w:rPr>
        <w:t xml:space="preserve"> ועונשים נוספים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המפורט בכתב האישום</w:t>
      </w:r>
      <w:r>
        <w:rPr>
          <w:rtl w:val="true"/>
        </w:rPr>
        <w:t xml:space="preserve">, </w:t>
      </w:r>
      <w:r>
        <w:rPr>
          <w:rtl w:val="true"/>
        </w:rPr>
        <w:t>בין המערער למנוח</w:t>
      </w:r>
      <w:r>
        <w:rPr>
          <w:rtl w:val="true"/>
        </w:rPr>
        <w:t xml:space="preserve">, </w:t>
      </w:r>
      <w:r>
        <w:rPr>
          <w:rtl w:val="true"/>
        </w:rPr>
        <w:t>אשר הכירו זה את זה</w:t>
      </w:r>
      <w:r>
        <w:rPr>
          <w:rtl w:val="true"/>
        </w:rPr>
        <w:t xml:space="preserve">, </w:t>
      </w:r>
      <w:r>
        <w:rPr>
          <w:rtl w:val="true"/>
        </w:rPr>
        <w:t xml:space="preserve">נתגלע ויכוח ביום </w:t>
      </w:r>
      <w:r>
        <w:rPr/>
        <w:t>22.9.2016</w:t>
      </w:r>
      <w:r>
        <w:rPr>
          <w:rtl w:val="true"/>
        </w:rPr>
        <w:t xml:space="preserve"> </w:t>
      </w:r>
      <w:r>
        <w:rPr>
          <w:rtl w:val="true"/>
        </w:rPr>
        <w:t>לנוכח סירובו של המנוח להכניס את המערער לבית הקפה שבבעלותו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29.9.2016</w:t>
      </w:r>
      <w:r>
        <w:rPr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ריף</w:t>
      </w:r>
      <w:r>
        <w:rPr>
          <w:rtl w:val="true"/>
        </w:rPr>
        <w:t xml:space="preserve">" </w:t>
      </w:r>
      <w:r>
        <w:rPr>
          <w:rtl w:val="true"/>
        </w:rPr>
        <w:t>שבאום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21:50</w:t>
      </w:r>
      <w:r>
        <w:rPr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הריקודים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; </w:t>
      </w:r>
      <w:r>
        <w:rPr>
          <w:rtl w:val="true"/>
        </w:rPr>
        <w:t>לחסן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בעכוז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בילאל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בילאל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ביצוע מעשים אלו יוחסו למערער עבירה של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עובר לתיקון </w:t>
      </w:r>
      <w:r>
        <w:rPr>
          <w:rFonts w:cs="Century" w:ascii="Century" w:hAnsi="Century"/>
          <w:sz w:val="22"/>
        </w:rPr>
        <w:t>137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זה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חוק העונשין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>);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להלן גם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>-</w:t>
      </w:r>
      <w:hyperlink r:id="rId22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 העונשין</w:t>
      </w:r>
      <w:r>
        <w:rPr>
          <w:rtl w:val="true"/>
        </w:rPr>
        <w:t xml:space="preserve">; </w:t>
      </w:r>
      <w:r>
        <w:rPr>
          <w:rtl w:val="true"/>
        </w:rPr>
        <w:t>ושתי עבירות של 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במענה לכתב האישום כפר המערער בקיומו של סכסוך עם המנוח והכחיש כי הגיע לאירוע החתונה מצויד באקדח או כי ירה במנוח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עובר לאירוע החתונה קנה שני בקבוקי משקה אלכוהולי מסוג </w:t>
      </w:r>
      <w:r>
        <w:rPr>
          <w:rtl w:val="true"/>
        </w:rPr>
        <w:t>"</w:t>
      </w:r>
      <w:r>
        <w:rPr>
          <w:rtl w:val="true"/>
        </w:rPr>
        <w:t>גרייגוס</w:t>
      </w:r>
      <w:r>
        <w:rPr>
          <w:rtl w:val="true"/>
        </w:rPr>
        <w:t xml:space="preserve">" </w:t>
      </w:r>
      <w:r>
        <w:rPr>
          <w:rtl w:val="true"/>
        </w:rPr>
        <w:t>מחנות אלכוהול שבאזור עפולה</w:t>
      </w:r>
      <w:r>
        <w:rPr>
          <w:rtl w:val="true"/>
        </w:rPr>
        <w:t xml:space="preserve">, </w:t>
      </w:r>
      <w:r>
        <w:rPr>
          <w:rtl w:val="true"/>
        </w:rPr>
        <w:t xml:space="preserve">ושתה </w:t>
      </w:r>
      <w:r>
        <w:rPr>
          <w:rtl w:val="true"/>
        </w:rPr>
        <w:t>"</w:t>
      </w:r>
      <w:r>
        <w:rPr>
          <w:rtl w:val="true"/>
        </w:rPr>
        <w:t>לפחות בקבוק וחצי</w:t>
      </w:r>
      <w:r>
        <w:rPr>
          <w:rtl w:val="true"/>
        </w:rPr>
        <w:t xml:space="preserve">" </w:t>
      </w:r>
      <w:r>
        <w:rPr>
          <w:rtl w:val="true"/>
        </w:rPr>
        <w:t>בטרם החל האירוע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>, "</w:t>
      </w:r>
      <w:r>
        <w:rPr>
          <w:rtl w:val="true"/>
        </w:rPr>
        <w:t>נמחקו מזיכרונו</w:t>
      </w:r>
      <w:r>
        <w:rPr>
          <w:rtl w:val="true"/>
        </w:rPr>
        <w:t xml:space="preserve">" </w:t>
      </w:r>
      <w:r>
        <w:rPr>
          <w:rtl w:val="true"/>
        </w:rPr>
        <w:t>אירועי אותו לילה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בסיכומיו הודה המערער כי הגיע לאירוע מצויד באקדח טעון וכי ירה במנוח ובשני הנפגעים הנוספים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 טען המערער שתי טענות מרכזיות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כי עומדת לו הגנת השכרות החלקית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והשניה</w:t>
      </w:r>
      <w:r>
        <w:rPr>
          <w:rtl w:val="true"/>
        </w:rPr>
        <w:t xml:space="preserve">, </w:t>
      </w:r>
      <w:r>
        <w:rPr>
          <w:rtl w:val="true"/>
        </w:rPr>
        <w:t>כי פעולות המשטרה בעת חקירתו הסבו לו נזק ראייתי ומנעו ממנו לבסס כיאות את הגנת השכרות החלקית לה טען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בהכרעת דינו דחה בית המשפט המחוזי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את טענות המערער</w:t>
      </w:r>
      <w:r>
        <w:rPr>
          <w:rtl w:val="true"/>
        </w:rPr>
        <w:t xml:space="preserve">, </w:t>
      </w:r>
      <w:r>
        <w:rPr>
          <w:rtl w:val="true"/>
        </w:rPr>
        <w:t>והרשיע אותו בעבירות המיוחסות לו בכתב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השית בית המשפט המחוזי על המערער עונש של מאסר עולם</w:t>
      </w:r>
      <w:r>
        <w:rPr>
          <w:rtl w:val="true"/>
        </w:rPr>
        <w:t xml:space="preserve">, </w:t>
      </w:r>
      <w:r>
        <w:rPr>
          <w:rtl w:val="true"/>
        </w:rPr>
        <w:t>בגין הרשעתו בעבירה של רצח בכוונה תחילה</w:t>
      </w:r>
      <w:r>
        <w:rPr>
          <w:rtl w:val="true"/>
        </w:rPr>
        <w:t xml:space="preserve">; </w:t>
      </w:r>
      <w:r>
        <w:rPr>
          <w:rtl w:val="true"/>
        </w:rPr>
        <w:t>עונש של שנתיים מאסר בפועל שירוצו בחופף לעונש מאסר העולם</w:t>
      </w:r>
      <w:r>
        <w:rPr>
          <w:rtl w:val="true"/>
        </w:rPr>
        <w:t xml:space="preserve">, </w:t>
      </w:r>
      <w:r>
        <w:rPr>
          <w:rtl w:val="true"/>
        </w:rPr>
        <w:t>בגין הרשעתיו בעבירות הנשק</w:t>
      </w:r>
      <w:r>
        <w:rPr>
          <w:rtl w:val="true"/>
        </w:rPr>
        <w:t xml:space="preserve">; </w:t>
      </w:r>
      <w:r>
        <w:rPr>
          <w:rtl w:val="true"/>
        </w:rPr>
        <w:t xml:space="preserve">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 אשר ירוצו במצטבר לעונש מאסר העולם</w:t>
      </w:r>
      <w:r>
        <w:rPr>
          <w:rtl w:val="true"/>
        </w:rPr>
        <w:t xml:space="preserve">, </w:t>
      </w:r>
      <w:r>
        <w:rPr>
          <w:rtl w:val="true"/>
        </w:rPr>
        <w:t>בגין הרשעותיו 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של פציעה בנסיבות מחמירות</w:t>
      </w:r>
      <w:r>
        <w:rPr>
          <w:rtl w:val="true"/>
        </w:rPr>
        <w:t xml:space="preserve">; </w:t>
      </w:r>
      <w:r>
        <w:rPr>
          <w:rtl w:val="true"/>
        </w:rPr>
        <w:t xml:space="preserve">וכן תשלום פיצויים בסך כולל של </w:t>
      </w:r>
      <w:r>
        <w:rPr/>
        <w:t>293,000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למשפחת המנוח ולנפגעי העבירה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המונח לפנינו נסוב על 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ולחלופין על חומרת העונש שהוטל 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שב המערער וטוען גם עתה כי יש לזכותו מעבירה של רצח בכוונה תחילה בשל הגנת השכרות החלקית העומדת לו</w:t>
      </w:r>
      <w:r>
        <w:rPr>
          <w:rtl w:val="true"/>
        </w:rPr>
        <w:t xml:space="preserve">, </w:t>
      </w:r>
      <w:r>
        <w:rPr>
          <w:rtl w:val="true"/>
        </w:rPr>
        <w:t>וכן בשל קיומם של מחדלי חקירה אשר לטענתו פגעו בהגנתו</w:t>
      </w:r>
      <w:r>
        <w:rPr>
          <w:rtl w:val="true"/>
        </w:rPr>
        <w:t xml:space="preserve">. </w:t>
      </w:r>
      <w:r>
        <w:rPr>
          <w:rtl w:val="true"/>
        </w:rPr>
        <w:t>אדון בשתי טענות אלו על פי סדרן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החלקית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טענתו המרכזית של המערער היא כי עומדת לזכותו </w:t>
      </w:r>
      <w:r>
        <w:rPr>
          <w:rtl w:val="true"/>
        </w:rPr>
        <w:t>"</w:t>
      </w:r>
      <w:r>
        <w:rPr>
          <w:rtl w:val="true"/>
        </w:rPr>
        <w:t>הגנת השכרות החלקית</w:t>
      </w:r>
      <w:r>
        <w:rPr>
          <w:rtl w:val="true"/>
        </w:rPr>
        <w:t xml:space="preserve">", </w:t>
      </w:r>
      <w:r>
        <w:rPr>
          <w:rtl w:val="true"/>
        </w:rPr>
        <w:t>שכן הוא ירה במנוח בעודו בגילופין</w:t>
      </w:r>
      <w:r>
        <w:rPr>
          <w:rtl w:val="true"/>
        </w:rPr>
        <w:t xml:space="preserve">. </w:t>
      </w:r>
      <w:r>
        <w:rPr>
          <w:rtl w:val="true"/>
        </w:rPr>
        <w:t>משכך לטענתו לא ניתן לראותו כמי שגיבש את הכוונה הנדרשת לצורך הרשעתו בעבירה של רצח בכוונה תחילה</w:t>
      </w:r>
      <w:r>
        <w:rPr>
          <w:rtl w:val="true"/>
        </w:rPr>
        <w:t xml:space="preserve">, </w:t>
      </w:r>
      <w:r>
        <w:rPr>
          <w:rtl w:val="true"/>
        </w:rPr>
        <w:t>אלא יש להרשיעו לכל היותר בעבירה של 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עובר 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שכרות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/>
        <w:t>34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מדעתו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ומדעת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" –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),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" –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–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מדעתו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ומדעת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6304/12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ספרונוב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(</w:t>
      </w:r>
      <w:r>
        <w:rPr/>
        <w:t>26.1.2015</w:t>
      </w:r>
      <w:r>
        <w:rPr>
          <w:rtl w:val="true"/>
        </w:rPr>
        <w:t xml:space="preserve">);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ספרונוב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),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", </w:t>
      </w:r>
      <w:r>
        <w:rPr>
          <w:rtl w:val="true"/>
        </w:rPr>
        <w:t>כמוגדר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קסאי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6.10.2016</w:t>
      </w:r>
      <w:r>
        <w:rPr>
          <w:rtl w:val="true"/>
        </w:rPr>
        <w:t xml:space="preserve">);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קסאי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ויודגש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" </w:t>
      </w:r>
      <w:r>
        <w:rPr>
          <w:rtl w:val="true"/>
        </w:rPr>
        <w:t>בעניינו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6679/04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סטקלר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(</w:t>
      </w:r>
      <w:r>
        <w:rPr/>
        <w:t>11.5.2016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סטקלר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קסאי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; </w:t>
      </w:r>
      <w:r>
        <w:rPr>
          <w:rtl w:val="true"/>
        </w:rPr>
        <w:t>ע</w:t>
      </w:r>
      <w:hyperlink r:id="rId34"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טיקמן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12.12.2005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8761/14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(</w:t>
      </w:r>
      <w:r>
        <w:rPr/>
        <w:t>14.1.2016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נמנו</w:t>
      </w:r>
      <w:r>
        <w:rPr>
          <w:rtl w:val="true"/>
        </w:rPr>
        <w:t xml:space="preserve">: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הצהרותיו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tl w:val="true"/>
        </w:rPr>
        <w:t xml:space="preserve">; </w:t>
      </w:r>
      <w:r>
        <w:rPr>
          <w:rtl w:val="true"/>
        </w:rPr>
        <w:t>ובמידה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סטקלר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קסאי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5-6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אשתיי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7.3.2013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10800/04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רומנצקו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18.9.2006</w:t>
      </w:r>
      <w:r>
        <w:rPr>
          <w:rtl w:val="true"/>
        </w:rPr>
        <w:t xml:space="preserve">);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רומנצקו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ורצון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תתממש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סטקלר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מצוידים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והמנומק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",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שצרך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ליטר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גרייגוס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שאישר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לוּ אכן היה המערער </w:t>
      </w:r>
      <w:r>
        <w:rPr>
          <w:rtl w:val="true"/>
        </w:rPr>
        <w:t>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]"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4:00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), </w:t>
      </w:r>
      <w:r>
        <w:rPr>
          <w:rtl w:val="true"/>
        </w:rPr>
        <w:t>הראתה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ושתיית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tl w:val="true"/>
        </w:rPr>
        <w:t xml:space="preserve">"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החוגגים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כשיכור</w:t>
      </w:r>
      <w:r>
        <w:rPr>
          <w:rtl w:val="true"/>
        </w:rPr>
        <w:t xml:space="preserve">, </w:t>
      </w:r>
      <w:r>
        <w:rPr>
          <w:rtl w:val="true"/>
        </w:rPr>
        <w:t>ולעומתם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והמכונה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שחאדה</w:t>
      </w:r>
      <w:r>
        <w:rPr>
          <w:rFonts w:cs="Garamond" w:ascii="Garamond" w:hAnsi="Garamond"/>
          <w:sz w:val="24"/>
          <w:rtl w:val="true"/>
        </w:rPr>
        <w:t xml:space="preserve">",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"  </w:t>
      </w:r>
      <w:r>
        <w:rPr>
          <w:rtl w:val="true"/>
        </w:rPr>
        <w:t>והמהוות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)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וחמישית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התקשורת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חולשה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"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זכרונו</w:t>
      </w:r>
      <w:r>
        <w:rPr>
          <w:rtl w:val="true"/>
        </w:rPr>
        <w:t xml:space="preserve">: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, </w:t>
      </w:r>
      <w:r>
        <w:rPr>
          <w:rtl w:val="true"/>
        </w:rPr>
        <w:t>שליווה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; 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והאדם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 xml:space="preserve">בערעור שלפנינו טוען המערער כי עדים אשר העידו בתחנת המשטרה כי היה שיכור בעת אירוע החתונה שינו את גרסתם בבית המשפט </w:t>
      </w:r>
      <w:r>
        <w:rPr>
          <w:rtl w:val="true"/>
        </w:rPr>
        <w:t>"</w:t>
      </w:r>
      <w:r>
        <w:rPr>
          <w:rtl w:val="true"/>
        </w:rPr>
        <w:t>כתוצאה מלחץ כבד מצד משפחתו של המנוח</w:t>
      </w:r>
      <w:r>
        <w:rPr>
          <w:rtl w:val="true"/>
        </w:rPr>
        <w:t xml:space="preserve">". </w:t>
      </w:r>
      <w:r>
        <w:rPr>
          <w:rtl w:val="true"/>
        </w:rPr>
        <w:t>בהקשר זה הפנה המערער לעדותו של חסן</w:t>
      </w:r>
      <w:r>
        <w:rPr>
          <w:rtl w:val="true"/>
        </w:rPr>
        <w:t xml:space="preserve">, </w:t>
      </w:r>
      <w:r>
        <w:rPr>
          <w:rtl w:val="true"/>
        </w:rPr>
        <w:t>אשר נפצע באירוע כאמור</w:t>
      </w:r>
      <w:r>
        <w:rPr>
          <w:rtl w:val="true"/>
        </w:rPr>
        <w:t xml:space="preserve">, </w:t>
      </w:r>
      <w:r>
        <w:rPr>
          <w:rtl w:val="true"/>
        </w:rPr>
        <w:t>ואמר בחקירתו במשטרה כי המערער נראה לו כשיכור</w:t>
      </w:r>
      <w:r>
        <w:rPr>
          <w:rtl w:val="true"/>
        </w:rPr>
        <w:t xml:space="preserve">, </w:t>
      </w:r>
      <w:r>
        <w:rPr>
          <w:rtl w:val="true"/>
        </w:rPr>
        <w:t>אולם בבית המשפט העיד כי התנהג באירוע כרגיל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משקה אלכוהולי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את ידיה על 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וטוענת כי אין להתערב בקביעותיו העובדתיות והמשפטיות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הניח לטובת המערער כי הלה אכן שתה כמות כלשהי של אלכוהול קודם לאירוע</w:t>
      </w:r>
      <w:r>
        <w:rPr>
          <w:rtl w:val="true"/>
        </w:rPr>
        <w:t xml:space="preserve">, </w:t>
      </w:r>
      <w:r>
        <w:rPr>
          <w:rtl w:val="true"/>
        </w:rPr>
        <w:t>וכי היה נתון תחת השפעת חומר אלכוהולי בעת ביצוע העבירה</w:t>
      </w:r>
      <w:r>
        <w:rPr>
          <w:rtl w:val="true"/>
        </w:rPr>
        <w:t xml:space="preserve">, </w:t>
      </w:r>
      <w:r>
        <w:rPr>
          <w:rtl w:val="true"/>
        </w:rPr>
        <w:t>מבלי שניתן לקבוע מהי רמת האלכוהול שהיתה בדמו באותה עת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טענתו העיקרית של המערער היא באשר להתקיימותו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באשר לקביעתו של בית המשפט המחוזי לפיה היה מודע היטב למעשיו</w:t>
      </w:r>
      <w:r>
        <w:rPr>
          <w:rtl w:val="true"/>
        </w:rPr>
        <w:t xml:space="preserve">, </w:t>
      </w:r>
      <w:r>
        <w:rPr>
          <w:rtl w:val="true"/>
        </w:rPr>
        <w:t>לרבות לביצוע הירי המכוון כלפי המנוח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אני סבור כי קביעה זו מבוססת היטב בחומר הראיות</w:t>
      </w:r>
      <w:r>
        <w:rPr>
          <w:rtl w:val="true"/>
        </w:rPr>
        <w:t xml:space="preserve">, </w:t>
      </w:r>
      <w:r>
        <w:rPr>
          <w:rtl w:val="true"/>
        </w:rPr>
        <w:t>ולא מצאתי מקום להתערב 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צפייה</w:t>
      </w:r>
      <w:r>
        <w:rPr>
          <w:rtl w:val="true"/>
        </w:rPr>
        <w:t xml:space="preserve"> בסרטונים המתעדים את האירוע</w:t>
      </w:r>
      <w:r>
        <w:rPr>
          <w:rtl w:val="true"/>
        </w:rPr>
        <w:t xml:space="preserve">, </w:t>
      </w:r>
      <w:r>
        <w:rPr>
          <w:rtl w:val="true"/>
        </w:rPr>
        <w:t>מאששת את מסקנתו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לפיה התנהגותו של המערער לא הייתה חריגה או יוצאת דופן</w:t>
      </w:r>
      <w:r>
        <w:rPr>
          <w:rtl w:val="true"/>
        </w:rPr>
        <w:t xml:space="preserve">, </w:t>
      </w:r>
      <w:r>
        <w:rPr>
          <w:rtl w:val="true"/>
        </w:rPr>
        <w:t>כמצופה משיכור שאינו מודע לטיב מעשיו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המערער רקד ברחבת הריקודים בצורה רגילה בדומה ליתר הרוקדים</w:t>
      </w:r>
      <w:r>
        <w:rPr>
          <w:rtl w:val="true"/>
        </w:rPr>
        <w:t xml:space="preserve">, </w:t>
      </w:r>
      <w:r>
        <w:rPr>
          <w:rtl w:val="true"/>
        </w:rPr>
        <w:t>שוחח עם מספר חוגגים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ובשלב מסוים אף נשא ילד על ידיו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 xml:space="preserve">סרטון </w:t>
      </w:r>
      <w:r>
        <w:rPr>
          <w:rtl w:val="true"/>
        </w:rPr>
        <w:t>"</w:t>
      </w:r>
      <w:r>
        <w:rPr/>
        <w:t>0001</w:t>
      </w:r>
      <w:r>
        <w:rPr>
          <w:rtl w:val="true"/>
        </w:rPr>
        <w:t xml:space="preserve">").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היה מודע היטב לכך שנשא באמתחתו נשק במהלך האירוע</w:t>
      </w:r>
      <w:r>
        <w:rPr>
          <w:rtl w:val="true"/>
        </w:rPr>
        <w:t xml:space="preserve">. </w:t>
      </w:r>
      <w:r>
        <w:rPr>
          <w:rtl w:val="true"/>
        </w:rPr>
        <w:t>במהלך האירוע תועד המערער בסרטוני המצלמות מוסר דבר מה לאחד החוגגים</w:t>
      </w:r>
      <w:r>
        <w:rPr>
          <w:rtl w:val="true"/>
        </w:rPr>
        <w:t xml:space="preserve">, </w:t>
      </w:r>
      <w:r>
        <w:rPr>
          <w:rtl w:val="true"/>
        </w:rPr>
        <w:t xml:space="preserve">ובהמשך מקבל אותו בחזרה ודואג להסתירו בתוך מכנסיו ומתחת לחולצתו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 xml:space="preserve">כעולה מפסק דינו של בית המשפט המחוזי </w:t>
      </w:r>
      <w:r>
        <w:rPr>
          <w:rtl w:val="true"/>
        </w:rPr>
        <w:t>–</w:t>
      </w:r>
      <w:r>
        <w:rPr>
          <w:rtl w:val="true"/>
        </w:rPr>
        <w:t xml:space="preserve"> מדובר באקדח ממנו בוצע הירי כלפי 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האופן שבו ביצע המערער את פעולת הירי מלמד גם הוא על מודעותו והבנתו את טיב מעשיו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בסרטונים ממצלמות האירוע נצפה המערער כשהוא ניגש לעבר שורה של חוגגים אשר רקדו צמודים זה לצד זה</w:t>
      </w:r>
      <w:r>
        <w:rPr>
          <w:rtl w:val="true"/>
        </w:rPr>
        <w:t xml:space="preserve">, </w:t>
      </w:r>
      <w:r>
        <w:rPr>
          <w:rtl w:val="true"/>
        </w:rPr>
        <w:t xml:space="preserve">כדקה לאחר שהזמר באירוע הכריז על כינויו של המנוח </w:t>
      </w:r>
      <w:r>
        <w:rPr>
          <w:rtl w:val="true"/>
        </w:rPr>
        <w:t>("</w:t>
      </w:r>
      <w:r>
        <w:rPr>
          <w:rtl w:val="true"/>
        </w:rPr>
        <w:t>אבו בראא היקר</w:t>
      </w:r>
      <w:r>
        <w:rPr>
          <w:rtl w:val="true"/>
        </w:rPr>
        <w:t xml:space="preserve">"), </w:t>
      </w:r>
      <w:r>
        <w:rPr>
          <w:rtl w:val="true"/>
        </w:rPr>
        <w:t xml:space="preserve">ולאחר שהוא מכוון את האקדח לעבר המנוח </w:t>
      </w:r>
      <w:r>
        <w:rPr>
          <w:rtl w:val="true"/>
        </w:rPr>
        <w:t>–</w:t>
      </w:r>
      <w:r>
        <w:rPr>
          <w:rtl w:val="true"/>
        </w:rPr>
        <w:t xml:space="preserve"> יורה בו מספר רב של כדורים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 xml:space="preserve">סרטון </w:t>
      </w:r>
      <w:r>
        <w:rPr>
          <w:rtl w:val="true"/>
        </w:rPr>
        <w:t>"</w:t>
      </w:r>
      <w:r>
        <w:rPr/>
        <w:t>0009</w:t>
      </w:r>
      <w:r>
        <w:rPr>
          <w:rtl w:val="true"/>
        </w:rPr>
        <w:t xml:space="preserve">").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ומיומנות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אוטומטי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ההדק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פעולת ירי ממוקדת</w:t>
      </w:r>
      <w:r>
        <w:rPr>
          <w:rtl w:val="true"/>
        </w:rPr>
        <w:t xml:space="preserve">, </w:t>
      </w:r>
      <w:r>
        <w:rPr>
          <w:rtl w:val="true"/>
        </w:rPr>
        <w:t>מנשק שאינו אוטומטי</w:t>
      </w:r>
      <w:r>
        <w:rPr>
          <w:rtl w:val="true"/>
        </w:rPr>
        <w:t xml:space="preserve">, </w:t>
      </w:r>
      <w:r>
        <w:rPr>
          <w:rtl w:val="true"/>
        </w:rPr>
        <w:t>המכוונת לקרבן ספציפי העומד לצד חוגגים רבים מימינו ומשמאלו</w:t>
      </w:r>
      <w:r>
        <w:rPr>
          <w:rtl w:val="true"/>
        </w:rPr>
        <w:t xml:space="preserve">, </w:t>
      </w:r>
      <w:r>
        <w:rPr>
          <w:rtl w:val="true"/>
        </w:rPr>
        <w:t xml:space="preserve">מחזקת אף היא את המסקנה כי המערער היה מודע לטיב מעשיו בעת ביצוע הירי </w:t>
      </w:r>
      <w:r>
        <w:rPr>
          <w:rtl w:val="true"/>
        </w:rPr>
        <w:t>(</w:t>
      </w:r>
      <w:r>
        <w:rPr>
          <w:rtl w:val="true"/>
        </w:rPr>
        <w:t>וראו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רומנצקו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בפסקאות </w:t>
      </w:r>
      <w:r>
        <w:rPr>
          <w:rFonts w:cs="Century" w:ascii="Century" w:hAnsi="Century"/>
          <w:sz w:val="22"/>
        </w:rPr>
        <w:t>17-18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התנהלות המערער לאחר ביצוע הירי מובילה אף היא למסקנה כי היה מודע היטב לטיב למעשיו</w:t>
      </w:r>
      <w:r>
        <w:rPr>
          <w:rtl w:val="true"/>
        </w:rPr>
        <w:t xml:space="preserve">. </w:t>
      </w:r>
      <w:r>
        <w:rPr>
          <w:rtl w:val="true"/>
        </w:rPr>
        <w:t>בהקשר זה יש לדחות את טענת המערער לפיה אין להסיק דבר מתוכן שיחותיו עם אחרים במהלך הלילה שלאחר הירי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סימן לו עם ידו כי יעצור את רכבו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ומשעצר שמע אותו אומר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מה עשיתי מה עשיתי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ופולט מילה בערבית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אתעבט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שמשמעותה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הרסתי את החיים שלי כאילו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משהו כזה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מפלט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00:45</w:t>
      </w:r>
      <w:r>
        <w:rPr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חלילי</w:t>
      </w:r>
      <w:r>
        <w:rPr>
          <w:rtl w:val="true"/>
        </w:rPr>
        <w:t xml:space="preserve">" </w:t>
      </w:r>
      <w:r>
        <w:rPr>
          <w:rtl w:val="true"/>
        </w:rPr>
        <w:t>מסרון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בטעות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נורו שלושה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אחד מת במקום</w:t>
      </w:r>
      <w:r>
        <w:rPr>
          <w:rFonts w:cs="Century" w:ascii="Century" w:hAnsi="Century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50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210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שחאדה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כי הלה נפגש עם המערער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 לאחר אירוע הירי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בפגישה זו אמר לו המערער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 בעיה באלריף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שם האולם בו נערך אירוע החתונה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לציין כי איאד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איאד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שיחה בין המערער לבין אחיו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כעולה מעדותו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מאל אמר למערער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יציג עצמו למשטרה</w:t>
      </w:r>
      <w:r>
        <w:rPr>
          <w:rFonts w:cs="Century" w:ascii="Century" w:hAnsi="Century"/>
          <w:rtl w:val="true"/>
        </w:rPr>
        <w:t>" [</w:t>
      </w:r>
      <w:r>
        <w:rPr>
          <w:rFonts w:ascii="Century" w:hAnsi="Century" w:cs="Century"/>
          <w:rtl w:val="true"/>
        </w:rPr>
        <w:t xml:space="preserve">כך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 xml:space="preserve">החל המערער </w:t>
      </w:r>
      <w:r>
        <w:rPr>
          <w:rtl w:val="true"/>
        </w:rPr>
        <w:t>"</w:t>
      </w:r>
      <w:r>
        <w:rPr>
          <w:rtl w:val="true"/>
        </w:rPr>
        <w:t>לקלל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אלוהים</w:t>
      </w:r>
      <w:r>
        <w:rPr>
          <w:rtl w:val="true"/>
        </w:rPr>
        <w:t xml:space="preserve">"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שיחנך את הילדים שלהם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17-16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מן המקובץ עולה כי המערער ניהל מספר שיחות עם אנשים שונים בשעות שלאחר אירוע הירי</w:t>
      </w:r>
      <w:r>
        <w:rPr>
          <w:rtl w:val="true"/>
        </w:rPr>
        <w:t xml:space="preserve">, </w:t>
      </w:r>
      <w:r>
        <w:rPr>
          <w:rtl w:val="true"/>
        </w:rPr>
        <w:t>חלקן בסמוך לאחר ביצוע הירי</w:t>
      </w:r>
      <w:r>
        <w:rPr>
          <w:rtl w:val="true"/>
        </w:rPr>
        <w:t xml:space="preserve">, </w:t>
      </w:r>
      <w:r>
        <w:rPr>
          <w:rtl w:val="true"/>
        </w:rPr>
        <w:t>במסגרתן ביטא הבנה מלאה לאשר התרחש בעת אירוע החתונה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יש בהתנהלות זו כדי לחזק את מסקנתו של בית המשפט המחוזי כי המערער היה מודע למעשיו בעת ביצוע הירי עצמו</w:t>
      </w:r>
      <w:r>
        <w:rPr>
          <w:rtl w:val="true"/>
        </w:rPr>
        <w:t xml:space="preserve">. 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טען</w:t>
      </w:r>
      <w:r>
        <w:rPr>
          <w:rtl w:val="true"/>
        </w:rPr>
        <w:t xml:space="preserve">, </w:t>
      </w:r>
      <w:r>
        <w:rPr>
          <w:rtl w:val="true"/>
        </w:rPr>
        <w:t>כי חלק מהעדים שהעידו בבית המשפט שלא היה שיכור בעת האירוע</w:t>
      </w:r>
      <w:r>
        <w:rPr>
          <w:rtl w:val="true"/>
        </w:rPr>
        <w:t xml:space="preserve">, </w:t>
      </w:r>
      <w:r>
        <w:rPr>
          <w:rtl w:val="true"/>
        </w:rPr>
        <w:t>שינו את גרסתם בהשוואה לגרסה שמסרו בחקירתם במשטרה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>"</w:t>
      </w:r>
      <w:r>
        <w:rPr>
          <w:rtl w:val="true"/>
        </w:rPr>
        <w:t>כתוצאה מלחץ כבד מצד משפחתו של המנוח</w:t>
      </w:r>
      <w:r>
        <w:rPr>
          <w:rtl w:val="true"/>
        </w:rPr>
        <w:t xml:space="preserve">". </w:t>
      </w:r>
      <w:r>
        <w:rPr>
          <w:rtl w:val="true"/>
        </w:rPr>
        <w:t>טענה זו נטענה בעלמא</w:t>
      </w:r>
      <w:r>
        <w:rPr>
          <w:rtl w:val="true"/>
        </w:rPr>
        <w:t xml:space="preserve">, </w:t>
      </w:r>
      <w:r>
        <w:rPr>
          <w:rtl w:val="true"/>
        </w:rPr>
        <w:t>ומבלי להצביע על עדויות ספציפיות</w:t>
      </w:r>
      <w:r>
        <w:rPr>
          <w:rtl w:val="true"/>
        </w:rPr>
        <w:t xml:space="preserve"> של עדים ששינו את גרסתם</w:t>
      </w:r>
      <w:r>
        <w:rPr>
          <w:rtl w:val="true"/>
        </w:rPr>
        <w:t xml:space="preserve">, </w:t>
      </w:r>
      <w:r>
        <w:rPr>
          <w:rtl w:val="true"/>
        </w:rPr>
        <w:t>למעט עדותו של חסן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בטענה זו כדי לשנות מהמסקנה המבוססת היטב בדבר מודעות המערער למעשיו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כפי שפורט בהרחבה לעיל </w:t>
      </w:r>
      <w:r>
        <w:rPr>
          <w:rtl w:val="true"/>
        </w:rPr>
        <w:t>–</w:t>
      </w:r>
      <w:r>
        <w:rPr>
          <w:rtl w:val="true"/>
        </w:rPr>
        <w:t xml:space="preserve"> מסקנתו של בית המשפט המחוזי לעניין מודעותו של המערער לטיב מעשיו לא הושתתה על עדויות כאלה או אחרות לבדן</w:t>
      </w:r>
      <w:r>
        <w:rPr>
          <w:rtl w:val="true"/>
        </w:rPr>
        <w:t xml:space="preserve">, </w:t>
      </w:r>
      <w:r>
        <w:rPr>
          <w:rtl w:val="true"/>
        </w:rPr>
        <w:t>אלא נסמכה על מכלול רב של ראיות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ציין בפירוש כי יש להתייחס לעדויות החוגגים באירוע </w:t>
      </w:r>
      <w:r>
        <w:rPr>
          <w:rtl w:val="true"/>
        </w:rPr>
        <w:t>"</w:t>
      </w:r>
      <w:r>
        <w:rPr>
          <w:rtl w:val="true"/>
        </w:rPr>
        <w:t>בזהירות</w:t>
      </w:r>
      <w:r>
        <w:rPr>
          <w:rtl w:val="true"/>
        </w:rPr>
        <w:t xml:space="preserve">",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tl w:val="true"/>
        </w:rPr>
        <w:t>המידע</w:t>
      </w:r>
      <w:r>
        <w:rPr>
          <w:rtl w:val="true"/>
        </w:rPr>
        <w:t xml:space="preserve">" </w:t>
      </w:r>
      <w:r>
        <w:rPr>
          <w:rtl w:val="true"/>
        </w:rPr>
        <w:t>המופק מהן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ולהיפך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חוגגים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ורגילה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שיכור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112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החוגגים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ומשמסקנתו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 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אין לקבל גם את טענת המערער לפיה ההנחה כי שתה כמות לא מבוטלת של משקה אלכוהולי קודם האירוע</w:t>
      </w:r>
      <w:r>
        <w:rPr>
          <w:rtl w:val="true"/>
        </w:rPr>
        <w:t xml:space="preserve">, </w:t>
      </w:r>
      <w:r>
        <w:rPr>
          <w:rtl w:val="true"/>
        </w:rPr>
        <w:t>מובילה בהכרח למסקנה כי לא היה מודע למעשיו בעת שירה במנוח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כפי שהובהר לעיל</w:t>
      </w:r>
      <w:r>
        <w:rPr>
          <w:rtl w:val="true"/>
        </w:rPr>
        <w:t xml:space="preserve">, </w:t>
      </w:r>
      <w:r>
        <w:rPr>
          <w:rtl w:val="true"/>
        </w:rPr>
        <w:t>לצורך התקיימותה של הגנת השכרות החלקית אין די  בטענה כי מאן דהוא שתה אלכוהול בכמות כלשהי קודם שביצע עבירה</w:t>
      </w:r>
      <w:r>
        <w:rPr>
          <w:rtl w:val="true"/>
        </w:rPr>
        <w:t xml:space="preserve">, </w:t>
      </w:r>
      <w:r>
        <w:rPr>
          <w:rtl w:val="true"/>
        </w:rPr>
        <w:t>אלא יש להוכיח כי שתיית המשקה המשכר גרמה לאותו אדם לחוסר מודעות לפרט מתוך פרטי 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לנוכח מסקנתי כי לא נפל דופי בקביעת בית המשפט המחוזי לפיה המערער היה מודע לטיב מעשיו בעת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אפילו אם אניח כי שתה </w:t>
      </w:r>
      <w:r>
        <w:rPr>
          <w:rtl w:val="true"/>
        </w:rPr>
        <w:t>"</w:t>
      </w:r>
      <w:r>
        <w:rPr>
          <w:rtl w:val="true"/>
        </w:rPr>
        <w:t>כמות נכבדה</w:t>
      </w:r>
      <w:r>
        <w:rPr>
          <w:rtl w:val="true"/>
        </w:rPr>
        <w:t xml:space="preserve">" </w:t>
      </w:r>
      <w:r>
        <w:rPr>
          <w:rtl w:val="true"/>
        </w:rPr>
        <w:t xml:space="preserve">של אלכוהול קודם האירוע </w:t>
      </w:r>
      <w:r>
        <w:rPr>
          <w:rtl w:val="true"/>
        </w:rPr>
        <w:t>–</w:t>
      </w:r>
      <w:r>
        <w:rPr>
          <w:rtl w:val="true"/>
        </w:rPr>
        <w:t xml:space="preserve"> ואיני קובע כי כך הדבר </w:t>
      </w:r>
      <w:r>
        <w:rPr>
          <w:rtl w:val="true"/>
        </w:rPr>
        <w:t>–</w:t>
      </w:r>
      <w:r>
        <w:rPr>
          <w:rtl w:val="true"/>
        </w:rPr>
        <w:t xml:space="preserve"> הרי שאין בכך כדי לבסס את טענת המערער כי עומדת לזכותו הגנת השכרות החלקית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 יש לדחות גם את טענת המערער לפיה לא יעלה על הדעת כי אדם פיכח יירה באחר לעיני כל ובעודו מתועד במצלמות</w:t>
      </w:r>
      <w:r>
        <w:rPr>
          <w:rtl w:val="true"/>
        </w:rPr>
        <w:t xml:space="preserve">, </w:t>
      </w:r>
      <w:r>
        <w:rPr>
          <w:rtl w:val="true"/>
        </w:rPr>
        <w:t>וממילא יש ללמוד מהתנהגותו על חוסר מודעות למעשיו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רציונלית</w:t>
      </w:r>
      <w:r>
        <w:rPr>
          <w:rtl w:val="true"/>
        </w:rPr>
        <w:t xml:space="preserve">.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כשלעצמו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לנוכח כל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ומשלא התקיים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הנדרש לתחולתו של הסייג הקבוע </w:t>
      </w:r>
      <w:hyperlink r:id="rId3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אין מקום להתערב בקביעתו של בית המשפט המחוזי לפיה המערער לא עמד בנטל ההוכחה כי </w:t>
      </w:r>
      <w:r>
        <w:rPr>
          <w:rtl w:val="true"/>
        </w:rPr>
        <w:t>"</w:t>
      </w:r>
      <w:r>
        <w:rPr>
          <w:rtl w:val="true"/>
        </w:rPr>
        <w:t>הגנת השכרות החלקית</w:t>
      </w:r>
      <w:r>
        <w:rPr>
          <w:rtl w:val="true"/>
        </w:rPr>
        <w:t xml:space="preserve">" </w:t>
      </w:r>
      <w:r>
        <w:rPr>
          <w:rtl w:val="true"/>
        </w:rPr>
        <w:t>מתקיימת 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טיעוני המערער התמקדו בשני ראשים</w:t>
      </w:r>
      <w:r>
        <w:rPr>
          <w:rtl w:val="true"/>
        </w:rPr>
        <w:t xml:space="preserve">. </w:t>
      </w:r>
      <w:r>
        <w:rPr>
          <w:rtl w:val="true"/>
        </w:rPr>
        <w:t xml:space="preserve">הראשון </w:t>
      </w:r>
      <w:r>
        <w:rPr>
          <w:rtl w:val="true"/>
        </w:rPr>
        <w:t>–</w:t>
      </w:r>
      <w:r>
        <w:rPr>
          <w:rtl w:val="true"/>
        </w:rPr>
        <w:t xml:space="preserve"> אשר נדון עד עתה </w:t>
      </w:r>
      <w:r>
        <w:rPr>
          <w:rtl w:val="true"/>
        </w:rPr>
        <w:t>–</w:t>
      </w:r>
      <w:r>
        <w:rPr>
          <w:rtl w:val="true"/>
        </w:rPr>
        <w:t xml:space="preserve"> כי עומדת לזכותו </w:t>
      </w:r>
      <w:r>
        <w:rPr>
          <w:rtl w:val="true"/>
        </w:rPr>
        <w:t>"</w:t>
      </w:r>
      <w:r>
        <w:rPr>
          <w:rtl w:val="true"/>
        </w:rPr>
        <w:t>הגנת השכרות החלקית</w:t>
      </w:r>
      <w:r>
        <w:rPr>
          <w:rtl w:val="true"/>
        </w:rPr>
        <w:t xml:space="preserve">". </w:t>
      </w:r>
      <w:r>
        <w:rPr>
          <w:rtl w:val="true"/>
        </w:rPr>
        <w:t>אפנה עתה לדון בטענתו השניה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לפיה פעולות המשטרה בעת חקירתו הסבו לו נזק ראייתי ומנעו ממנו לבסס כנדרש את </w:t>
      </w:r>
      <w:r>
        <w:rPr>
          <w:rtl w:val="true"/>
        </w:rPr>
        <w:t>"</w:t>
      </w:r>
      <w:r>
        <w:rPr>
          <w:rtl w:val="true"/>
        </w:rPr>
        <w:t>הגנת השכרות החלקית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ברקע לטענה זו</w:t>
      </w:r>
      <w:r>
        <w:rPr>
          <w:rtl w:val="true"/>
        </w:rPr>
        <w:t xml:space="preserve">, </w:t>
      </w:r>
      <w:r>
        <w:rPr>
          <w:rtl w:val="true"/>
        </w:rPr>
        <w:t xml:space="preserve">מן הראוי להזכיר כי אירוע הירי התרחש בסמוך לשעה </w:t>
      </w:r>
      <w:r>
        <w:rPr/>
        <w:t>21:50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 xml:space="preserve">רק למחרת בשעה </w:t>
      </w:r>
      <w:r>
        <w:rPr/>
        <w:t>06:00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בחלוף למעלה מ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התייצב המערער בתחנת המשטרה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בפסק דינו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לא נפל פגם בהחלטת החוקרים שלא  לבצע למערער בדיקה לבחינת רמת האלכוהול שבדמו</w:t>
      </w:r>
      <w:r>
        <w:rPr>
          <w:rtl w:val="true"/>
        </w:rPr>
        <w:t xml:space="preserve">, </w:t>
      </w:r>
      <w:r>
        <w:rPr>
          <w:rtl w:val="true"/>
        </w:rPr>
        <w:t>וכי אין לראות בכך מחדל חקירתי אשר יש בו כדי לזכותו מהעבירות המיוחסות 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עייף</w:t>
      </w:r>
      <w:r>
        <w:rPr>
          <w:rtl w:val="true"/>
        </w:rPr>
        <w:t xml:space="preserve">"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קביעותיו של בית המשפט המחוזי בעניין זה שגויות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משטען כי היה שיכור בעת ביצוע הירי </w:t>
      </w:r>
      <w:r>
        <w:rPr>
          <w:rtl w:val="true"/>
        </w:rPr>
        <w:t>–</w:t>
      </w:r>
      <w:r>
        <w:rPr>
          <w:rtl w:val="true"/>
        </w:rPr>
        <w:t xml:space="preserve"> היה על החוקרים לבצע בדיקה לבחינת רמת האלכוהול שבדמו</w:t>
      </w:r>
      <w:r>
        <w:rPr>
          <w:rtl w:val="true"/>
        </w:rPr>
        <w:t xml:space="preserve">, </w:t>
      </w:r>
      <w:r>
        <w:rPr>
          <w:rtl w:val="true"/>
        </w:rPr>
        <w:t>על אף התרשמותם כי לא היה נראה כשיכור בזמן החקירה</w:t>
      </w:r>
      <w:r>
        <w:rPr>
          <w:rtl w:val="true"/>
        </w:rPr>
        <w:t xml:space="preserve">, </w:t>
      </w:r>
      <w:r>
        <w:rPr>
          <w:rtl w:val="true"/>
        </w:rPr>
        <w:t xml:space="preserve">שכן מדובר בבדיקה </w:t>
      </w:r>
      <w:r>
        <w:rPr>
          <w:rtl w:val="true"/>
        </w:rPr>
        <w:t>"</w:t>
      </w:r>
      <w:r>
        <w:rPr>
          <w:rtl w:val="true"/>
        </w:rPr>
        <w:t>פשוטה וזולה</w:t>
      </w:r>
      <w:r>
        <w:rPr>
          <w:rtl w:val="true"/>
        </w:rPr>
        <w:t xml:space="preserve">" </w:t>
      </w:r>
      <w:r>
        <w:rPr>
          <w:rtl w:val="true"/>
        </w:rPr>
        <w:t>אשר היתה יכולה לסייע בהגנתו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"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מטושטש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טוענת כי לא נפל פגם בהתנהלותם של חוקרי המשטרה</w:t>
      </w:r>
      <w:r>
        <w:rPr>
          <w:rtl w:val="true"/>
        </w:rPr>
        <w:t xml:space="preserve">, </w:t>
      </w:r>
      <w:r>
        <w:rPr>
          <w:rtl w:val="true"/>
        </w:rPr>
        <w:t>וזאת לנוכח התרשמותם כי המערער לא היה נראה כשיכור בעת החקירה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טוענת המשיבה כי משנמלט המערער מאירוע הירי והסגיר עצמו למשטרה רק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שעות לאחר מכן הרי שהמערער הוא שמנע את היכולת להעריך את מצבו התודעתי בעת ביצוע הירי </w:t>
      </w:r>
      <w:r>
        <w:rPr>
          <w:rtl w:val="true"/>
        </w:rPr>
        <w:t>–</w:t>
      </w:r>
      <w:r>
        <w:rPr>
          <w:rtl w:val="true"/>
        </w:rPr>
        <w:t xml:space="preserve"> ולא חוקרי המשטרה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אין לייחס חשיבות לעובדה כי לא בוצעה למערער בדיקה לבחינת ריכוז האלכוהול שבדמו</w:t>
      </w:r>
      <w:r>
        <w:rPr>
          <w:rtl w:val="true"/>
        </w:rPr>
        <w:t xml:space="preserve">, </w:t>
      </w:r>
      <w:r>
        <w:rPr>
          <w:rtl w:val="true"/>
        </w:rPr>
        <w:t xml:space="preserve">שכן אף אם היה נמצא אלכוהול בדמו היה עליו להוכיח כי לא היה מודע למעשיו בעת ביצוע הירי </w:t>
      </w:r>
      <w:r>
        <w:rPr>
          <w:rtl w:val="true"/>
        </w:rPr>
        <w:t>–</w:t>
      </w:r>
      <w:r>
        <w:rPr>
          <w:rtl w:val="true"/>
        </w:rPr>
        <w:t xml:space="preserve"> דבר שלא עלה בידיו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אני סבור כי אכן נפל פגם מסוים בהתנהלות חוקרי המשטרה אשר החליטו שלא לבצע למערער בדיקה לצורך בחינת רמת האלכוהול שבדמו חרף טענותיו כי היה שיכור בעת ביצוע הירי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תמים דעים אני עם מסקנת בית המשפט המחוזי לפיה פעולות המשטרה בנסיבות המקרה דנן אינן צריכות להביא לזיכויו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מטרת החקירה המשטרתית אינה להשיג ראיות אשר יביאו להרשעתו של החשוד</w:t>
      </w:r>
      <w:r>
        <w:rPr>
          <w:rtl w:val="true"/>
        </w:rPr>
        <w:t xml:space="preserve">, </w:t>
      </w:r>
      <w:r>
        <w:rPr>
          <w:rtl w:val="true"/>
        </w:rPr>
        <w:t xml:space="preserve">אלא לאתר ראיות אשר יסייעו לחקר האמת </w:t>
      </w:r>
      <w:r>
        <w:rPr>
          <w:rtl w:val="true"/>
        </w:rPr>
        <w:t>–</w:t>
      </w:r>
      <w:r>
        <w:rPr>
          <w:rtl w:val="true"/>
        </w:rPr>
        <w:t xml:space="preserve"> בין אם אלו יביאו לזיכויו של החשוד ובין אם יובילו להרשעתו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5386/05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אלחורטי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בפסקה ז</w:t>
      </w:r>
      <w:r>
        <w:rPr>
          <w:rFonts w:cs="Century" w:ascii="Century" w:hAnsi="Century"/>
          <w:sz w:val="22"/>
          <w:rtl w:val="true"/>
        </w:rPr>
        <w:t>' (</w:t>
      </w:r>
      <w:r>
        <w:rPr>
          <w:rFonts w:cs="Century" w:ascii="Century" w:hAnsi="Century"/>
          <w:sz w:val="22"/>
        </w:rPr>
        <w:t>18.5.2006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ניאזוב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4.9.2018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אמש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ויבצעו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יתעלמו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; </w:t>
      </w:r>
      <w:r>
        <w:rPr>
          <w:rtl w:val="true"/>
        </w:rPr>
        <w:t>וטענותיו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ופשוטה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 באמור כדי להביא לזיכויו של נאשם</w:t>
      </w:r>
      <w:r>
        <w:rPr>
          <w:rtl w:val="true"/>
        </w:rPr>
        <w:t xml:space="preserve">. </w:t>
      </w:r>
      <w:r>
        <w:rPr>
          <w:rtl w:val="true"/>
        </w:rPr>
        <w:t>בית המשפט נדרש לבחון האם היעדר הבדיקה מקים חשש כי הגנת הנאשם קופחה</w:t>
      </w:r>
      <w:r>
        <w:rPr>
          <w:rtl w:val="true"/>
        </w:rPr>
        <w:t xml:space="preserve">, </w:t>
      </w:r>
      <w:r>
        <w:rPr>
          <w:rtl w:val="true"/>
        </w:rPr>
        <w:t>והאם על אף הפגם המסוים שבאי</w:t>
      </w:r>
      <w:r>
        <w:rPr>
          <w:rtl w:val="true"/>
        </w:rPr>
        <w:t>-</w:t>
      </w:r>
      <w:r>
        <w:rPr>
          <w:rtl w:val="true"/>
        </w:rPr>
        <w:t>ביצוע הבדיקה</w:t>
      </w:r>
      <w:r>
        <w:rPr>
          <w:rtl w:val="true"/>
        </w:rPr>
        <w:t xml:space="preserve">, </w:t>
      </w:r>
      <w:r>
        <w:rPr>
          <w:rtl w:val="true"/>
        </w:rPr>
        <w:t xml:space="preserve">הונחה תשתית ראייתית מספקת להוכחת אשמתו של הנאשם בעבירות שיוחסו לו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10596/03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20</w:t>
      </w:r>
      <w:r>
        <w:rPr>
          <w:rtl w:val="true"/>
        </w:rPr>
        <w:t xml:space="preserve"> (</w:t>
      </w:r>
      <w:r>
        <w:rPr/>
        <w:t>4.6.2006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אני סבור כי העובדה שלא נערכה בדיקה לבחינת רמת האלכוהול בדמו של המערער לא פגעה באופן ממשי בהגנתו</w:t>
      </w:r>
      <w:r>
        <w:rPr>
          <w:rtl w:val="true"/>
        </w:rPr>
        <w:t xml:space="preserve">, </w:t>
      </w:r>
      <w:r>
        <w:rPr>
          <w:rtl w:val="true"/>
        </w:rPr>
        <w:t>שכן לא היה בה כדי לתמוך בגרסתו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שכפי שהובהר לעיל</w:t>
      </w:r>
      <w:r>
        <w:rPr>
          <w:rtl w:val="true"/>
        </w:rPr>
        <w:t xml:space="preserve">, </w:t>
      </w:r>
      <w:r>
        <w:rPr>
          <w:rtl w:val="true"/>
        </w:rPr>
        <w:t>על מנת לבסס את הגנת השכרות החלקית לא די בכך כי יימצא אלכוהול בדמו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אלא יש לספק תשתית ראייתית איתנה כי הנאשם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tl w:val="true"/>
        </w:rPr>
        <w:t xml:space="preserve"> לטיב המעשה שהוא עושה בשל שכרותו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דנן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לא מצאתי כי נפל פגם במסקנת בית המשפט המחוזי לפיה אף אם המערער היה נתון תחת השפעתו של משקה משכר</w:t>
      </w:r>
      <w:r>
        <w:rPr>
          <w:rtl w:val="true"/>
        </w:rPr>
        <w:t xml:space="preserve">, </w:t>
      </w:r>
      <w:r>
        <w:rPr>
          <w:rtl w:val="true"/>
        </w:rPr>
        <w:t>הרי שהיה מודע היטב לטיב מעשיו בעת ביצוע הירי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ומשלא נמנעה מהמערער האפשרות להציג ראיות ממשיות על מצבו הנפשי והתודעתי בעת ביצוע הירי</w:t>
      </w:r>
      <w:r>
        <w:rPr>
          <w:rtl w:val="true"/>
        </w:rPr>
        <w:t xml:space="preserve">, </w:t>
      </w:r>
      <w:r>
        <w:rPr>
          <w:rtl w:val="true"/>
        </w:rPr>
        <w:t>אין לומר כי קופחה הגנתו</w:t>
      </w:r>
      <w:r>
        <w:rPr>
          <w:rtl w:val="true"/>
        </w:rPr>
        <w:t xml:space="preserve">, </w:t>
      </w:r>
      <w:r>
        <w:rPr>
          <w:rtl w:val="true"/>
        </w:rPr>
        <w:t xml:space="preserve">וזאת חרף החלטת החוקרים שלא לערוך את הבדיקה לבחינת רמת האלכוהול בדמו </w:t>
      </w:r>
      <w:r>
        <w:rPr>
          <w:rtl w:val="true"/>
        </w:rPr>
        <w:t>(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3071/01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16.11.2016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זאת ועוד </w:t>
      </w:r>
      <w:r>
        <w:rPr>
          <w:rtl w:val="true"/>
        </w:rPr>
        <w:t>–</w:t>
      </w:r>
      <w:r>
        <w:rPr>
          <w:rtl w:val="true"/>
        </w:rPr>
        <w:t xml:space="preserve"> והיא העיקר</w:t>
      </w:r>
      <w:r>
        <w:rPr>
          <w:rtl w:val="true"/>
        </w:rPr>
        <w:t xml:space="preserve">. </w:t>
      </w:r>
      <w:r>
        <w:rPr>
          <w:rtl w:val="true"/>
        </w:rPr>
        <w:t>התנהגותו של המערער היא שהקשתה על האפשרות להוכיח את גרסתו</w:t>
      </w:r>
      <w:r>
        <w:rPr>
          <w:rtl w:val="true"/>
        </w:rPr>
        <w:t xml:space="preserve">, </w:t>
      </w:r>
      <w:r>
        <w:rPr>
          <w:rtl w:val="true"/>
        </w:rPr>
        <w:t>מאחר שכזכור הלה נמלט מזירת האירוע מיד לאחר ביצוע הירי והסגיר עצמו למשטרה רק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שעות לאחר מכן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ספרונוב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חלילי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המערער עצמו הוא שמנע את היכולת לבחון את רמת האלכוהול שבדמו מיד לאחר האירוע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ועל כן אין לו אלא להלין על עצמו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 והשוו</w:t>
      </w:r>
      <w:r>
        <w:rPr>
          <w:rFonts w:cs="Century" w:ascii="Century" w:hAnsi="Century"/>
          <w:rtl w:val="true"/>
        </w:rPr>
        <w:t xml:space="preserve">: 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6044/13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18.3.2015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אף שנפל פגם בהתנהלותה של המשטרה בחקירתו הראשונה של המערער </w:t>
      </w:r>
      <w:r>
        <w:rPr>
          <w:rtl w:val="true"/>
        </w:rPr>
        <w:t>–</w:t>
      </w:r>
      <w:r>
        <w:rPr>
          <w:rtl w:val="true"/>
        </w:rPr>
        <w:t xml:space="preserve"> אין בכך כדי להביא למסקנה כי הדבר פגם בהגנתו</w:t>
      </w:r>
      <w:r>
        <w:rPr>
          <w:rtl w:val="true"/>
        </w:rPr>
        <w:t xml:space="preserve">, </w:t>
      </w:r>
      <w:r>
        <w:rPr>
          <w:rtl w:val="true"/>
        </w:rPr>
        <w:t>וממילא אין בכך כדי להביא לזיכויו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>יש לדחות גם את טענת המערער לפיה חוקריו התרשלו בבחינת טענותיו כי רכש את בקבוקי האלכוהול עובר לאירוע החתונה בחנות משקאות בעפולה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החקירתי</w:t>
      </w:r>
      <w:r>
        <w:rPr>
          <w:rtl w:val="true"/>
        </w:rPr>
        <w:t xml:space="preserve">"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עפולה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5.10.2016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בערעורו על חומרת העונש טוען המערער כי יש להקל בעונשו לנוכח תחולת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אשר נכנס לתוקף ביום </w:t>
      </w:r>
      <w:r>
        <w:rPr/>
        <w:t>10.7.2019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בעוד שבהוראות 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עובר לתיקון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העונש על עבירה של רצח בכוונה תחילה היה עונש של מאסר עולם חובה</w:t>
      </w:r>
      <w:r>
        <w:rPr>
          <w:rtl w:val="true"/>
        </w:rPr>
        <w:t xml:space="preserve">, </w:t>
      </w:r>
      <w:r>
        <w:rPr>
          <w:rtl w:val="true"/>
        </w:rPr>
        <w:t xml:space="preserve">הרי שלאחר התיקון מורה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כי עונש מאסר עולם חובה יוטל רק על מי שרצח </w:t>
      </w:r>
      <w:r>
        <w:rPr>
          <w:rtl w:val="true"/>
        </w:rPr>
        <w:t>"</w:t>
      </w:r>
      <w:r>
        <w:rPr>
          <w:rtl w:val="true"/>
        </w:rPr>
        <w:t>בנסיבות מחמירות</w:t>
      </w:r>
      <w:r>
        <w:rPr>
          <w:rtl w:val="true"/>
        </w:rPr>
        <w:t xml:space="preserve">", </w:t>
      </w:r>
      <w:r>
        <w:rPr>
          <w:rtl w:val="true"/>
        </w:rPr>
        <w:t>בהתאם לעילות המנויות בסעיף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משלא מתקיימת בעניינו אחת מהנסיבות המחמירות המנויות בסעיף</w:t>
      </w:r>
      <w:r>
        <w:rPr>
          <w:rtl w:val="true"/>
        </w:rPr>
        <w:t xml:space="preserve">, </w:t>
      </w:r>
      <w:r>
        <w:rPr>
          <w:rtl w:val="true"/>
        </w:rPr>
        <w:t>ומשאין חובת עונש מאסר עולם מנדטורי על פי דין</w:t>
      </w:r>
      <w:r>
        <w:rPr>
          <w:rtl w:val="true"/>
        </w:rPr>
        <w:t xml:space="preserve">, </w:t>
      </w:r>
      <w:r>
        <w:rPr>
          <w:rtl w:val="true"/>
        </w:rPr>
        <w:t>מסור לבית המשפט שיקול דעת בגזירת עונשו</w:t>
      </w:r>
      <w:r>
        <w:rPr>
          <w:rtl w:val="true"/>
        </w:rPr>
        <w:t xml:space="preserve">. </w:t>
      </w:r>
      <w:r>
        <w:rPr>
          <w:rtl w:val="true"/>
        </w:rPr>
        <w:t>המערער סבור אפוא</w:t>
      </w:r>
      <w:r>
        <w:rPr>
          <w:rtl w:val="true"/>
        </w:rPr>
        <w:t xml:space="preserve">, </w:t>
      </w:r>
      <w:r>
        <w:rPr>
          <w:rtl w:val="true"/>
        </w:rPr>
        <w:t>כי לנוכח מחדל החקירה לו הוא טוען</w:t>
      </w:r>
      <w:r>
        <w:rPr>
          <w:rtl w:val="true"/>
        </w:rPr>
        <w:t xml:space="preserve">, </w:t>
      </w:r>
      <w:r>
        <w:rPr>
          <w:rtl w:val="true"/>
        </w:rPr>
        <w:t>יש לגזור עליו עונש שאינו מאסר עולם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המשיבה בתגובתה לא חלקה כי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חל בעניינו של המערער משטרם ניתן פסק דין חלוט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אולם טענה כי בנסיבות המקרה דנן מתקיימת הנסיבה המחמירה המנויה </w:t>
      </w:r>
      <w:hyperlink r:id="rId4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אשר לפיה הרצח בוצע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ורבן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ריקודים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הצדדים אינם חלוקים על כך שתיקון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חל על עניינו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...".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</w:t>
      </w:r>
      <w:r>
        <w:rPr>
          <w:rtl w:val="true"/>
        </w:rPr>
        <w:t xml:space="preserve">, </w:t>
      </w:r>
      <w:r>
        <w:rPr>
          <w:rtl w:val="true"/>
        </w:rPr>
        <w:t>תחול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חיקוק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Fonts w:ascii="Century" w:hAnsi="Century" w:cs="Century"/>
          <w:rtl w:val="true"/>
        </w:rPr>
        <w:t>תיקון קובע 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תחילתו של חוק זה שישה חודשים מיום פרסומו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יום התחילה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והוא יחול על עבירות שבוצעו מיום התחילה ואילך</w:t>
      </w:r>
      <w:r>
        <w:rPr>
          <w:rFonts w:cs="Century" w:ascii="Century" w:hAnsi="Century"/>
          <w:rtl w:val="true"/>
        </w:rPr>
        <w:t>".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על עבירה שבוצעה לפני יום התחילה וטרם ניתן פסק דין חלוט בעניינה יחולו הוראות סעיף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לחוק העיקרי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>)".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נמצאנו למדים אפוא</w:t>
      </w:r>
      <w:r>
        <w:rPr>
          <w:rtl w:val="true"/>
        </w:rPr>
        <w:t xml:space="preserve">, </w:t>
      </w:r>
      <w:r>
        <w:rPr>
          <w:rtl w:val="true"/>
        </w:rPr>
        <w:t xml:space="preserve">שבמקרה בו ביצע נאשם עבירה בטרם נכנס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לתוקף</w:t>
      </w:r>
      <w:r>
        <w:rPr>
          <w:rtl w:val="true"/>
        </w:rPr>
        <w:t xml:space="preserve">, </w:t>
      </w:r>
      <w:r>
        <w:rPr>
          <w:rtl w:val="true"/>
        </w:rPr>
        <w:t xml:space="preserve">אולם בטרם ניתן פסק דין חלוט בעניינו נכנס התיקון לחוק לתוקפו </w:t>
      </w:r>
      <w:r>
        <w:rPr>
          <w:rtl w:val="true"/>
        </w:rPr>
        <w:t>–</w:t>
      </w:r>
      <w:r>
        <w:rPr>
          <w:rtl w:val="true"/>
        </w:rPr>
        <w:t xml:space="preserve"> יחול על הנאשם שהורשע בביצוע עבירת רצח הדין המקל עמו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ככל שתיקון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מקל עם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יש להחילו במסגרת הדיון בערעורו על גזר הדין </w:t>
      </w:r>
      <w:r>
        <w:rPr>
          <w:rtl w:val="true"/>
        </w:rPr>
        <w:t>(</w:t>
      </w:r>
      <w:r>
        <w:rPr>
          <w:rtl w:val="true"/>
        </w:rPr>
        <w:t>וראו והשוו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28.7.2019</w:t>
      </w:r>
      <w:r>
        <w:rPr>
          <w:rFonts w:cs="Century" w:ascii="Century" w:hAnsi="Century"/>
          <w:rtl w:val="true"/>
        </w:rPr>
        <w:t xml:space="preserve">); 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1828/14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בפסקאות </w:t>
      </w:r>
      <w:r>
        <w:rPr>
          <w:rFonts w:cs="Century" w:ascii="Century" w:hAnsi="Century"/>
          <w:sz w:val="22"/>
        </w:rPr>
        <w:t>22-23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27.6.2019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אפנה עתה לדון האם יש בתיקון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כדי להקל בדינו של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במתכונתו לאחר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מורה כי עונשו של מי שגרם בכוונה או באדישות למותו של אדם אחר באחת הנסיבות המחמירות המנויות בסעיף הוא עונש של מאסר עולם חובה</w:t>
      </w:r>
      <w:r>
        <w:rPr>
          <w:rtl w:val="true"/>
        </w:rPr>
        <w:t xml:space="preserve">. </w:t>
      </w:r>
      <w:r>
        <w:rPr>
          <w:rtl w:val="true"/>
        </w:rPr>
        <w:t>אחת הנסיבות הללו</w:t>
      </w:r>
      <w:r>
        <w:rPr>
          <w:rtl w:val="true"/>
        </w:rPr>
        <w:t xml:space="preserve">, </w:t>
      </w:r>
      <w:r>
        <w:rPr>
          <w:rtl w:val="true"/>
        </w:rPr>
        <w:t xml:space="preserve">המנויה </w:t>
      </w:r>
      <w:hyperlink r:id="rId6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היא כי </w:t>
      </w:r>
      <w:r>
        <w:rPr>
          <w:rtl w:val="true"/>
        </w:rPr>
        <w:t>"</w:t>
      </w:r>
      <w:r>
        <w:rPr>
          <w:rtl w:val="true"/>
        </w:rPr>
        <w:t>המעשה בוצע תוך יצירת סכנה ממשית לחייו של אדם אחר נוסף על הקורבן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משהועלתה ההצעה לתיקון 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לקריאה ראשונה בפני הכנסת</w:t>
      </w:r>
      <w:r>
        <w:rPr>
          <w:rtl w:val="true"/>
        </w:rPr>
        <w:t xml:space="preserve">, </w:t>
      </w:r>
      <w:r>
        <w:rPr>
          <w:rtl w:val="true"/>
        </w:rPr>
        <w:t xml:space="preserve">הוצע לקבוע כנסיבה מחמירה לביצוע עבירת הרצח מקרים שבהם המעשה </w:t>
      </w:r>
      <w:r>
        <w:rPr>
          <w:rtl w:val="true"/>
        </w:rPr>
        <w:t>"</w:t>
      </w:r>
      <w:r>
        <w:rPr>
          <w:rtl w:val="true"/>
        </w:rPr>
        <w:t xml:space="preserve">בוצע תוך יצירה סכנה ממשית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בגופו של אדם 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נוסף על הקורבן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הצעת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972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בהתייחס לנוסחה דאז של הנסיבה המוצעת</w:t>
      </w:r>
      <w:r>
        <w:rPr>
          <w:rtl w:val="true"/>
        </w:rPr>
        <w:t xml:space="preserve">, </w:t>
      </w:r>
      <w:r>
        <w:rPr>
          <w:rtl w:val="true"/>
        </w:rPr>
        <w:t>נכתב 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זה הפגיעה בערך של חיי אדם קשה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שהעושה חושף אנשים נוספים פרט לקרבן לסכנה של פגיעה חמורה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המיועד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173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בסופו של יום נוסח החקיקה אשר התקבל בכנסת צמצם את תחולתה של הנסיבה</w:t>
      </w:r>
      <w:r>
        <w:rPr>
          <w:rtl w:val="true"/>
        </w:rPr>
        <w:t xml:space="preserve">, </w:t>
      </w:r>
      <w:r>
        <w:rPr>
          <w:rtl w:val="true"/>
        </w:rPr>
        <w:t xml:space="preserve">ונקבע כאמור כי נסיבה זו תתקיים רק במקרים שבהם המעשה בוצע </w:t>
      </w:r>
      <w:r>
        <w:rPr>
          <w:rtl w:val="true"/>
        </w:rPr>
        <w:t>"</w:t>
      </w:r>
      <w:r>
        <w:rPr>
          <w:rtl w:val="true"/>
        </w:rPr>
        <w:t xml:space="preserve">תוך יצירה סכנה ממשית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לחייו</w:t>
      </w:r>
      <w:r>
        <w:rPr>
          <w:rFonts w:ascii="Century" w:hAnsi="Century" w:cs="Century"/>
          <w:sz w:val="22"/>
          <w:sz w:val="22"/>
          <w:rtl w:val="true"/>
        </w:rPr>
        <w:t xml:space="preserve"> של אדם אחר נוסף על הקרבן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נסיבה מחמירה זו חלה אך ורק במקרים שבהם לא זו בלבד שהנאשם גדע בכוונה או באדישות את חייו של הקרבן</w:t>
      </w:r>
      <w:r>
        <w:rPr>
          <w:rtl w:val="true"/>
        </w:rPr>
        <w:t xml:space="preserve">, </w:t>
      </w:r>
      <w:r>
        <w:rPr>
          <w:rtl w:val="true"/>
        </w:rPr>
        <w:t>אלא הוסיף ויצר במעשיו סכנה ממשית לחייהם של אחרים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נמצאנו למדים כי ההחמרה בעונשו של נאשם אשר גרם למותו של אדם אחר בכוונה או באדישות</w:t>
      </w:r>
      <w:r>
        <w:rPr>
          <w:rtl w:val="true"/>
        </w:rPr>
        <w:t xml:space="preserve">, </w:t>
      </w:r>
      <w:r>
        <w:rPr>
          <w:rtl w:val="true"/>
        </w:rPr>
        <w:t>ואגב זאת יצר סכנה ממשית אף לחיים של אדם אחר</w:t>
      </w:r>
      <w:r>
        <w:rPr>
          <w:rtl w:val="true"/>
        </w:rPr>
        <w:t xml:space="preserve">, </w:t>
      </w:r>
      <w:r>
        <w:rPr>
          <w:rtl w:val="true"/>
        </w:rPr>
        <w:t>מוצדקת בשל הזלזול העמוק שמבטא מעשה זה בערך המקודש של חיי אדם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 זה קבע המחוקק כי העונש הראוי לביצוע עבירה בנסיבות אלו הוא עונש של מאסר עולם חובה</w:t>
      </w:r>
      <w:r>
        <w:rPr>
          <w:rtl w:val="true"/>
        </w:rPr>
        <w:t xml:space="preserve">. </w:t>
      </w:r>
      <w:r>
        <w:rPr>
          <w:rtl w:val="true"/>
        </w:rPr>
        <w:t>עונש זה מביא לידי ביטוי את מידת האשם הגבוהה של מבצע העבירה</w:t>
      </w:r>
      <w:r>
        <w:rPr>
          <w:rtl w:val="true"/>
        </w:rPr>
        <w:t xml:space="preserve">; </w:t>
      </w:r>
      <w:r>
        <w:rPr>
          <w:rtl w:val="true"/>
        </w:rPr>
        <w:t>מגלם את ההוקעה הרצויה מפני ביצוע מעשים אלו</w:t>
      </w:r>
      <w:r>
        <w:rPr>
          <w:rtl w:val="true"/>
        </w:rPr>
        <w:t xml:space="preserve">; </w:t>
      </w:r>
      <w:r>
        <w:rPr>
          <w:rtl w:val="true"/>
        </w:rPr>
        <w:t>ומייצר הרתעה מפני הישנותם בעתיד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ויושם אל לב </w:t>
      </w:r>
      <w:r>
        <w:rPr>
          <w:rtl w:val="true"/>
        </w:rPr>
        <w:t>–</w:t>
      </w:r>
      <w:r>
        <w:rPr>
          <w:rtl w:val="true"/>
        </w:rPr>
        <w:t xml:space="preserve"> לשון החוק מורה באופן מפורש וברור כי </w:t>
      </w:r>
      <w:r>
        <w:rPr>
          <w:rFonts w:ascii="Century" w:hAnsi="Century" w:cs="Century"/>
          <w:rtl w:val="true"/>
        </w:rPr>
        <w:t xml:space="preserve">נסיבה מחמירה זו מתקיימת גם במקרים שבהם יצר נאשם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ולאו דווקא נזק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לחייו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נוסף על הקרבן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ומלואו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וסיכון חייו אפילו של אחד אחר פוגע עמוקות בערך של חיי אדם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 גם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הצוות לבחינת יסודות ההמתה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14-15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>)).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המערער הגיע לאירוע כשהוא חמוש באקדח טעון במחסנית עם כדורים והסתיר אותו מתחת לבגדיו במהלך האירוע</w:t>
      </w:r>
      <w:r>
        <w:rPr>
          <w:rtl w:val="true"/>
        </w:rPr>
        <w:t xml:space="preserve">, </w:t>
      </w:r>
      <w:r>
        <w:rPr>
          <w:rtl w:val="true"/>
        </w:rPr>
        <w:t>על רקע סכסוך שהתרחש בינו לבין המנוח כשבוע לפני אירוע הירי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שניתן לראות בסרטונים המתעדים את ביצוע הירי</w:t>
      </w:r>
      <w:r>
        <w:rPr>
          <w:rtl w:val="true"/>
        </w:rPr>
        <w:t xml:space="preserve">, </w:t>
      </w:r>
      <w:r>
        <w:rPr>
          <w:rtl w:val="true"/>
        </w:rPr>
        <w:t xml:space="preserve">המנוח רקד ברחבת ריקודים הומה אדם כשמימינו ומשמאלו עומדים חוגגים נוספים והוא מחבק אדם נוסף </w:t>
      </w:r>
      <w:r>
        <w:rPr>
          <w:rtl w:val="true"/>
        </w:rPr>
        <w:t>–</w:t>
      </w:r>
      <w:r>
        <w:rPr>
          <w:rtl w:val="true"/>
        </w:rPr>
        <w:t xml:space="preserve"> הלא הוא שאדי אשר נפצע בסופו של יום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 xml:space="preserve">ניגש אליו המערער באקדח שלוף וירה בו מספר רב של יריות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 xml:space="preserve">סרטון </w:t>
      </w:r>
      <w:r>
        <w:rPr>
          <w:rtl w:val="true"/>
        </w:rPr>
        <w:t>"</w:t>
      </w:r>
      <w:r>
        <w:rPr/>
        <w:t>0009</w:t>
      </w:r>
      <w:r>
        <w:rPr>
          <w:rtl w:val="true"/>
        </w:rPr>
        <w:t xml:space="preserve">"). </w:t>
      </w:r>
      <w:r>
        <w:rPr>
          <w:rtl w:val="true"/>
        </w:rPr>
        <w:t>כתוצאה מהירי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נפצעו שניים נוספים ונזקקו לאשפוז בבית החולים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;Arial" w:cs="Arial TUR;Arial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לא למותר לציין בהקשר זה כי </w:t>
      </w:r>
      <w:r>
        <w:rPr>
          <w:rtl w:val="true"/>
        </w:rPr>
        <w:t>"</w:t>
      </w:r>
      <w:r>
        <w:rPr>
          <w:rtl w:val="true"/>
        </w:rPr>
        <w:t>צו השעה</w:t>
      </w:r>
      <w:r>
        <w:rPr>
          <w:rtl w:val="true"/>
        </w:rPr>
        <w:t xml:space="preserve">" </w:t>
      </w:r>
      <w:r>
        <w:rPr>
          <w:rtl w:val="true"/>
        </w:rPr>
        <w:t>בימים אלה הוא לחזור ולהדגיש את המובן מאליו – אין להשלים עם ביצוען של עבירות נשק ואלימות חמורה בכלל</w:t>
      </w:r>
      <w:r>
        <w:rPr>
          <w:rtl w:val="true"/>
        </w:rPr>
        <w:t xml:space="preserve">, </w:t>
      </w:r>
      <w:r>
        <w:rPr>
          <w:rtl w:val="true"/>
        </w:rPr>
        <w:t>ועם ביצוען במרחב הציבורי בפרט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השימוש בכלי נשק לצורך פתרון סכסוכים במרחב הציבורי הפך לרעה חולה במחוזותינו בעת האחרונה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יש לייחס חומרה רבה לאלו המשתמשים בכלי נשק על מנת ליטול את חייהם של אחרים</w:t>
      </w:r>
      <w:r>
        <w:rPr>
          <w:rtl w:val="true"/>
        </w:rPr>
        <w:t xml:space="preserve">; </w:t>
      </w:r>
      <w:r>
        <w:rPr>
          <w:rtl w:val="true"/>
        </w:rPr>
        <w:t>אולם יש לייחס חומרה רבה שבעתיים למשתמשים בנשק בלב המרחב הציבורי</w:t>
      </w:r>
      <w:r>
        <w:rPr>
          <w:rtl w:val="true"/>
        </w:rPr>
        <w:t xml:space="preserve">, </w:t>
      </w:r>
      <w:r>
        <w:rPr>
          <w:rtl w:val="true"/>
        </w:rPr>
        <w:t>בשעה שעוברי אורח תמימים וחפים מפשע עלולים להיפגע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אין לקבל את טענת המערער כי יש להחזיר את הדיון לבית המשפט המחוזי על מנת שיכריע האם היתה לו מודעות לכך שהוא יוצר </w:t>
      </w:r>
      <w:r>
        <w:rPr>
          <w:rtl w:val="true"/>
        </w:rPr>
        <w:t>"</w:t>
      </w:r>
      <w:r>
        <w:rPr>
          <w:rtl w:val="true"/>
        </w:rPr>
        <w:t>סכנה ממשית לאחרים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Century"/>
          <w:rtl w:val="true"/>
        </w:rPr>
        <w:t>היה מודע היטב למעשיו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".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משירה המערער במנוח מספר רב של 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מימינו ומשמאלו של המנוח עומדים חוגגים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ובסמוך לו שאדי אשר נפצע בפועל מהירי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כל ספק כי היה מודע לכך שהוא יוצר במעשיו סכנה ממשית לחייהם של אחרים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ומשהכרעתי כי מתקיימת בעניינו של המערער הנסיבה המחמירה הקבועה </w:t>
      </w:r>
      <w:hyperlink r:id="rId6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הרי גם</w:t>
      </w:r>
      <w:r>
        <w:rPr>
          <w:rFonts w:ascii="Century" w:hAnsi="Century" w:cs="Century"/>
          <w:rtl w:val="true"/>
        </w:rPr>
        <w:t xml:space="preserve"> לאחר 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 להשית עליו עונש מאסר עולם חובה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אין עוד צורך להידרש לטענות המשיבה כי בנסיבות המקרה שלפנינו יש לגזור על המערער עונש מאסר עולם</w:t>
      </w:r>
      <w:r>
        <w:rPr>
          <w:rtl w:val="true"/>
        </w:rPr>
        <w:t xml:space="preserve">, </w:t>
      </w:r>
      <w:r>
        <w:rPr>
          <w:rtl w:val="true"/>
        </w:rPr>
        <w:t xml:space="preserve">אף אם לא מתקיימת בעניינו אחת מהנסיבות המחמירות הקבועות </w:t>
      </w:r>
      <w:hyperlink r:id="rId6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אציע לחברי ולחברתי לדחות את הערעור על שני ראשיו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3.11.2019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ab/>
        <w:tab/>
      </w:r>
      <w:r>
        <w:rPr>
          <w:rtl w:val="true"/>
        </w:rPr>
        <w:tab/>
      </w:r>
      <w:r>
        <w:rPr>
          <w:rtl w:val="true"/>
        </w:rPr>
        <w:tab/>
        <w:t xml:space="preserve">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18089650</w:t>
      </w:r>
      <w:r>
        <w:rPr>
          <w:sz w:val="16"/>
          <w:rtl w:val="true"/>
        </w:rPr>
        <w:t>_</w:t>
      </w:r>
      <w:r>
        <w:rPr>
          <w:sz w:val="16"/>
        </w:rPr>
        <w:t>J08.docx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54678313-8965/18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3"/>
      <w:footerReference w:type="default" r:id="rId7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8965/18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9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FrankRuehl" w:hAnsi="FrankRueh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basedOn w:val="DefaultParagraphFont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5636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" TargetMode="External"/><Relationship Id="rId5" Type="http://schemas.openxmlformats.org/officeDocument/2006/relationships/hyperlink" Target="http://www.nevo.co.il/law/70301/5.a" TargetMode="External"/><Relationship Id="rId6" Type="http://schemas.openxmlformats.org/officeDocument/2006/relationships/hyperlink" Target="http://www.nevo.co.il/law/70301/34i" TargetMode="External"/><Relationship Id="rId7" Type="http://schemas.openxmlformats.org/officeDocument/2006/relationships/hyperlink" Target="http://www.nevo.co.il/law/70301/34i.e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98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/300a.a" TargetMode="External"/><Relationship Id="rId13" Type="http://schemas.openxmlformats.org/officeDocument/2006/relationships/hyperlink" Target="http://www.nevo.co.il/law/70301/300a.a.9" TargetMode="External"/><Relationship Id="rId14" Type="http://schemas.openxmlformats.org/officeDocument/2006/relationships/hyperlink" Target="http://www.nevo.co.il/law/70301/301a.a" TargetMode="External"/><Relationship Id="rId15" Type="http://schemas.openxmlformats.org/officeDocument/2006/relationships/hyperlink" Target="http://www.nevo.co.il/law/70301/301a.a.9" TargetMode="External"/><Relationship Id="rId16" Type="http://schemas.openxmlformats.org/officeDocument/2006/relationships/hyperlink" Target="http://www.nevo.co.il/law/70301/334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case/21756367" TargetMode="External"/><Relationship Id="rId19" Type="http://schemas.openxmlformats.org/officeDocument/2006/relationships/hyperlink" Target="http://www.nevo.co.il/law/70301/300.a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334" TargetMode="External"/><Relationship Id="rId24" Type="http://schemas.openxmlformats.org/officeDocument/2006/relationships/hyperlink" Target="http://www.nevo.co.il/law/70301/335.a.1" TargetMode="External"/><Relationship Id="rId25" Type="http://schemas.openxmlformats.org/officeDocument/2006/relationships/hyperlink" Target="http://www.nevo.co.il/law/70301/34i.e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29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4i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574340" TargetMode="External"/><Relationship Id="rId32" Type="http://schemas.openxmlformats.org/officeDocument/2006/relationships/hyperlink" Target="http://www.nevo.co.il/case/20030633" TargetMode="External"/><Relationship Id="rId33" Type="http://schemas.openxmlformats.org/officeDocument/2006/relationships/hyperlink" Target="http://www.nevo.co.il/case/5770260" TargetMode="External"/><Relationship Id="rId34" Type="http://schemas.openxmlformats.org/officeDocument/2006/relationships/hyperlink" Target="http://www.nevo.co.il/case/5833838" TargetMode="External"/><Relationship Id="rId35" Type="http://schemas.openxmlformats.org/officeDocument/2006/relationships/hyperlink" Target="http://www.nevo.co.il/case/18749858" TargetMode="External"/><Relationship Id="rId36" Type="http://schemas.openxmlformats.org/officeDocument/2006/relationships/hyperlink" Target="http://www.nevo.co.il/case/5594238" TargetMode="External"/><Relationship Id="rId37" Type="http://schemas.openxmlformats.org/officeDocument/2006/relationships/hyperlink" Target="http://www.nevo.co.il/case/5811666" TargetMode="External"/><Relationship Id="rId38" Type="http://schemas.openxmlformats.org/officeDocument/2006/relationships/hyperlink" Target="http://www.nevo.co.il/law/70301/34i.e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6009110" TargetMode="External"/><Relationship Id="rId41" Type="http://schemas.openxmlformats.org/officeDocument/2006/relationships/hyperlink" Target="http://www.nevo.co.il/case/22505950" TargetMode="External"/><Relationship Id="rId42" Type="http://schemas.openxmlformats.org/officeDocument/2006/relationships/hyperlink" Target="http://www.nevo.co.il/case/6091879" TargetMode="External"/><Relationship Id="rId43" Type="http://schemas.openxmlformats.org/officeDocument/2006/relationships/hyperlink" Target="http://www.nevo.co.il/case/5873789" TargetMode="External"/><Relationship Id="rId44" Type="http://schemas.openxmlformats.org/officeDocument/2006/relationships/hyperlink" Target="http://www.nevo.co.il/case/798558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01a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00a.a.9" TargetMode="External"/><Relationship Id="rId50" Type="http://schemas.openxmlformats.org/officeDocument/2006/relationships/hyperlink" Target="http://www.nevo.co.il/law/70301/301a.a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5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5.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3354214" TargetMode="External"/><Relationship Id="rId59" Type="http://schemas.openxmlformats.org/officeDocument/2006/relationships/hyperlink" Target="http://www.nevo.co.il/case/13041923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301a.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301a.a.9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00a.a.9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301a.a.9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300a.a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supreme.court.gov.il/" TargetMode="External"/><Relationship Id="rId72" Type="http://schemas.openxmlformats.org/officeDocument/2006/relationships/hyperlink" Target="http://www.nevo.co.il/advertisements/nevo-100.doc" TargetMode="External"/><Relationship Id="rId73" Type="http://schemas.openxmlformats.org/officeDocument/2006/relationships/header" Target="header1.xml"/><Relationship Id="rId74" Type="http://schemas.openxmlformats.org/officeDocument/2006/relationships/footer" Target="footer1.xml"/><Relationship Id="rId75" Type="http://schemas.openxmlformats.org/officeDocument/2006/relationships/numbering" Target="numbering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2020-01-16T11:36:00Z</dcterms:created>
  <dc:creator>h4</dc:creator>
  <dc:description/>
  <cp:keywords/>
  <dc:language>en-IL</dc:language>
  <cp:lastModifiedBy>yafit</cp:lastModifiedBy>
  <cp:lastPrinted>2019-11-03T09:19:00Z</cp:lastPrinted>
  <dcterms:modified xsi:type="dcterms:W3CDTF">2020-01-16T11:36:00Z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מחמוד מחאג'נה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21756367:2;5574340;20030633;5770260;5833838;18749858;5594238;5811666;6009110;22505950;6091879;5873789;7985581;23354214;13041923</vt:lpwstr>
  </property>
  <property fmtid="{D5CDD505-2E9C-101B-9397-08002B2CF9AE}" pid="9" name="CITY">
    <vt:lpwstr/>
  </property>
  <property fmtid="{D5CDD505-2E9C-101B-9397-08002B2CF9AE}" pid="10" name="DATE">
    <vt:lpwstr>20191103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ברון;י' אלרון</vt:lpwstr>
  </property>
  <property fmtid="{D5CDD505-2E9C-101B-9397-08002B2CF9AE}" pid="14" name="LAWLISTTMP1">
    <vt:lpwstr>70301/300.a.2;144.a;144.b;334;335.a.1;034i.e:2;298;034i;301a.a:3;300a.a.9:2;005;005.a;301a.a.9:2;300a.a</vt:lpwstr>
  </property>
  <property fmtid="{D5CDD505-2E9C-101B-9397-08002B2CF9AE}" pid="15" name="LAWYER">
    <vt:lpwstr>תמר בורנשטיין;אביגדור פלדמן;אילן עבאס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הגנות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חקירה במשטרה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1431;1446;475</vt:lpwstr>
  </property>
  <property fmtid="{D5CDD505-2E9C-101B-9397-08002B2CF9AE}" pid="48" name="NOSE31">
    <vt:lpwstr>שכרות חלקית</vt:lpwstr>
  </property>
  <property fmtid="{D5CDD505-2E9C-101B-9397-08002B2CF9AE}" pid="49" name="NOSE310">
    <vt:lpwstr/>
  </property>
  <property fmtid="{D5CDD505-2E9C-101B-9397-08002B2CF9AE}" pid="50" name="NOSE32">
    <vt:lpwstr>מדיניות ענישה: עבירת רצח</vt:lpwstr>
  </property>
  <property fmtid="{D5CDD505-2E9C-101B-9397-08002B2CF9AE}" pid="51" name="NOSE33">
    <vt:lpwstr>מחדלי חקירה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8692;14615;3672</vt:lpwstr>
  </property>
  <property fmtid="{D5CDD505-2E9C-101B-9397-08002B2CF9AE}" pid="59" name="PADIDATE">
    <vt:lpwstr>20191104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8965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410120191103</vt:lpwstr>
  </property>
  <property fmtid="{D5CDD505-2E9C-101B-9397-08002B2CF9AE}" pid="69" name="TYPE_N_DATE">
    <vt:lpwstr>41020191103</vt:lpwstr>
  </property>
  <property fmtid="{D5CDD505-2E9C-101B-9397-08002B2CF9AE}" pid="70" name="VOLUME">
    <vt:lpwstr/>
  </property>
  <property fmtid="{D5CDD505-2E9C-101B-9397-08002B2CF9AE}" pid="71" name="WORDNUMPAGES">
    <vt:lpwstr>25</vt:lpwstr>
  </property>
</Properties>
</file>