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8978/18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99"/>
        <w:gridCol w:w="5101"/>
      </w:tblGrid>
      <w:tr>
        <w:trPr>
          <w:trHeight w:val="287" w:hRule="atLeast"/>
        </w:trPr>
        <w:tc>
          <w:tcPr>
            <w:tcW w:w="3399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0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99"/>
        <w:gridCol w:w="5101"/>
      </w:tblGrid>
      <w:tr>
        <w:trPr>
          <w:trHeight w:val="287" w:hRule="atLeast"/>
        </w:trPr>
        <w:tc>
          <w:tcPr>
            <w:tcW w:w="3399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39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23431-03-14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קולה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צרפתי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דניאלי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שביט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8"/>
        <w:gridCol w:w="5135"/>
      </w:tblGrid>
      <w:tr>
        <w:trPr/>
        <w:tc>
          <w:tcPr>
            <w:tcW w:w="322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3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שולמית אלמוג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טראומה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נרטיב ומשפט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ספר דליה דורנר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,  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2009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143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inks_Kitvei_End"/>
      <w:bookmarkStart w:id="7" w:name="LawTable"/>
      <w:bookmarkStart w:id="8" w:name="Links_Kitvei_End"/>
      <w:bookmarkEnd w:id="7"/>
      <w:bookmarkEnd w:id="8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234</w:t>
        </w:r>
      </w:hyperlink>
    </w:p>
    <w:p>
      <w:pPr>
        <w:pStyle w:val="Ruller31"/>
        <w:spacing w:lineRule="auto" w:line="480"/>
        <w:ind w:end="0"/>
        <w:jc w:val="start"/>
        <w:rPr>
          <w:rFonts w:ascii="FrankRuehl" w:hAnsi="FrankRuehl" w:cs="Miriam"/>
          <w:spacing w:val="0"/>
          <w:sz w:val="24"/>
          <w:szCs w:val="24"/>
        </w:rPr>
      </w:pPr>
      <w:r>
        <w:rPr>
          <w:rFonts w:cs="Miriam" w:ascii="FrankRuehl" w:hAnsi="FrankRuehl"/>
          <w:spacing w:val="0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בהכרעות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מתרחב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להיזהר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בביקורתה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ולהתאים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הבעייתיות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ומתרשמת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שמטבעה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טראומטי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ואינטימי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חיצוני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ציפייה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קוהרנטית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וסדורה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כתובות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חפציות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בדווקנות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כשהסתמכה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היגיון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נכתבה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שהחליפה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כתילי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לגמלאות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שהאזין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מדוקדקת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FrankRuehl"/>
          <w:sz w:val="24"/>
          <w:szCs w:val="26"/>
          <w:rtl w:val="true"/>
        </w:rPr>
        <w:t xml:space="preserve">?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ותוקפו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שבהיגיון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בהכרעות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מתרחב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להיזהר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בביקורתה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ולהתאים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במישרין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יתרונה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בקליטה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קנקנן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הפועלות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מנותקות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מבודדות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מהשנייה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גומלין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עשויה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רעותה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תתמקד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המכלול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המתחייבת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שופטי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שאפפו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נקלעה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נמלטה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כשעומתה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הנגדית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מתגוננת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המזגן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האבן</w:t>
      </w:r>
      <w:r>
        <w:rPr>
          <w:rFonts w:cs="FrankRuehl"/>
          <w:sz w:val="24"/>
          <w:szCs w:val="26"/>
          <w:rtl w:val="true"/>
        </w:rPr>
        <w:t xml:space="preserve">'.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חותך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כלשונה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לשפוט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בדיעבד</w:t>
      </w:r>
      <w:r>
        <w:rPr>
          <w:rFonts w:cs="FrankRuehl"/>
          <w:sz w:val="24"/>
          <w:szCs w:val="26"/>
          <w:rtl w:val="true"/>
        </w:rPr>
        <w:t>...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יי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לצרכיה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מלגעת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 w:val="24"/>
          <w:szCs w:val="26"/>
          <w:rtl w:val="true"/>
        </w:rPr>
        <w:t>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קביעתה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ההיגיון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קפאה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חיפשה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התוקף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הטראומטי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הסיפור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בעמימות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להשפיע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המסרונים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ששלחה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ומקימים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המסרונים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להתרשמותו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ומשכנע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לדבריו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אולי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>...</w:t>
      </w:r>
      <w:r>
        <w:rPr>
          <w:rFonts w:cs="FrankRuehl"/>
          <w:sz w:val="24"/>
          <w:sz w:val="24"/>
          <w:szCs w:val="26"/>
          <w:rtl w:val="true"/>
        </w:rPr>
        <w:t>לשכנע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נאנסה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לרצונה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שסיפקה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ההודעות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למסרונים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נימוקיה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במלואם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ספסל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חיפוש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המסרונים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בהצטרף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שנפרשו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נקודות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ביוזמה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אגרסיבית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בנקודות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ביוזמתה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לשיטת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מוצדק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שופטי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הבעייתיות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נסמכה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הלבבות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למאפייני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הפסיכולוגית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התפקוד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הקוגניטיבי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תחליף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מתשובותיו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עצימת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עיניים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קרי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מלברר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תמרורי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האזהרה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ובשדיה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בקשתה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לאכסניה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בכיה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קונדום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תמרורי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האזהרה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שהופיעו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ובמופתים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כוונת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מוגבלותו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כנסיבה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מוגבלותו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רלוונטית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הצלחת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והטראומה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לפלונית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  <w:tab/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יִחס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שבקלים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הכספי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מדוקדק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פרישתו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המקורי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הוקלטה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נחשפה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אופטימליים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לחשיפתה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בעצמה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ההרכב</w:t>
      </w:r>
      <w:r>
        <w:rPr>
          <w:rFonts w:cs="FrankRuehl"/>
          <w:sz w:val="24"/>
          <w:szCs w:val="26"/>
          <w:rtl w:val="true"/>
        </w:rPr>
        <w:t xml:space="preserve">).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שצידד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כאפשרית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אצל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 "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האינטראקציה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שקדמה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... </w:t>
      </w:r>
      <w:r>
        <w:rPr>
          <w:rFonts w:cs="FrankRuehl"/>
          <w:sz w:val="24"/>
          <w:sz w:val="24"/>
          <w:szCs w:val="26"/>
          <w:rtl w:val="true"/>
        </w:rPr>
        <w:t>ואפילו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מעוניינת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באינטראקציה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FrankRuehl"/>
          <w:sz w:val="24"/>
          <w:szCs w:val="26"/>
          <w:rtl w:val="true"/>
        </w:rPr>
        <w:t xml:space="preserve">...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התנגדות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ליוזמותיו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נערה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מתעצמים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להוסיף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ולהדגיש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ובמעמסה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המייסרת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האלימים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טראומה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מחודשת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המתבטאת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בחיטוט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textAlignment w:val="auto"/>
        <w:rPr/>
      </w:pP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233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כשנבצר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שהחל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מסתמך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היגיון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הספציפיות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הואיל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לשרטט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ולהתוות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להחזיר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גלגל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ולפרוס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סגורה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היגיון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שקלול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תישמע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לנבצרות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לנבצרות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אדרבה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נלקח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ששניים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היגיון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אותות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העולים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מטון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התוכן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בחקירת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במשטרה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מוסמך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נמסרה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לסנגורו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לסניגוריה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המאוחרות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המוקדמות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מוסמך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לזיכויו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להתמודד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הצטברות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המחדלים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ההשלכה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מהנימוקים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שנתגלו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הגרסה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בהצטבר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השמעת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הותרת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התייחסותו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למחדלי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480"/>
        <w:ind w:end="0"/>
        <w:jc w:val="start"/>
        <w:rPr>
          <w:rFonts w:cs="Miriam"/>
          <w:sz w:val="24"/>
          <w:szCs w:val="26"/>
        </w:rPr>
      </w:pPr>
      <w:r>
        <w:rPr>
          <w:rFonts w:cs="Miriam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ערעור על הכרעת הדין מיום </w:t>
      </w:r>
      <w:r>
        <w:rPr>
          <w:rFonts w:cs="Century" w:ascii="Century" w:hAnsi="Century"/>
        </w:rPr>
        <w:t>22.2.2017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ועל גזר הדין מיום </w:t>
      </w:r>
      <w:r>
        <w:rPr>
          <w:rFonts w:cs="Century" w:ascii="Century" w:hAnsi="Century"/>
        </w:rPr>
        <w:t>19.11.2018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שניתנו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 לנוער בנצרת ב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23431-03-14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סג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במסגרתם הורשע המערער בביצוע עבירות אינוס לפי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מעשה סדום בנסיבות אינוס לפי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ומעשה מגונה לפי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והושת עליו עונש מאסר בפועל למשך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 בניכוי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ומאסר על 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המערער בתשלום פיצוי בסך של 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לקרבן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  <w:tab/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5.3.2014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שהתה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קטינה כבת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באכסניה ברמת הגולן יחד עם בני כיתתה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טיול שנתי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לפנות ערב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הזמינה פלונית אוכל ממסעדה באזור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וביקשה כי ישלח לאכסניה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זמן קצר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המערער ואדם נוסף עם האוכל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ופלונית יצאה לפוגשם בשער האכסניה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פלונית התפתחה שיחה ידידותית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שבסופה מסרה למערער את מספר הטלפון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מעט לאחר שעזב את האכסניה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התקשר המערער לפלונית והשניים קבעו להיפגש עוד באותו ערב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סמוך לשעה </w:t>
      </w:r>
      <w:r>
        <w:rPr>
          <w:rFonts w:cs="Century" w:ascii="Century" w:hAnsi="Century"/>
        </w:rPr>
        <w:t>21:30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המערער לאכסניה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פגש בפלונית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והובילה לפינת החי שבאותה שעה היתה שוממה וחשוכה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פלונית ביקשה שישבו במקום מואר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התיישבו על מנוע מזגן מחוץ לאחד המבנים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מיד כשהתיישבו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חיבק המערער את פלונית ואחז בישבנה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ביקשה ממנו להזיז את 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התעלם מבקשתה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פלונית מהמערער להחזירה לאכסניה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השיב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פתח את רגליה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נעמד מולה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הוציא את איבר מינו ממכנסיו והחל לשפשפו על 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 לבגדיה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פלונית התנגדה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ניסתה לסגור את רגליה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וביקשה מהמערער להפסיק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בקשותיה נפלו על אזניים ערלות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התעלם מתחנוניה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את ידיו אל מתחת חולצתה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ואחז בחזהּ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שהוא מסב לה כאב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השכיב המערער את פלונית על אבן סמוכה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 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גומר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פלונית סירבה בתוקף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וקראה כי היא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סירובה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הוריד המערער את מכנסיו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הכניס את איבר מינו 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ודחף את ראשה לכיוונו עד אשר גרם לה תחושת חנק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עודנה בוכה ומבקשת כי יקח אותה חזרה לאכסניה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הוריד המערער את מכנסיה ותחתוניה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קונדום על איבר מינו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וביצע בה את זממו עד אשר הגיע לסיפוק 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אחר הדברים האלה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עישן המערער סיגריה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התלבש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 ללכת לכיוון האכסניה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שפחדה להיוותר בגפה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התלבשה ומיהרה אחריו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שהגיעו לשער האכסניה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 המערער מהמקום עם חבר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כתב האישום נגד המערער הוגש בחודש מרץ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8.9.2014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החלה להישמע פרשת התביעה לפני 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3.2.2015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נסתיימה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סמוך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15.2.2015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הודיעו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הגיעו להסדר טיעון לפיו יודה המערער בעובדות כתב אישום 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הסכמה לעניין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20.7.2015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 המערער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הודאתו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עובר לשמיעת הטיעונים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 המערער לחזור בו מהודאתו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נעתר לבקשה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והרשעתו בוטלה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מחמת פרישתו לגמלאות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כתילי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נקבע כי סגנית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תחליפוֹ בראשות ההרכב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 ביקש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עדותה של פלונית תישמע מחדש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מנת שהשופטת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תוכל להתרשם ממנה באופן ישיר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דחה את הבקשה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שנוכח הפגיעה שעלולה להיגרם לפלונית בעקבות שחזור האירועים פעם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להסתפק בתיעוד המוקלט של עדותה המקורית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פרשת ההגנה נשמעה לפני ההרכב החדש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הצדדים הגישו את סיכומיהם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וביום </w:t>
      </w:r>
      <w:r>
        <w:rPr>
          <w:rFonts w:cs="Century" w:ascii="Century" w:hAnsi="Century"/>
        </w:rPr>
        <w:t>22.2.2017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הורשע המערער ברוב דעות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בניגוד לדעתו החולקת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התוצאה המזכה שאליה הגיע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cs="Century"/>
          <w:rtl w:val="true"/>
        </w:rPr>
        <w:t xml:space="preserve"> הושתתה על מספר אדנים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סתירות וסימני שאלה שהתעוררו בעדותה של פלונית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התנהגותה של פלונית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התכתבות במסרונים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שבמהלכה איימה עליו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מסובך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מחדלים בחקירת המערער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כולל פגיעה בזכויותיו כקטין חשוד לפי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הנוער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שפיטה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טיפול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הנוער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וספק לגבי קיום היסוד הנפשי הנדרש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בדגש על מאפייני אישיותו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שנלמדו מחוות דעת פסיכולוגית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cs="Century"/>
          <w:rtl w:val="true"/>
        </w:rPr>
        <w:t xml:space="preserve">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אמנם גם גרסתו של המערער לאירועים מעוררת קשיים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אלה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לסוגיות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המרכזיות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העומדות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להכרעה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נוכח האמור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 המערער לא נסתרה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ולכל הפחות די בה כדי לעורר ספק סביר באשמתו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התנהגותו המניפולטיבית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 מנת לקיים יחסי מין עם פלונית הובילה להאמין שהוא מעוניין במערכת יחסים רגשית ארוכת טווח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מלמדת על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בסיסי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המרוכז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אלא שבכך אין כדי ללמד על העדר הסכמה מצדה של פלונית לקיום יחסי המין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ובסלידה המוסרית מהתנהגותו של המערער אין די כדי להביא להרשעתו בפלילים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חרף הספקות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נותר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cs="Century"/>
          <w:rtl w:val="true"/>
        </w:rPr>
        <w:t xml:space="preserve"> בדעת מיעוט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אמנם לא די בהתנהגותו המניפולטיבית של המערער כדי להרשיעו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היא מלמדת על אופיו ועל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פער הכוחות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בין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שדרכו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להשקיף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השופט כי דווקא גרסתו של המערער היא זו אשר רצופה בקשיים וסתירות השוללים את קבלתה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סימני השאלה המתעוררים מגרסתה של פלונית אינם נוגעים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וניתן להסבירם באופן הגיוני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ליסוד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cs="Century"/>
          <w:rtl w:val="true"/>
        </w:rPr>
        <w:t xml:space="preserve"> בפתח חוות 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בחינה ושקילה של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לכלל מסקנה שהתקיים במערער יסוד נפשי של מודעות לחוסר הסכמתה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לכל הפחות בהתאם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עצימת עיניים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כמוה כמודעות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הצטרפה לדעתו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ניתוח גרסאותיהם של פלונית ושל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והוסיפה נימוקים משלה לתמיכה בתוצאה המרשיעה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19.11.2018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גזר בית המשפט המחוזי את דינו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בפתח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השתלשלות האירועים מאז 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בתחילת הדרך סרב המערער לשתף פעולה 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ניתן היה לקבל תסקיר בעניינו עובר לדיון שבו נשמעו הטיעונים לעונש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המערער לבית המשפט ותיאר את ההתדרדרות הקשה שחלה במצבו מאז ניתנה 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החל להשתמש בסמים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והורשע בעבירות אלימות ורכוש שבגינן נדון לתשעה חודשי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תאר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כיצד חווה פגיעה נפשית ממשית בתקופת שהייתו בכלא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הובילה למספר ניסיונות אובדניים ולשילובו בטיפול פסיכיאטרי תרופתי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האמור ביקש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יפנה אותו פעם נוספת לשירות המבחן על מנת לבחון אפשרות של הליך שיקומי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תוך שהוא מתחייב לשתף פעולה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שלדיון קדמו דחיות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נעתר בית המשפט לבקשת המערער והורה על הגשת תסקיר מטעם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שירות המבחן על מצבו הרגשי הסוער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נכונותו להשתלב בטיפול ארוך טווח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לבקשת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הורה בית המשפט על שילובו של המערער בקהילת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הדרך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במסלול טיפולי יעודי לפוגעים מינית שלהם רקע של שימוש בסמים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שבועיים בלבד לאחר שנקלט בקהילה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הסתיימה שהייתו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נוכח העדר שיתוף פעולה מצדו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רצף של אירועים חריגים אשר כללו אלימות מילולית וונדליזם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הוגש תסקיר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צוין כי המערער זקוק לתהליך של גמילה פיזית טרם שילובו בתכנית טיפולית נוספת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התנגדותו הנחרצת של המערער להשתלב באשפוזית שהוצעה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מוצה האפיק הטיפולי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נותר אלא לקבוע עונש מתאים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לחלופין הוצע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יחליט בית המשפט שיש מקום להמשיך באפיק השיקומי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יופנה המערער תחילה לבדיקה ולחוות דעת פסיכיאטרית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באת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 של המערער ביקשה לילך בדרך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נוכח הזמן הרב שחלף מאז 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והעדר בשלות אצל המערער להמשיך בתהליך הטיפולי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נדחתה הבקשה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הסקירה דלעיל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טיעוני הצדדים לעונש ופנה לגזור את דינו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 העונש ליתן ביטוי הולם לפגיעה החמורה של המערער בשלומה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בגופה ובנפשה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ובערכי החברה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היה קטין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תכלית הענישה המרכזית היא שיקומית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הדגיש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תמונת תהליך השיקום שעבר המערער עד שלב גזר הדין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מימדית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שהמערער לא עבר כברת דרך ארוכה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השתתף בטיפול במשך תקופה בלתי מבוטלת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וכישלון הטיפול נעוץ במידת מה בקשיים קוגניטיביים ונפשיים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לעצם קטינותו של נאשם יש משקל נכבד בעת גזירת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אף כאשר במעשים ברף החומרה הגבוה ביותר עסקינן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בעבירות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בקשת השיקולים שאותם יש לשקול מנה בית המשפט את גילו של הנאשם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מידת הבנתו את 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מידת החרטה ונטילת האחריות על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עברו הפלילי וסיכויי שיקומו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בנדון דידן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המערער היה בן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ושלושה חודשים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הווי אומר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אחרונים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הוא לא נטל אחריות על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הביע חרטה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מצבו הקוגניטיבי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וקשייו בהבנת סיטואציות חברתיות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בסיס להנחה שהמערער לא הבין באופן מלא את חומרת הפגיעה והטראומה שגרם לפלונית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שאין חולק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הבין את עצם הפסול שבמעשיו והוא כשיר לעמוד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נזקפו לזכותו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העדר עבר פלילי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והעובדה כי הן בוצעו ללא תכנון מקדים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הזמן הרב שחלף מאז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והתמשכות ההליך המשפטי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הקושי הממשי של המערער להתמודד עם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מהמאסר שהושת עליו בגין עבירות האלימות והרכוש שבהן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מקשיי הסתגלותו והניסיונות האובדניים מצדו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נסיבות חייו הקשות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קשייו של הוריו לתפקד באופן מלא ולספק לו תמיכה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מידת הפגיעה שנגרמה לפלונית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האמור בתסקיר נפגעת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פלונית סובלת מתסמינים פוסט טראומטיים ומפגיעה בדימויה העצמי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המשיכה בחייה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 רוחה השתפר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נמצאת בקשר זוגי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התסקיר נערך ביום </w:t>
      </w:r>
      <w:r>
        <w:rPr>
          <w:rFonts w:cs="Century" w:ascii="Century" w:hAnsi="Century"/>
        </w:rPr>
        <w:t>17.9.2015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לחזרתו של המערער מהודאתו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ומסתברת ההנחה שמשחלפו שלוש שנים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נמשכה מגמת השיפור האמורה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במכלול השיקולים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גזר בית המשפט על המערער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 בניכוי ימי מעצרו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מאסרים על תנאי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חויב המערער לשלם לפלונית פיצוי כספי בסך של 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19.12.2018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 המערער את הערעור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מופנה הן נגד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נגד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מקרה זה הוא מסוג המקרים החריגים שמצדיקים את התערבותה של ערכאת הערעור בממצאי העובדה שנקבעו בערכאה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מבוססת על מספר נימוקים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Fonts w:ascii="Century" w:hAnsi="Century" w:cs="Century"/>
          <w:rtl w:val="true"/>
        </w:rPr>
        <w:t xml:space="preserve">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קביעת ממצאי העובדה בחוות הדעת המרשיעות של שופטי הרוב הסתמכה במידה רבה על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והיגיון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בקביעות מעין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לערכאה הדיונית יתרון על ערכאת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לא היתה חלק מההרכב בשלב שבו נשמעה עדותה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וקביעת ממצאי מהימנות ועובדה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ידה מעוררת קושי מובנה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מצדיק בחינה מעמיקה מצד ערכאת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שופטי הרוב קבעו כי גרסתו של המערער אינה 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במידה רבה בהסתמך על סתירות שמצאו בחקירתו הראשונה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חקירה זו נערכה לאחר לילה נטול שינה מצד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שניתן האישור הנדרש לפי חוק הנוער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וקביעת ממצאים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פיה היא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היורדת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לשורשו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לגופם של דברים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מהראיות בתיק עולה תמונה ברורה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יחסי המין קוימו בהסכמה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ותלונתה של פלונית הוגשה על רקע הפגיעה שחשה כשלמדה שהמערער שיקר לה באמרו שהוא מעוניין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קשר רציני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אינו מכחיש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התנהגותו פסולה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וראויה לגינוי בפן המוסרי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לדידו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השיפוט המוסרי של מעשיו הכהה את עיניהם של שופטי הרוב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והובילם לניתוח שגוי של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הביא להרשעתו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את גרסתו מעגן המערער בכמה 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לטענתו לא זכו למענה הולם בהכרעת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גרסתה של פלונית רצופה סתירות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הן סתירות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פנימיות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בין גרסאותיה השונות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סתירות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חיצוניות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בין גרסאותיה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עדויות 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בחקירתה הראשונה במשטרה טענה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לקח אותה בכוח מ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זירת המזגן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זירת האבן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בבית המשפט העידה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עברה אל האבן מיוזמתה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נשכב לידה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שתי הגרסאות הללו סותרות את גרסת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הוא זה אשר עבר ראשון לשכב על האבן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ופלונית הגיעה בעקבותיו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המערער על כך שבמקרים שונים בהם עומתה פלונית עם הסתירות בין גרסתה לגרסתו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ש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אינה זוכרת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כך היה לדוגמה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כשעומתה פלונית עם טענת המערער לפיה בעת קיום המין האוראלי אמרה לו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העבודה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גורס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בתשובות אלה ביחס לפרטים מהותיים מהאירוע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לכל הפחות כדי לעורר ספק במהימנות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סתירות נוספות מתעוררות בין הגרסה שמסרה פלונית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עדותה של חברתה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שהיתה הראשונה לשמוע מפי פלונית על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בעדותה סיפרה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היא זוכרת בבירור שפלונית סיפרה לה שהיא צעקה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שהמערער סתם את פיה עם ידיו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ושהוא השאיר אותה ערומה במקום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מצביע על כך שלא רק שפלונית לא סיפקה הסבר לסתירות הללו כשעומתה עמן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אף טענה שחברתה משקרת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ברור שאין לה כל אינטרס לעשות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להתעלם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ויש בדברים כדי לערער את מהימנותה של פלונית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highlight w:val="yellow"/>
        </w:rPr>
      </w:pPr>
      <w:r>
        <w:rPr>
          <w:rFonts w:cs="Century" w:ascii="Century" w:hAnsi="Century"/>
          <w:highlight w:val="yellow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גרסתה של פלונית אינה מתיישבת עם התנהגותה 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 מדגיש המערער את חילופי המסרונים סמוך לאחר חזרתה של פלונית לאכסניה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עדותו של חבר לכיתה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שראה את פלונית ואת המערער בהגיעם לשער האכסניה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בהודעתו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שהוגשה בהסכמה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ציין החבר כי פלונית נראתה לו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מבסוטה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שורה </w:t>
      </w: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דברים אלה עומדים בסתירה לעדותה של פלונית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שטענה שהיתה נסערת ורעדה בעת שובה לאכסניה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חילופי המסרונים סמוך לאחר מכן סותרים אף הם את גרסתה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ומעידים על המניע האמיתי שבבסיס פנייתה למשטרה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שעזב המערער את 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ניסתה פלונית להתקשר אליו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נענתה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 שלחה לו הודעת טקסט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כהאי לישנא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חתיכת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שאף להודעה זו לא ניתנה תשובה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שלחה הודעה נוספת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מסובך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אף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בהודעתה הראשונה במשטרה נמנעה פלונית מלספר על ההודעות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בניסיון להסתירן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שעומתה עמן בחקירות נוספות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ונשאלה מה רצתה להשיג באמצעות שליחתן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ענתה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אונס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התנגדתי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הודעה 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13-10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דברים אלה מתיישבים דווקא עם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עסקינן בבחורה צעירה שנפגעה מהתנהגותו ומהצורה שבה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תמרן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אותה לקיים עמו יחסי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בבחורה שנאנסה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המשפט בכך שקבע שגרסתו אינה 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בהסתמך על סתירות שנמצאו בחקירתו הראשונה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חקירה זו נערכה בשעה </w:t>
      </w:r>
      <w:r>
        <w:rPr>
          <w:rFonts w:cs="Century" w:ascii="Century" w:hAnsi="Century"/>
        </w:rPr>
        <w:t>5:00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לילה נטול שינה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עייפותו בחקירה ניכרת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 כך שבשלב מסוים נרדם אל מול פניו של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בניגוד להוראות חוק הנוער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לחקירתו של המערער בשעה מאוחרת זו לא קדם אישור בכתב מטעם קצין מוסמך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גם למימוש זכותו להחקר בנוכחות הוריו בהתאם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הנוער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זכה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שופטי הרוב לא נאותו להסיק את המסקנה המתבקשת מפגמים 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cs="Century"/>
          <w:rtl w:val="true"/>
        </w:rPr>
        <w:t xml:space="preserve"> אמנם הביע חוסר נוחות מאופן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סבר כי מדובר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טכני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בו כדי לפגוע בקבילותה או במשקלה של ההודעה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הביעה ביקורת אף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לטענת המערער אין די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והשופטת העניקה משקל רב להודעה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סבור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הפגמים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מקום לקבוע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שכל מקרה של ספק או חוסר בהירות העולה מהדברים בחקירה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צריך לפעול לטובתו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שאכן קבע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בדעת המיעוט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אף אם פלונית לא הסכימה לקיום המגע המיני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 בית המשפט לקבוע שהמערער לא הבין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התקיים במערער היסוד הנפשי הנדרש של מודעות לחוסר ההסכמה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לא ניתן להרשיעו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חוות דעת מקצועית מאת הפסיכולוג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דוד יגיל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סובל המערער מלקות שכלית גבולית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 יכולה להפריע לו לפרש בצורה נכונה סיטואציות חברתיות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cs="Century"/>
          <w:rtl w:val="true"/>
        </w:rPr>
        <w:t xml:space="preserve"> אף ציין בפתח פסק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הפסיכולוג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).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הספק שקינן בלבו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מאליו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והוא הגיע למסקנה שהמערער הבין היטב את המצב ו</w:t>
      </w:r>
      <w:r>
        <w:rPr>
          <w:rFonts w:cs="Century" w:ascii="Century" w:hAnsi="Century"/>
          <w:rtl w:val="true"/>
        </w:rPr>
        <w:t>-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למטרתו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לסיפוקו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אולם דווקא מסקנתו זו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שגויה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ואינה מעוגנת היטב בהכרעת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מדגיש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יגיל אומצה במסגרת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כהצדקה להקל עמו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לחלופין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נסיבותיו המיוחדות מצדיקות הקלה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שיוטל עליו עונש מאסר לריצוי בדרך של עבודות 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מציין המערער את הטרגדיה המשפחתית שחווה כשאחיו נפטר ממחלה קשה בגיל צעיר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את הזמן הרב שחלף מעת ביצוע המעשים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ואת הקושי שלו להתמודד עם החיים בכלא במסגרת העונש שקיבל בגין עבירות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כדי כך שהוגדר כאסיר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טעון הגנה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על רקע חשש מפני פגיעה עצמית ופגיעה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אסירים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לבטל או למצער להפחית את שיעור הפיצוי שחוייב לשלם לפלונית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נוכח קשייה הכלכליים של משפחתו וגובה הפיצוי החריג ביחס לפיצויים המושתים בהליכים בבית המשפט לנוער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מצדה טוענת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לדחות 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שני רכיביו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העניין שלפנינו אינו נופל בגדר המקרים החריגים שמצדיקים סטייה מהכלל הידוע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אין ערכאת הערעור מתערבת בממצאים העובדתיים שקבעה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אכן נעזר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שכל הישר ובהגיון החיים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אולם אין זה כלי שעומד לבדו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והשימוש בו כשלעצמו אינו מצדיק סטייה מהכלל האמור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השינוי במותב בתום פרשת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והעובדה שהשופטת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לא התרשמה ישירות מעדותה של פלונית אינם מצדיקים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ההחלטה האם לשמוע מחדש עדות לאחר שינוי בהרכב המותב מסורה לשיקול דעתו של בית המשפט לפי </w:t>
      </w:r>
      <w:hyperlink r:id="rId2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30">
        <w:r>
          <w:rPr>
            <w:rStyle w:val="Hyperlink"/>
            <w:rFonts w:cs="Century" w:ascii="Century" w:hAnsi="Century"/>
            <w:color w:val="0000FF"/>
            <w:u w:val="single"/>
          </w:rPr>
          <w:t>234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בנדון דידן 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נוכח החשש מפני פגיעה במצבה הנפשי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וכיוון שעדותה הוקלטה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הצדקה להעידה מחדש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בהחלטה זו אין כדי להחריג את העניין שלפנינו מכלל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 של ערכאת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הדגישה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שמעה את יתר העדויות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את עדותו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שאותה מצאה בלתי מהימנה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לעדותה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אף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ascii="Century" w:hAnsi="Century" w:cs="Century"/>
          <w:rtl w:val="true"/>
        </w:rPr>
        <w:t xml:space="preserve"> ציין במפורש את הרושם האמין והחיובי שעלה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להתערב במסקנות הערכאה הדיונית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גם לגוף הדברים סבורה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עילה להתערבות בממצא העיקרי שקבע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פלונית לא הסכימה לקיים יחסי מין עם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בבחינת עדותה של קרבן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להתמקד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לדרוש עדות קוהרנטית ורציפה ביחס לכלל הפרטים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נוכח הטראומה הרגשית הקשה שיוצרת הפגיעה המינית והשפעתה על מסירת העדות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בגרסתה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גרעין האמת הוא חוסר ההסכמה שביטאה פעם אחר פעם במהלך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היא הסיטה את ידו של המערער כשנגע בישבנה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ביקשה שיחזירה לאכסניה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סגרה את רגליה כשניסה לפתחן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התחננה שיפסיק כשחדר לגופה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בכתה וקראה כי היא רוצה את 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גרעין אמת זה חזר על עצמו בכל הגרסאות שמסרה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כשסיפרה על האירוע לחברתה ולמורתה מעיין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בהודעותיה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בעדותה לפני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הסתירות עליהן מצביע המערער אינן מטילות דופי בגרעין האמת שבגרסתה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ביסוד התרשמותו השלילית של בית המשפט מגרסת המערער עומדת עדותו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כשהסתירות בהודעתו הראשונה במשטרה אך מחזקות התרשמות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הגרסה שסיפק המערער בעדותו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חיפש להכיר את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והדברים התגלגלו לכדי קיום יחסי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נדחתה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כלל חברי ההרכב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בחינת הגיונה הפנימי של עדותו של המערער מוליכה למסקנה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לקבלה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 הדגישה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לפי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פלונית יזמה את יחסי המין האוראליים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אף שלשיטתו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הוא קדמו לכך בכי מצדה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והתנגדות לנגיעותיו בישבנה ובשדיה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סבורה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אשר לערעור על חומרת העונש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 כי דינו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אינו מצביע על עילה המצדיקה התערבות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נתן דעתו לטענות שעליהן נסמך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והקל במידה משמעותית בעונשו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שחומרת מעשיו מצדיקה עונש חמור בהרבה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אף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אף קיבל הזדמנות להליך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זה לא צלח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כל הצדקה להקל בעונשו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בדיון שהתקיים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הצדדים על עיקרי טענותיהם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ביקש להדגיש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הבקיעים והסתירות בעדותה של פלונית אינם נוגעים לשאלות של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מניעים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להערכת ההיגיון שבהתנהגותה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למהימנות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נוכח הקשיים בגרסתה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המערער כי לא ניתן להתגבר על הפגם שבאי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העדתה לפני המותב החדש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שיש להחזיר את הדיון לבית המשפט המחוזי לצורך שמיעת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ולחלופין לזכות את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במוקד ההחלטה שלא להעיד את פלונית מחדש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החשש לפגיעה נוספת במצבה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הצורך להעדתה התעורר לאחר שהמערער חזר בו מהודאתו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 שבו כבר החלה בתהליך של הותרת האירוע מאחוריה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מאותם שיקולים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יעלה על הדעת להחזיר את התיק לבית המשפט המחוזי היום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לאחר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ולדרוש הימנה להעיד בשנית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sz w:val="28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  <w:tab/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שעיינתי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שהונח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ובחנתי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רכיביו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לחברַי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שנעשה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בממצאי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ועובדה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כלל גדול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זו דרכה של ערכאת הערעור להתערב ולשנות מן הממצאים </w:t>
      </w:r>
      <w:r>
        <w:rPr>
          <w:rFonts w:ascii="Century" w:hAnsi="Century" w:cs="Century"/>
          <w:rtl w:val="true"/>
        </w:rPr>
        <w:t>העובדתיים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מהימנות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שנקבעו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הערכאה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3914/05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אלחרר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10.11.2008</w:t>
      </w:r>
      <w:r>
        <w:rPr>
          <w:rFonts w:cs="Century" w:ascii="Century" w:hAnsi="Century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6643/05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3.7.2007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טעמו של כלל זה בעדיפותה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בכך שהיא שומעת את העדים ומתרשמת מהם באופן ישיר </w:t>
      </w:r>
      <w:r>
        <w:rPr>
          <w:rFonts w:cs="Century" w:ascii="Century" w:hAnsi="Century"/>
          <w:rtl w:val="true"/>
        </w:rPr>
        <w:t>(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9352/99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יומטוביאן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632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טעם זה מקבל משנה תוקף כאשר במוקד העניין עדותה של קרבן עבירת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שמטבעה עוסקת בנושא טראומטי ואינטימי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מבט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חיצוני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מתוך ציפייה לעדות קוהרנטית וסדורה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עלול לספק תמונה חלקית ובלתי מדויקת </w:t>
      </w:r>
      <w:r>
        <w:rPr>
          <w:rFonts w:cs="Century" w:ascii="Century" w:hAnsi="Century"/>
          <w:rtl w:val="true"/>
        </w:rPr>
        <w:t>(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6375/02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בבקוב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2004</w:t>
      </w:r>
      <w:r>
        <w:rPr>
          <w:rFonts w:cs="Century" w:ascii="Century" w:hAnsi="Century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2694/09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23.6.2010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בדווקנות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היגיון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לסקירת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17.3.2008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8.9.2011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המערער ברוב 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אחת מחוות הדעת המרשיעות נכתבה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התרשמה באופן ישיר מעדותה של פלונית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למותר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שהאזין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שיכריע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4844/09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מסעאד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31.5.2010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אלא שראוי 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ומצוי לחוד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לעיתים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נדרש שופט להכריע בעניין מסוים על אף שלא התרשם ישירות מן העדויות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כזאת אירע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האם בנסיבות אלה יסוג 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ויותיר מקום לבחינה ראשונית מדוקדקת של הממצאים שנקבעו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הטעם המרכזי העומד ביסוד 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 אינו מתקיים במצב דברים זה במלוא עוזו ותוקפו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יתרונו של שופט הערכאה הדיונית שלא התרשם מן העדות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מוגבל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ובמידה רבה נכפה עליו להכריע בשאלות של מהימנות ועובדה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שבהיגיון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בלבד </w:t>
      </w:r>
      <w:r>
        <w:rPr>
          <w:rFonts w:cs="Century" w:ascii="Century" w:hAnsi="Century"/>
          <w:rtl w:val="true"/>
        </w:rPr>
        <w:t>(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8703/96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עמר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764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בהכרעות מעין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מתחם הביקורת על קביעות הערכאה הדיונית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מתרחב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שומה על ערכאת הערעור להיזהר בביקורתה ולהתאים את היקפה לנסיבות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עדות אחת שלא נשמעה במישרין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מצדיקה להתערב מעתה בכלל המסקנות שקבע אותו שופט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במסקנות שנקבעו על סמך אותה עדות צריכה ההתערבות להעשות במשורה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בהם מצביע המערער על פגם בהסקת המסקנות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יתרונה של הערכאה הדיונית אינו מתמצה בקליטה בלתי אמצעית של עדות כזו או אחרת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כוחה בהתרשמות כוללת מכלי ראשון במהלך ניהול המשפט מהחל ועד כלה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מתאפשר לתהות על קנקנן של הנפשות הפועלות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העדויות השונות אינן מנותקות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מבודדות אחת מן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אחת לעצמה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הן מקיימות יחסי גומלין מורכבים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קביעת ממצאי מהימנות ביחס לעדות אחת שנשמעה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עשויה להשליך על מהימנות רעותה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זו לא נשמעה ישירות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בעניין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ישבה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בשלושה מתוך ששת דיוני ההוכחות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שמעה את פרשת ההגנה כולה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ובתוך כך את עדותו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דינם של הממצאים שקבעה על סמך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כדין כל קביעת מהימנות וממצאי עובדה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ביקורתנו תתמקד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סמך מה שנטען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בממצאים שנקבעו לגבי עדותה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רקע המכלול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העמדת גרסתה של פלונית במבחן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השכל הישר והיגיון החיים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מובילה למסקנה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לקבלה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והמסקנה המתחייבת היא שיחסי המין התקיימו בהסכמה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טענתו זו מבוססת הן על סתירות פנימיות בגרסאות שונות שמסרה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 סתירות חיצוניות בין גרסתה לבין עדויות 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בחינת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הסתירות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שקיימות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אינן מערערות את עמוד התווך שעליו נשענת גרסתה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העדר הסכמה למעשי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אבאר את דברי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התייחסות לנקודות המרכזיות שהעלה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סבור שיש לייחס משקל משמעותי לסתירות שנמצאו בין הגרסה שהציגה פלונית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מה שסיפרה לחברתה סמוך לאחר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בעדותה ציינה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שפלונית סיפרה לה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התנגדה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צעקה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3.2.2015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93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וכי המערער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השאיר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להתלבש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ולחזור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לאכסניה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94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בחקירה הנגדית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אישרה החברה כי פלונית סיפרה לה שהמערער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שלוש האמירות הללו אינן עולות בקנה אחד עם הגרסה שמסרה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היא לא צעקה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סתם את פיה עם שפתיו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עם ידו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ובתום האירוע הם חזרו יחד לשער האכסניה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 גם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הנסיבות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שאפפו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האינוס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להסביר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נקלעה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להרחיק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התנגדה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נמלטה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מהמקום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גורס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הסבר זה יכול היה להתקבל אילו היו הסתירות עומדות בפני עצמן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הסבר זה אינו מתיישב עם העובדה שכשעומתה פלונית עם הסתירות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ונשאלה האם חברתה משקרת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השיבה בחיוב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בידי לקבל 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ההסבר שניתן לסתירות בפסק הדין מניח את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סתירות אלה אינן יורדות כלל לשורש גרסתה של פלונית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אם תגובתה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כשעומתה עם הסתירות בחקירה הנגדית היתה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מתגוננת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לא מצאתי כי יש בכך כדי לערער את ההסבר שהוצג לאותן סתירות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להטיל דופי במהימנותה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 גם אינני סבור שעדותו של החבר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נראתה לו פלונית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שמחה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מבסוטה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 חזרתה לאכסניה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פוגעת במהימנות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כלל איני בטוח שניתן לראות בכך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סתירה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כפי שמבקש לטעון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בגרסתה סיפרה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היתה נסערת ואף רעדה שעה שחזרה לאכסניה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השיחה עם החבר היתה קצרה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והתרחשה בשעת ליִל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יתכן כי לא הבחין בסערת הרגשות שבה היתה פלונית נתונה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לא רעדה בעת השיחה איתו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שאין זו סתירה המצדיקה קביעת ממצאים מרחיקי לכת לגבי מהימנותה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קושי משמעותי עולה מגרסאות סותרות שהציגה פלונית לעניין המעבר מ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זירת המזגן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אל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זירת האבן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כשמסרה את הודעתה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מספר שעות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תיארה פלונית את המעבר כדלהלן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ולחץ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ביקשתי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והתחלתי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ברזלים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43-42</w:t>
      </w:r>
      <w:r>
        <w:rPr>
          <w:rFonts w:cs="Century" w:ascii="Century" w:hAnsi="Century"/>
          <w:rtl w:val="true"/>
        </w:rPr>
        <w:t>).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בעדותה בבית המשפט סיפרה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וביקשתי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שיפסיק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והתחננתי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שיחזיר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בשבילי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ובכיתי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וביקשתי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שיפסיק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מסמרים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והתחלתי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לבכות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8.9.2014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בגרסתה הראשונה</w:t>
      </w:r>
      <w:r>
        <w:rPr>
          <w:rFonts w:cs="Century" w:ascii="Century" w:hAnsi="Century"/>
          <w:rtl w:val="true"/>
        </w:rPr>
        <w:t>, '</w:t>
      </w:r>
      <w:r>
        <w:rPr>
          <w:rFonts w:ascii="Century" w:hAnsi="Century" w:cs="Century"/>
          <w:rtl w:val="true"/>
        </w:rPr>
        <w:t>לקח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אותה המערער מהמזגן והשכיבה על האבן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שבגרסה המאוחרת עברה אל האבן מיוזמתה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הגיע בעקבותיה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שתי הגרסאות אינן עולות בקנה אחד עם גרסת המערער בעדותו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לציצי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בציצי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שהתנשקנו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הוציאה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ועשתה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3.2.2016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110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טוען שהקושי שמתעורר מחמת הסתירות בגרסתה של פלונית מתעצם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התנהגותה לאחר המעבר אל האבן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בפרט תמה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אם אכן עברה לאחר ש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קמה בכוח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מהמזגן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מדוע הלכה דווקא לאבן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עזבה את המקום</w:t>
      </w:r>
      <w:r>
        <w:rPr>
          <w:rFonts w:cs="Century" w:ascii="Century" w:hAnsi="Century"/>
          <w:rtl w:val="true"/>
        </w:rPr>
        <w:t>?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כשנשאלה על כך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השיבה פלונית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לברוח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חושבת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בכיס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ירדוף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יעשה</w:t>
      </w:r>
      <w:r>
        <w:rPr>
          <w:rFonts w:cs="Miriam" w:ascii="Century" w:hAnsi="Century"/>
          <w:b/>
          <w:spacing w:val="0"/>
          <w:szCs w:val="24"/>
          <w:rtl w:val="true"/>
        </w:rPr>
        <w:t>?"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8.9.2014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מקור ההשערה שברשותו של המערער היתה סכין לא הובהר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וגרסתה של פלונית לעניין זה לא התקבלה בבית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קבעה השופטת הלמן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על מנת לקבל את גרסתה של פלונית לא נדרש הסבר חותך לשאלה מדוע לא עזבה את המקום בעת המעבר לזירת האבן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כלשונה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לשפוט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קורבנות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להאמין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יקשיב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לצרכיה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מוסכמת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מלין על הסבר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בהיותו מנוגד להסבר שהציגה פלונית עצמה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הפער בגרסתה מהווה ראיה נוספת לחוסר מהימנותה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ומחזק את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פלונית עברה בעקבותיו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מרצונה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זירת האבן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לא מצאתי ממש בטענה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קביעתה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מעוגנת היטב בגישה הנוהגת בפסיקה לגבי עדות של קורבנות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לא ניתן להתבונן בהתנהגותם דרך משקפי התבונה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לבחנה בכליו של ההיגיון הקר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קרבן העבירה שתקה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קפאה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התנגדה ולא ברחה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חיפשה את קרבתו של התוקף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בה כדי להעיד כי הסכימה למעשים </w:t>
      </w:r>
      <w:r>
        <w:rPr>
          <w:rFonts w:cs="Century" w:ascii="Century" w:hAnsi="Century"/>
          <w:rtl w:val="true"/>
        </w:rPr>
        <w:t>(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316/85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גרינוולד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564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3217/14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31.7.2016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בסתירות בגרסאות של קרבן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בסתירות בין הגרסה שמסרה בחקירתה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סמוך לאירוע הטראומטי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זו שמסרה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כדי לשלול את מהימנות הסיפור שסיפרה </w:t>
      </w:r>
      <w:r>
        <w:rPr>
          <w:rFonts w:cs="Century" w:ascii="Century" w:hAnsi="Century"/>
          <w:rtl w:val="true"/>
        </w:rPr>
        <w:t>(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3273/09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 כג</w:t>
      </w:r>
      <w:r>
        <w:rPr>
          <w:rFonts w:cs="Century" w:ascii="Century" w:hAnsi="Century"/>
          <w:rtl w:val="true"/>
        </w:rPr>
        <w:t xml:space="preserve">;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8886/14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15.03.2016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Century"/>
            <w:rtl w:val="true"/>
          </w:rPr>
          <w:t>שולמית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אלמוג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טראומה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נראטיב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ומשפט</w:t>
        </w:r>
      </w:hyperlink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דורנר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143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154-152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באמור כדי להפחית מן הרף הראייתי הנדרש על מנת להרשיע בעבירות מין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נאשם יורשע רק כאשר הוכחה אשמתו מעבר לספק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שהוכחה זו תחתך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הערכת ליבת גרסתה של קרבן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ובחינה האם היא מלמדת על התקיימותם של יסודות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עמדה על כך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שטרסברג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הגרעין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והחיזוקים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מאפשרים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4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993/00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נור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</w:t>
        </w:r>
        <w:r>
          <w:rPr>
            <w:rStyle w:val="Hyperlink"/>
            <w:rFonts w:cs="Century" w:ascii="Century" w:hAnsi="Century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rtl w:val="true"/>
          </w:rPr>
          <w:t>מדינת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205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בסתירה בין גרסאותיה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בעמימות שנותרה אופפת את המעבר לזירת האבן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להשפיע על התמונה הכוללת שהצטיירה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פלונית לא הסכימה למעשים שעשה בה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המסרונים ששלחה לו פלונית מעידים על המניע האמיתי שבבסיס תלונתה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ומקימים כשלעצמם את הספק הסביר המצדיק את זיכויו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שובה לאכסניה התקשרה פלונית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משלא 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שלחה לו הודעה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חתיכת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לה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מתקשרת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מסובך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 בתשובה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כך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']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ולאחר שכתבה פלונית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התקשרתי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", </w:t>
      </w:r>
      <w:r>
        <w:rPr>
          <w:rFonts w:ascii="Century" w:hAnsi="Century" w:cs="Century"/>
          <w:rtl w:val="true"/>
        </w:rPr>
        <w:t>השיב לה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לסבך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כמוני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וחסם את האפשרות לקבל ממנה מסרונים נוספים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כשנשאלה בחקירתה מיום </w:t>
      </w:r>
      <w:r>
        <w:rPr>
          <w:rFonts w:cs="Century" w:ascii="Century" w:hAnsi="Century"/>
        </w:rPr>
        <w:t>10.3.2014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מדוע שלחה את המסרונים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ענתה פלונית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טלפוני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ובתגובה לשאלה מה רצתה להשיג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אונס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כשנתבקשה להסביר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הוסיפה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התנגדתי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13-10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למחרת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הגיעה פלונית לחקירה נוספת על מנת למסור הבהרה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והסבירה כך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התכוונתי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תגובתו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ונעלם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החלטתי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לשלוח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הרגשתי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מושפלת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ונחותה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הוסיף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הפצעים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4-2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13-11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כשנשאלה אם היתה מגישה את התלונה גם אילו היה המערער עונה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השיבה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פעמיים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תלונה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לברר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ורציתי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להבהיר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להסכמתי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מרצוני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בהסכמתי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ונטרל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ההתנגדות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שורות </w:t>
      </w:r>
      <w:r>
        <w:rPr>
          <w:rFonts w:cs="Century" w:ascii="Century" w:hAnsi="Century"/>
        </w:rPr>
        <w:t>17-15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ההתכתבות מלמדת על כך שהפגיעה שחשה פלונית היתה על כך שגילתה שחיפש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קיום יחסי המין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וששיקר לה בדבר העניין שגילה בקשר עמה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האיום על פנייה למשטרה מוכיח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יסוד התלונה בפגיעה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הסבריה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שניתנו לאחר שבחקירתה הראשונה לא דיווחה על קיום ההתכתבות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מחזקים את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עולה מהם כי הפגיעה נגרמה עקב היחס המשפיל לו זכתה מהמערער לאחר קיום יחסי המין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לא התייחסה למסרונים ולתוכנם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cs="Century"/>
          <w:rtl w:val="true"/>
        </w:rPr>
        <w:t xml:space="preserve"> לא יִחס להם את המשקל המתבקש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המסרונים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להתרשמותו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ההסבר שסיפקה פלונית כן ומשכנע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מציאותי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בניגוד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מסקנה אפשרית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מבוססת 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התרשמותו מפלונית בעת מסירת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 חזרה על ההסבר שסיפקה לשליחת ההודעות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אמנם לא התייחסה למסרונים במפורש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כן התייחסה להתנהגותה של פלונית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ועמדה על כך שאין בה כדי לערער את מהימנות גרסתה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קבעה לעניין זה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לשפוט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בדיעבד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מבוגר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המפעיל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בסיטואציה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שלווה</w:t>
      </w:r>
      <w:r>
        <w:rPr>
          <w:rFonts w:cs="Miriam" w:ascii="Century" w:hAnsi="Century"/>
          <w:b/>
          <w:spacing w:val="0"/>
          <w:szCs w:val="24"/>
          <w:rtl w:val="true"/>
        </w:rPr>
        <w:t>.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הנטען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וציפתה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תשומת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וחיבה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טראומטי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הבטחות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לשוחח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וההשפלה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עימה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ולהיפך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שהשמיע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מתמודדת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לרצונה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נימוקיה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מקובלים עלי במלואם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אל לנו לטעות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ספסל הנאשמים יושב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מקומה של פלונית על דוכן העדים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התנהגות קרבן העבירה לאחר האירוע אינה מוקד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לדקדק בבחינתה אלא מקום שיש בכוחה להאיר ישירות על מעשה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עמדה על כך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Fonts w:ascii="Century" w:hAnsi="Century" w:cs="Century"/>
          <w:rtl w:val="true"/>
        </w:rPr>
        <w:t xml:space="preserve"> בציינה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הציפייה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שמסיטה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מהמוקד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בשנייה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842/14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7.2.2017</w:t>
      </w:r>
      <w:r>
        <w:rPr>
          <w:rFonts w:cs="Century" w:ascii="Century" w:hAnsi="Century"/>
          <w:rtl w:val="true"/>
        </w:rPr>
        <w:t>)).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כך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הניסיון להתקשר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חיפוש הקרבה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הפגיעה שחשה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המסרונים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האיום המשתמע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אין בהם כדי ללמד על הסכמתה של פלונית לקיום יחסי המין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כשלעצמם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בהצטרף למכלול הראיות שנפרשו לפנינו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והפגמים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גרסת המערער לאירועים חופפת לגרסתה של פלונית במספר נקודות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משתי הגרסאות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תחילה התנשקו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נגע המערער בישבנה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 הסיטה את 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מוסכם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נגע לפלונית בחזה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בגרסה שסיפר בחקירתו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אישר כי הכאיב 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כפי שטענה פלונית בגרסתה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אולם בעדותו בבית המשפט חזר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 אין חולק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בשלב מוקדם ביקשה פלונית מהמערער שייקח אותה חזרה לאכסניה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הוא לא שעה לדבריה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שניהם מסכימים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עובר לקיום יחסי המין האוראליים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בכתה פלונית וקראה כי היא רוצה את 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אין חולק אפוא כי ראשיתו של האירוע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ביוזמה אגרסיבית מצד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הסכמה מצד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באמירות ברורות מצדה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בנקודות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סותרת גרסת המערער באופן חזיתי את זו של פלונית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 משמעותי מן המעשים נעשה ביוזמתה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עוד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זירת המזגן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אחרי שנגע בישבנה ובשדיה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הוציאה פלונית את איבר מינו ושפשפה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מעשה זה לא נזכר בגרסתה הראשונה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וכשעומתה עם הטענה בחקירתה הנגדית סיפרה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האמור אירע ב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זירת האבן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ובניגוד לרצונה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למין האוראלי סיפר המערער בגרסתו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הדבר נעשה גם הוא ביוזמתה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מיד לאחר שבכתה וקראה לאמה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לדבריו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לבכות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וניגבה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בוכה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שתרצי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והבאתי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חיבוק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הברכיים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המכנסיים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והתחתונים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ירדה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פרוטוקול מיום </w:t>
      </w:r>
      <w:r>
        <w:rPr>
          <w:rFonts w:cs="Century" w:ascii="Century" w:hAnsi="Century"/>
        </w:rPr>
        <w:t>3.2.2016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111-110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המערער כי יחסי המין התקיימו בהסכמתה של פלונית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נשכבנו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התנשקנו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ונגעתי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אוריד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הטייץ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להוריד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תזיז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הזזתי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התחתונים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ללבוש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קונדום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?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הקונדום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להכניס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תוציא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15-10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סיימתי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בעמוד </w:t>
      </w:r>
      <w:r>
        <w:rPr>
          <w:rFonts w:cs="Century" w:ascii="Century" w:hAnsi="Century"/>
        </w:rPr>
        <w:t>111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ברוב דעות קבע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גרסתו של המערער לאירועים אינה 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 להעדיף את גרסתה של פלונית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cs="Century"/>
          <w:rtl w:val="true"/>
        </w:rPr>
        <w:t xml:space="preserve">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לעתים נראה שהמערער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לתעתע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התרשם שעסקינן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מניפולטיבי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לרגליו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בלשון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המעטה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הוסיפה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עדותו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הותירה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פתלתלה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והסבריו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דחוקים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אמינים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). (</w:t>
      </w:r>
      <w:r>
        <w:rPr>
          <w:rFonts w:ascii="Century" w:hAnsi="Century" w:cs="Century"/>
          <w:rtl w:val="true"/>
        </w:rPr>
        <w:t>יוזכר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שלא כפי שהיה לגבי עדותה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התרשמה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הלמן</w:t>
      </w:r>
      <w:r>
        <w:rPr>
          <w:rFonts w:ascii="Century" w:hAnsi="Century" w:cs="Century"/>
          <w:rtl w:val="true"/>
        </w:rPr>
        <w:t xml:space="preserve"> באופן ישיר ובלתי אמצעי מעדותו של המערער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לגוף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גרסתו של המערער אינה מניחה את הדעת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סיפק כל הסבר לשינויים הפתאומיים והקיצוניים בהתנהגותה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גרסתו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רגע אחד היא מתנגדת למגעו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ומיד לאחר מכן היא מוציאה את איבר מינו ומשפשפת אותו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רגע אחד היא בוכה וקוראת לאמה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ורגע אחר כך יוזמת את קיום יחסי המין האוראליים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לשיטת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לקבל את 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שהיתה בעיקרה מהימנה ועקבית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התערבות מצידנו בקביעת המהימנות של בית המשפט המחוזי מוצדקת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היא נסמכת בעיקרה על סתירות בין עדותו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הגרסה שמסר בחקירתו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שכאמור לעיל נערכה תוך הפרת הוראות חוק הנוער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מתיעוד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שהתקיימה בשעה </w:t>
      </w:r>
      <w:r>
        <w:rPr>
          <w:rFonts w:cs="Century" w:ascii="Century" w:hAnsi="Century"/>
        </w:rPr>
        <w:t>5:00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לפנות בוקר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קל להבחין בעייפות ובבלבול אצל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שבשלב מסוים אף נרדם אל מול פניו של החוקר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אף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בתיעוד החקירה נפלו פגמים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שהתמלול אינו תואם את דבריו של המערער כפי שאלה נשמעים בהקלטה בחלקים מסוימים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הללו סבור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לזקוף לחובתו סתירות שהתעוררו בין גרסאותיו המאוחרות יותר לבין הגרסה שמסר בחקירה הראשונה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בדין קבע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צרפתי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לעניין סתירות אלה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לפעול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>]"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94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ושגה בית המשפט בכך שייחס להן משקל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שכן משקל מהותי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אין בידי לקבל את טענות המערער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קביעת המשקל שיש לייחס לראיה מסוימת נטועה בלב שיקול הדעת המסור לערכאה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שופטי הרוב היו מודעים היטב לנסיבות הבעייתיות שבהן נערכה החקירה המשטרתית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והביעו את מורת רוחם מכך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 קבעו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בנסיבות אלה כדי לאיין את המשקל שיש לייחס לדברים שאמר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קביעה זו נסמכה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כך שהדברים שמסר המערער בתחילה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ואחר כך התנער מהם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עולים בקנה אחד עם הודעתה של פלונית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שטענה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עיון בפסק הדין מעלה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ממצאי המהימנות ביחס למערער נקבעו במידה רבה על סמך עדותו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רק על סמך חקירתו הראשונה במשטרה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כשנתבקש המערער במהלך עדותו להבהיר אילו פרטים מתוך אלה שמסר בחקירה אינם מדויקים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מיאן לעשות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וענה באופן מתפתל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את הציטטות בעמודים </w:t>
      </w:r>
      <w:r>
        <w:rPr>
          <w:rFonts w:cs="Century" w:ascii="Century" w:hAnsi="Century"/>
        </w:rPr>
        <w:t>344-341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בערעור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מספק המערער הסבר מניח את הדעת ל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שינוי הלבבות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הנטען של פלונית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נפל פגם בשיקול הדעת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ודאי לא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היורדת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לשורשו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כטענת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בהכרעת הדין לא ניתן משקל הולם למאפייני אישיותו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שאלה עולים מחוות הדעת הפסיכולוגית שנערכה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והוגשה מטעם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בחוות הדעת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פעילותו השכלית הממוצעת של המערער היא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גבולית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ותפקודו תואם את האבחנה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שמופיעה במדריך הפסיכיאטרי העדכני </w:t>
      </w:r>
      <w:r>
        <w:rPr>
          <w:rFonts w:cs="Century" w:ascii="Century" w:hAnsi="Century"/>
          <w:rtl w:val="true"/>
        </w:rPr>
        <w:t>(</w:t>
      </w:r>
      <w:r>
        <w:rPr>
          <w:rFonts w:cs="Times New Roman" w:ascii="Times New Roman" w:hAnsi="Times New Roman"/>
          <w:bCs/>
          <w:spacing w:val="0"/>
          <w:sz w:val="20"/>
          <w:szCs w:val="22"/>
        </w:rPr>
        <w:t>DSM-5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תחת הכותרת </w:t>
      </w:r>
      <w:r>
        <w:rPr>
          <w:rFonts w:cs="Times New Roman" w:ascii="Times New Roman" w:hAnsi="Times New Roman"/>
          <w:bCs/>
          <w:spacing w:val="0"/>
          <w:sz w:val="24"/>
          <w:szCs w:val="26"/>
          <w:rtl w:val="true"/>
        </w:rPr>
        <w:t>'</w:t>
      </w:r>
      <w:r>
        <w:rPr>
          <w:rFonts w:cs="Times New Roman" w:ascii="Times New Roman" w:hAnsi="Times New Roman"/>
          <w:bCs/>
          <w:spacing w:val="0"/>
          <w:sz w:val="24"/>
          <w:szCs w:val="26"/>
        </w:rPr>
        <w:t>Intellectual</w:t>
      </w:r>
      <w:r>
        <w:rPr>
          <w:rFonts w:cs="Times New Roman" w:ascii="Times New Roman" w:hAnsi="Times New Roman"/>
          <w:bCs/>
          <w:spacing w:val="0"/>
          <w:sz w:val="20"/>
          <w:szCs w:val="22"/>
        </w:rPr>
        <w:t xml:space="preserve"> </w:t>
      </w:r>
      <w:r>
        <w:rPr>
          <w:rFonts w:cs="Times New Roman" w:ascii="Times New Roman" w:hAnsi="Times New Roman"/>
          <w:bCs/>
          <w:spacing w:val="0"/>
          <w:sz w:val="24"/>
          <w:szCs w:val="26"/>
        </w:rPr>
        <w:t>Disabilities</w:t>
      </w:r>
      <w:r>
        <w:rPr>
          <w:rFonts w:cs="Times New Roman" w:ascii="Times New Roman" w:hAnsi="Times New Roman"/>
          <w:bCs/>
          <w:spacing w:val="0"/>
          <w:sz w:val="24"/>
          <w:szCs w:val="26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('</w:t>
      </w:r>
      <w:r>
        <w:rPr>
          <w:rFonts w:ascii="Century" w:hAnsi="Century" w:cs="Century"/>
          <w:rtl w:val="true"/>
        </w:rPr>
        <w:t>לקויות שכליות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לקויות שכליות התפתחותיות</w:t>
      </w:r>
      <w:r>
        <w:rPr>
          <w:rFonts w:cs="Century" w:ascii="Century" w:hAnsi="Century"/>
          <w:rtl w:val="true"/>
        </w:rPr>
        <w:t xml:space="preserve">'). 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יגיל התרשם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הליקוי בכושרו השכלי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מפריע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תקשורת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מבוססת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החברתיות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המקובלות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נמוכה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לזולת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לרמזים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ולמסרים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בתקשורת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הבין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להיקלע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הסיטואציה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עמוד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סבור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בהתייחס לאמור שגה בית המשפט בשני מישורים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הדעת מערערת את הקביעה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המערער הוא נער מניפולטיבי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מנסה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להתל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בבית המשפט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בחוות הדעת כדי לתמוך בטענת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לאחר שהתקבלה גרסתה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 בית המשפט לקבוע שהוא לא היה מודע לחוסר הסכמתה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ולזכּותו נוכח העדר קיומו של היסוד הנפשי הנדרש להרשעה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מפנה לכך שחוות הדעת אומצה במסגרת 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ושימשה כנסיבה המצדיקה הקלה עם המערער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על צדקת זיכויו יש ללמוד מדבריו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ascii="Century" w:hAnsi="Century" w:cs="Century"/>
          <w:rtl w:val="true"/>
        </w:rPr>
        <w:t xml:space="preserve"> בתחילת פסק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סברתי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הפסיכולוג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יגיל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דין טענותיו של המערער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בחוות דעתו מציין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בראיון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נמנע המערער מלהתייחס במפורש לאירוע שבגינו הועמד לדין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התרשמותו מבוססת אפוא על התפקוד הקוגניטיבי הכללי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בהתרשמות זו כדי לפגום בקביעת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מעוגנת היטב בנסיבות המקרה הקונקרטי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ראיותיו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הקביעה לעניין מניפולטיביות ותחכום מצדו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נסמכת במידה רבה על הצורה שבה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ניסה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לתמרן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את פלונית לקיים עמו יחסי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הבטחת הבטחות שווא לגבי כוונותיו ליצור עמה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קשר רציני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 xml:space="preserve">המערער כינה את התנהגותו הפעלת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פוליטיקה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התרשם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מדובר בהתנהגות של מי שאינו מבין בתקשורת בין המינים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התחשב בית המשפט בצורה בה התבטא המערער בחקירותיו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כי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למוגבלותו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הנטענת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cs="Miriam" w:ascii="Century" w:hAnsi="Century"/>
          <w:b/>
          <w:spacing w:val="0"/>
          <w:szCs w:val="24"/>
          <w:rtl w:val="true"/>
        </w:rPr>
        <w:t>, 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והתרשמותי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בינונית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ואופן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להגדירו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כמוגבל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אפילו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כמתקרב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Cs w:val="24"/>
          <w:rtl w:val="true"/>
        </w:rPr>
        <w:t>!"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94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קביעתו של בית המשפט אין עניינה ברמתו הקוגניטיבית של המערער לצורך הערכת יכולתו הלימודית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הקביעה נדרשה לצורך התרשמות בית המשפט מהצורה שבה הבין המערער את השאלות שהפנו אליו באי כוח הצדדים ובית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לצורך הבנת המשמעות שיש לייחס לתשובותיו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חוות הדעת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כבודה במקומה מונח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היא אינה תחליף לשיקול דעתו של שופט המתרשם ישירות מתשובותיו של עד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גם לעניין התקיימות היסוד הנפשי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טעם טוב להתערב בקביעותיו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לשם הרשעת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די ביסוד נפשי של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עצימת עיניים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בחשד שקינן בלבו כי פלונית אינה מעוניינת במגע המיני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חשד שאותו נמנע המערער מלברר </w:t>
      </w:r>
      <w:r>
        <w:rPr>
          <w:rFonts w:cs="Century" w:ascii="Century" w:hAnsi="Century"/>
          <w:rtl w:val="true"/>
        </w:rPr>
        <w:t>(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די בגרסתו של המערער כדי לראות את תמרורי האזהרה הרבים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בהם על מנת להקים חשד זה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התנגדות פלונית למגע בישבנה ובשדיה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בקשתה לחזור לאכסניה לאחר זמן קצר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בכיה בנקודות שונות וקריאתה לאמהּ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אמירתה שהיא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לא כזאת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אותה הסביר המערער בעדותו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מתכוונת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חוסר הרצון והעדר הסכמה שעולים מהתנהגותה בנקודות שונות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כלום ניתן לקבל בנסיבות אלה 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מהתנהגותה הסיק הסכמה מצדה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המערער 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למד על הסכמתה של פלונית מכך 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התנגדה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ומכך שהשיבה בחיוב על שאלתו האם לשים קונדום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לכך שעל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שהתקבלה בעיקרה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בהחלט התנגדה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בהתנהגות זו כדי ללמד על הסכמה נוכח תמרורי האזהרה שהופיעו באותות ובמופתים לפני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כוונת הדברים איננה שהיה על המערער להבין את חוסר הסכמתה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כי אדם סביר בנעליו היה מבין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כי בהינתן האמור אין יסוד לטענתו כי לא קינן בו חשד לעניין חוסר הסכמתה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כי נחה דעתו שחשד זה אינו מבוסס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איני רואה לייחס חשיבות לדבריו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לפיהם בתחילת הדרך חשב לזכות את המערער נוכח הספק שעוררה בו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 יגיל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כפי שציין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לאחר ששקל בדברים הגיע למסקנה כי ספק זה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מאליו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כשלעצמי סבורני כי בדין הגיע למסקנה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גם קבלת הטענה לעניין מוגבלותו השכלית כנסיבה מקלה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עומדת בסתירה להתקיימות היסוד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שנקבע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מוגבלותו זו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הריהי רלוונטית לעניין המשקל שיש לייחס לאי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הצלחת האפיק הטיפולי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 גם ליכולתו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והטראומה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הנגרמים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cs="Miriam" w:ascii="Century" w:hAnsi="Century"/>
          <w:b/>
          <w:spacing w:val="0"/>
          <w:szCs w:val="24"/>
          <w:rtl w:val="true"/>
        </w:rPr>
        <w:t>]"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64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הדבר אינו עומד בסתירה ליכולתו להבין את העדר הסכמתה של 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שהבין זאת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הגיע למסקנה שהרשעתו של המערער הוכחה מעבר לספק סביר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מסקנתו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נכונה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משנדחו טענותיו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לקבוע כי בדין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אציע לחברַי לעשות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דחיית הערעור על הכרעת הדין ביקש המערער 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נורה על הקלה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שיוטל עליו עונש מאסר לריצוי בדרך של עבודות שירות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הפחתת הפיצוי הכספי שעליו לשלם לפלונית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ראיתי הצדקה להעתר לבקשתו זו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ערכאת הערעור מתערבת בשיקול הדעת שהפעילה הערכאה הדיונית בגזירת העונש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התערבות כאמור שמורה למצבים 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שבהם נפלה טעות מהותית בהחלטת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שהעונש שגזרה חורג באופן קיצוני ממדיניות הענישה הנוהגת במקרים דומים </w:t>
      </w:r>
      <w:r>
        <w:rPr>
          <w:rFonts w:cs="Century" w:ascii="Century" w:hAnsi="Century"/>
          <w:rtl w:val="true"/>
        </w:rPr>
        <w:t>(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1242/97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3.2.1998</w:t>
      </w:r>
      <w:r>
        <w:rPr>
          <w:rFonts w:cs="Century" w:ascii="Century" w:hAnsi="Century"/>
          <w:rtl w:val="true"/>
        </w:rPr>
        <w:t xml:space="preserve">);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3091/08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העניין שלפנינו אינו בא בגדר אותם מצבים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אינו מצביע על פגם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טעות מהותית שנפלה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חוזר המערער על עיקרי הטענות שטען לעונש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טענותיו לעניין הטלטלה שחווה מהמאסר אשר אותו הוא מרצה בימים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ההשפעה הקשה שתהיה לעונש המאסר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קטינותו במועד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והזמן הרב שחלף ממועד 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הוא מוסיף את החרטה שחש על הפגיעה שגרמה התנהגותו לפלונית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שהוא עומד על חפותו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אינו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נמנע מלתת דעתו על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כי בהתחשב בנסיבות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החמיר עמו יתר על המידה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כלשונו של המערער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מעיקרם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שליחתו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שגויה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47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אין בידי לקבל טענה זו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יִחס משקל משמעותי לנסיבותיו האישיות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עונש המאסר שנגזר עליו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שמשכו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קל שבקלים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בחומרת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להקל עמו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עד כדי ביטול עונש המאסר מאחורי סורג ובריח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נוכל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מצאתי הצדקה להתערב בשיעור הפיצוי הכספי שהמערער חויב בתשלומו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מדובר בסכום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לסכומי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המוטלים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קטינים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לנוער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נטענה בעלמא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כל אסמכתאות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אינה משכנעת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הפיצוי משקף רק מקצת מן הראוי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למעשה העבירה ולתוצאתו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בגופה ובנפשה של פלונית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לדחות את הערעור על הכרעת הדין ועל גזר הדין כאחד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הוקלטה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אופטימליים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ההרכב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להשקפתי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שצידדה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".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'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האינטראקציה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באינטראקציה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...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ליוזמותיו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קונדום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102</w:t>
      </w:r>
      <w:r>
        <w:rPr>
          <w:rtl w:val="true"/>
        </w:rPr>
        <w:t xml:space="preserve">).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יוצרות</w:t>
      </w:r>
      <w:r>
        <w:rPr>
          <w:rtl w:val="true"/>
        </w:rPr>
        <w:t xml:space="preserve">. 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)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 xml:space="preserve">.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tl w:val="true"/>
        </w:rPr>
        <w:t xml:space="preserve">, </w:t>
      </w:r>
      <w:r>
        <w:rPr>
          <w:rtl w:val="true"/>
        </w:rPr>
        <w:t>ובנסיבותיו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ובמעמסה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שחזור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בחיטוט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993/00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205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233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2002</w:t>
      </w:r>
      <w:r>
        <w:rPr>
          <w:rFonts w:cs="Century" w:ascii="Century" w:hAnsi="Century"/>
          <w:rtl w:val="true"/>
        </w:rPr>
        <w:t>))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העדות החוזרת הייתה עלולה לגרום לשחזור כפול מסוג זה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ושהשלכתה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ויכולותיו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הגבוהות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כקשה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ind w:end="0"/>
        <w:jc w:val="end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שני עניינים הטרידו את מנוחתי במיוחד בפסק דינו של בית המשפט המחוזי ובהתנהלותו הדיונית אשר הובילו אותי למסקנה שונה מחבריי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textAlignment w:val="baseline"/>
        <w:rPr/>
      </w:pPr>
      <w:r>
        <w:rPr>
          <w:rtl w:val="true"/>
        </w:rPr>
        <w:t>העניין הראשון הוא החלטת בית המשפט המחוזי שלא לשמוע את עדותה של המתלוננת בשנית</w:t>
      </w:r>
      <w:r>
        <w:rPr>
          <w:rtl w:val="true"/>
        </w:rPr>
        <w:t xml:space="preserve">, </w:t>
      </w:r>
      <w:r>
        <w:rPr>
          <w:rtl w:val="true"/>
        </w:rPr>
        <w:t>נוכח החלפת ראש המותב</w:t>
      </w:r>
      <w:r>
        <w:rPr>
          <w:rtl w:val="true"/>
        </w:rPr>
        <w:t xml:space="preserve">. </w:t>
      </w:r>
      <w:r>
        <w:rPr>
          <w:rtl w:val="true"/>
        </w:rPr>
        <w:t>העניין השני הוא נסיבות חקירת המערער</w:t>
      </w:r>
      <w:r>
        <w:rPr>
          <w:rtl w:val="true"/>
        </w:rPr>
        <w:t xml:space="preserve">: </w:t>
      </w:r>
      <w:r>
        <w:rPr>
          <w:rtl w:val="true"/>
        </w:rPr>
        <w:t>לאחר לילה ללא שינה</w:t>
      </w:r>
      <w:r>
        <w:rPr>
          <w:rtl w:val="true"/>
        </w:rPr>
        <w:t xml:space="preserve">; </w:t>
      </w:r>
      <w:r>
        <w:rPr>
          <w:rtl w:val="true"/>
        </w:rPr>
        <w:t>ללא נוכחות הוריו</w:t>
      </w:r>
      <w:r>
        <w:rPr>
          <w:rtl w:val="true"/>
        </w:rPr>
        <w:t xml:space="preserve">; </w:t>
      </w:r>
      <w:r>
        <w:rPr>
          <w:rtl w:val="true"/>
        </w:rPr>
        <w:t>ללא מתן אפשרות להתייעץ עם עורך דין טרם חקירתו</w:t>
      </w:r>
      <w:r>
        <w:rPr>
          <w:rtl w:val="true"/>
        </w:rPr>
        <w:t xml:space="preserve">; </w:t>
      </w:r>
      <w:r>
        <w:rPr>
          <w:rtl w:val="true"/>
        </w:rPr>
        <w:t>ללא דיווח לסניגוריה הציבורית על מעצרו עובר לחקירתו</w:t>
      </w:r>
      <w:r>
        <w:rPr>
          <w:rtl w:val="true"/>
        </w:rPr>
        <w:t xml:space="preserve">; </w:t>
      </w:r>
      <w:r>
        <w:rPr>
          <w:rtl w:val="true"/>
        </w:rPr>
        <w:t xml:space="preserve">הכול מבלי שניתנו האישורים הנדרשים לפי 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חוק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הנוער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>
          <w:rStyle w:val="1"/>
          <w:rFonts w:ascii="Century" w:hAnsi="Century" w:cs="Century"/>
          <w:b w:val="false"/>
          <w:bCs w:val="false"/>
        </w:rPr>
      </w:pPr>
      <w:r>
        <w:rPr>
          <w:rFonts w:ascii="Century" w:hAnsi="Century" w:cs="Century"/>
          <w:sz w:val="22"/>
          <w:sz w:val="22"/>
          <w:rtl w:val="true"/>
        </w:rPr>
        <w:t>באשר לעניין הראשון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הכלל הוא שלפני כל שופט היושב בדין 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ascii="Century" w:hAnsi="Century" w:cs="Century"/>
          <w:sz w:val="22"/>
          <w:sz w:val="22"/>
          <w:rtl w:val="true"/>
        </w:rPr>
        <w:t xml:space="preserve">יפרס המסכת הראייתית </w:t>
      </w:r>
      <w:r>
        <w:rPr>
          <w:rFonts w:ascii="Century" w:hAnsi="Century" w:cs="Century"/>
          <w:sz w:val="22"/>
          <w:sz w:val="22"/>
          <w:rtl w:val="true"/>
        </w:rPr>
        <w:t xml:space="preserve">במלואה </w:t>
      </w:r>
      <w:r>
        <w:rPr>
          <w:rFonts w:ascii="Century" w:hAnsi="Century" w:cs="Century"/>
          <w:sz w:val="22"/>
          <w:sz w:val="22"/>
          <w:rtl w:val="true"/>
        </w:rPr>
        <w:t>והוא יתרשם ממכלול הראיות מכלי ראשון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5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נוסח חדש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תשמ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1982</w:t>
      </w:r>
      <w:r>
        <w:rPr>
          <w:rStyle w:val="1"/>
          <w:rFonts w:cs="Century" w:ascii="Century" w:hAnsi="Century"/>
          <w:sz w:val="22"/>
          <w:rtl w:val="true"/>
        </w:rPr>
        <w:t xml:space="preserve"> </w:t>
      </w:r>
      <w:r>
        <w:rPr>
          <w:rStyle w:val="1"/>
          <w:rFonts w:cs="Century" w:ascii="Century" w:hAnsi="Century"/>
          <w:b w:val="false"/>
          <w:bCs w:val="false"/>
          <w:sz w:val="22"/>
          <w:rtl w:val="true"/>
        </w:rPr>
        <w:t>(</w:t>
      </w:r>
      <w:r>
        <w:rPr>
          <w:rStyle w:val="1"/>
          <w:rFonts w:ascii="Century" w:hAnsi="Century" w:cs="Century"/>
          <w:b w:val="false"/>
          <w:b w:val="false"/>
          <w:bCs w:val="false"/>
          <w:sz w:val="22"/>
          <w:sz w:val="22"/>
          <w:rtl w:val="true"/>
        </w:rPr>
        <w:t>להלן</w:t>
      </w:r>
      <w:r>
        <w:rPr>
          <w:rStyle w:val="1"/>
          <w:rFonts w:cs="Century" w:ascii="Century" w:hAnsi="Century"/>
          <w:b w:val="false"/>
          <w:bCs w:val="false"/>
          <w:sz w:val="22"/>
          <w:rtl w:val="true"/>
        </w:rPr>
        <w:t>: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 </w:t>
      </w:r>
      <w:r>
        <w:rPr>
          <w:rStyle w:val="1"/>
          <w:rFonts w:ascii="Century" w:hAnsi="Century" w:cs="Miriam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ה</w:t>
      </w:r>
      <w:hyperlink r:id="rId56">
        <w:r>
          <w:rPr>
            <w:rStyle w:val="Hyperlink"/>
            <w:rFonts w:ascii="Century" w:hAnsi="Century" w:cs="Miriam"/>
            <w:b w:val="false"/>
            <w:b w:val="false"/>
            <w:bCs w:val="false"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 w:val="false"/>
            <w:bCs w:val="false"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 w:val="false"/>
            <w:b w:val="false"/>
            <w:bCs w:val="false"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)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קובע לאמור</w:t>
      </w:r>
      <w:r>
        <w:rPr>
          <w:rStyle w:val="1"/>
          <w:rFonts w:cs="Century" w:ascii="Century" w:hAnsi="Century"/>
          <w:b w:val="false"/>
          <w:bCs w:val="false"/>
          <w:rtl w:val="true"/>
        </w:rPr>
        <w:t>:</w:t>
      </w:r>
      <w:r>
        <w:rPr>
          <w:rStyle w:val="1"/>
          <w:rFonts w:cs="Century" w:ascii="Century" w:hAnsi="Century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Style w:val="1"/>
          <w:rFonts w:ascii="Century" w:hAnsi="Century" w:cs="Century"/>
          <w:b w:val="false"/>
          <w:bCs w:val="false"/>
        </w:rPr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</w:t>
      </w:r>
      <w:r>
        <w:rPr>
          <w:rtl w:val="true"/>
        </w:rPr>
        <w:t xml:space="preserve">; </w:t>
      </w:r>
      <w:r>
        <w:rPr>
          <w:rtl w:val="true"/>
        </w:rPr>
        <w:t>הוחל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</w:t>
      </w:r>
      <w:r>
        <w:rPr>
          <w:rtl w:val="true"/>
        </w:rPr>
        <w:t xml:space="preserve">, </w:t>
      </w:r>
      <w:r>
        <w:rPr>
          <w:rtl w:val="true"/>
        </w:rPr>
        <w:t>ורשאי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לענין</w:t>
      </w:r>
      <w:r>
        <w:rPr>
          <w:rtl w:val="true"/>
        </w:rPr>
        <w:t xml:space="preserve">,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ולגבותן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מקצתן</w:t>
      </w:r>
      <w:r>
        <w:rPr>
          <w:rtl w:val="true"/>
        </w:rPr>
        <w:t>."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1"/>
          <w:rFonts w:cs="Century" w:ascii="Century" w:hAnsi="Century"/>
          <w:rtl w:val="true"/>
        </w:rPr>
        <w:tab/>
      </w:r>
      <w:hyperlink r:id="rId57"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</w:rPr>
          <w:t>234</w:t>
        </w:r>
      </w:hyperlink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ל</w:t>
      </w:r>
      <w:hyperlink r:id="rId58"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חסד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פ</w:t>
        </w:r>
      </w:hyperlink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 מורה כי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"</w:t>
      </w:r>
      <w:r>
        <w:rPr>
          <w:rFonts w:ascii="Century" w:hAnsi="Century" w:cs="Century"/>
          <w:rtl w:val="true"/>
        </w:rPr>
        <w:t>הו</w:t>
      </w:r>
      <w:r>
        <w:rPr>
          <w:rFonts w:ascii="Century" w:hAnsi="Century" w:cs="Century"/>
          <w:rtl w:val="true"/>
        </w:rPr>
        <w:t>רא</w:t>
      </w:r>
      <w:r>
        <w:rPr>
          <w:rFonts w:ascii="Century" w:hAnsi="Century" w:cs="Century"/>
          <w:rtl w:val="true"/>
        </w:rPr>
        <w:t>ות</w:t>
      </w:r>
      <w:r>
        <w:rPr>
          <w:rFonts w:ascii="Century" w:hAnsi="Century" w:cs="Century"/>
          <w:rtl w:val="true"/>
        </w:rPr>
        <w:t xml:space="preserve">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יחולו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בשינויים המחוייבים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כשהורכב בית המשפט משלושה שופטים או יותר</w:t>
      </w:r>
      <w:r>
        <w:rPr>
          <w:rFonts w:cs="Century" w:ascii="Century" w:hAnsi="Century"/>
          <w:rtl w:val="true"/>
        </w:rPr>
        <w:t>."</w:t>
      </w:r>
    </w:p>
    <w:p>
      <w:pPr>
        <w:pStyle w:val="Ruller41"/>
        <w:spacing w:lineRule="auto" w:line="240"/>
        <w:ind w:end="0"/>
        <w:jc w:val="both"/>
        <w:rPr>
          <w:rStyle w:val="1"/>
          <w:rFonts w:ascii="Century" w:hAnsi="Century" w:cs="Century"/>
          <w:b w:val="false"/>
          <w:bCs w:val="false"/>
        </w:rPr>
      </w:pPr>
      <w:r>
        <w:rPr>
          <w:rStyle w:val="1"/>
          <w:rFonts w:eastAsia="Century" w:cs="Century" w:ascii="Century" w:hAnsi="Century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>
          <w:rStyle w:val="1"/>
          <w:rFonts w:ascii="Century" w:hAnsi="Century" w:cs="Century"/>
          <w:b w:val="false"/>
          <w:bCs w:val="false"/>
        </w:rPr>
      </w:pP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הסעיף נועד להסדיר את רציפות הדיון המשפטי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כאשר נבצר משופט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(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או הרכב שופטים או חלקו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)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שהחל לשמוע את הראיות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מלהשלים את מלאכתו בתיק שהיה לפניו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.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ההכרעה בשאלה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האם לשמוע מחדש עדויות שנשמעו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ל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פני השופט הראשון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נתונה לשיקול דעתו של השופט החדש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(</w:t>
      </w:r>
      <w:hyperlink r:id="rId60"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</w:rPr>
          <w:t>484/15</w:t>
        </w:r>
      </w:hyperlink>
      <w:r>
        <w:rPr>
          <w:rStyle w:val="1"/>
          <w:rFonts w:cs="Century" w:ascii="Century" w:hAnsi="Century"/>
          <w:rtl w:val="true"/>
        </w:rPr>
        <w:t xml:space="preserve"> </w:t>
      </w:r>
      <w:r>
        <w:rPr>
          <w:rStyle w:val="1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ורני</w:t>
      </w:r>
      <w:r>
        <w:rPr>
          <w:rStyle w:val="1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1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נ</w:t>
      </w:r>
      <w:r>
        <w:rPr>
          <w:rStyle w:val="1"/>
          <w:rFonts w:cs="Miriam" w:ascii="Century" w:hAnsi="Century"/>
          <w:bCs w:val="false"/>
          <w:spacing w:val="0"/>
          <w:sz w:val="22"/>
          <w:szCs w:val="24"/>
          <w:rtl w:val="true"/>
        </w:rPr>
        <w:t xml:space="preserve">' </w:t>
      </w:r>
      <w:r>
        <w:rPr>
          <w:rStyle w:val="1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מדינת</w:t>
      </w:r>
      <w:r>
        <w:rPr>
          <w:rStyle w:val="1"/>
          <w:rFonts w:ascii="Century" w:hAnsi="Century" w:eastAsia="Century" w:cs="Century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1"/>
          <w:rFonts w:ascii="Century" w:hAnsi="Century" w:cs="Miriam"/>
          <w:bCs w:val="false"/>
          <w:spacing w:val="0"/>
          <w:sz w:val="22"/>
          <w:sz w:val="22"/>
          <w:szCs w:val="24"/>
          <w:rtl w:val="true"/>
        </w:rPr>
        <w:t>ישראל</w:t>
      </w:r>
      <w:r>
        <w:rPr>
          <w:rStyle w:val="1"/>
          <w:rFonts w:ascii="Century" w:hAnsi="Century" w:cs="Century"/>
          <w:rtl w:val="true"/>
        </w:rPr>
        <w:t xml:space="preserve"> 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>[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פורסם</w:t>
      </w:r>
      <w:r>
        <w:rPr>
          <w:rStyle w:val="1"/>
          <w:rFonts w:ascii="Times New Roman" w:hAnsi="Times New Roman" w:cs="Times New Roman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בנבו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 xml:space="preserve">] </w:t>
      </w:r>
      <w:r>
        <w:rPr>
          <w:rStyle w:val="1"/>
          <w:rFonts w:cs="Century" w:ascii="Century" w:hAnsi="Century"/>
          <w:b w:val="false"/>
          <w:bCs w:val="false"/>
          <w:sz w:val="22"/>
          <w:rtl w:val="true"/>
        </w:rPr>
        <w:t>(</w:t>
      </w:r>
      <w:r>
        <w:rPr>
          <w:rStyle w:val="1"/>
          <w:rFonts w:cs="Century" w:ascii="Century" w:hAnsi="Century"/>
          <w:b w:val="false"/>
          <w:bCs w:val="false"/>
          <w:sz w:val="22"/>
        </w:rPr>
        <w:t>1.12.2015</w:t>
      </w:r>
      <w:r>
        <w:rPr>
          <w:rStyle w:val="1"/>
          <w:rFonts w:cs="Century" w:ascii="Century" w:hAnsi="Century"/>
          <w:b w:val="false"/>
          <w:bCs w:val="false"/>
          <w:sz w:val="22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sz w:val="22"/>
            <w:u w:val="single"/>
          </w:rPr>
          <w:t>4844/09</w:t>
        </w:r>
      </w:hyperlink>
      <w:r>
        <w:rPr>
          <w:rStyle w:val="1"/>
          <w:rFonts w:cs="Century" w:ascii="Century" w:hAnsi="Century"/>
          <w:b w:val="false"/>
          <w:bCs w:val="false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מסעאד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Style w:val="1"/>
          <w:rFonts w:ascii="Century" w:hAnsi="Century" w:cs="Century"/>
          <w:rtl w:val="true"/>
        </w:rPr>
        <w:t xml:space="preserve"> 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>[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פורסם</w:t>
      </w:r>
      <w:r>
        <w:rPr>
          <w:rStyle w:val="1"/>
          <w:rFonts w:ascii="Times New Roman" w:hAnsi="Times New Roman" w:cs="Times New Roman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בנבו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 xml:space="preserve">]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(</w:t>
      </w:r>
      <w:r>
        <w:rPr>
          <w:rStyle w:val="1"/>
          <w:rFonts w:cs="Century" w:ascii="Century" w:hAnsi="Century"/>
          <w:b w:val="false"/>
          <w:bCs w:val="false"/>
        </w:rPr>
        <w:t>31.2.2010</w:t>
      </w:r>
      <w:r>
        <w:rPr>
          <w:rStyle w:val="1"/>
          <w:rFonts w:cs="Century" w:ascii="Century" w:hAnsi="Century"/>
          <w:b w:val="false"/>
          <w:bCs w:val="false"/>
          <w:rtl w:val="true"/>
        </w:rPr>
        <w:t>)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; </w:t>
      </w:r>
      <w:hyperlink r:id="rId62"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</w:rPr>
          <w:t>1523/05</w:t>
        </w:r>
      </w:hyperlink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 </w:t>
      </w:r>
      <w:r>
        <w:rPr>
          <w:rStyle w:val="1"/>
          <w:rFonts w:ascii="Century" w:hAnsi="Century" w:cs="Miriam"/>
          <w:b w:val="false"/>
          <w:b w:val="false"/>
          <w:bCs w:val="false"/>
          <w:spacing w:val="0"/>
          <w:szCs w:val="24"/>
          <w:rtl w:val="true"/>
        </w:rPr>
        <w:t>פלוני</w:t>
      </w:r>
      <w:r>
        <w:rPr>
          <w:rStyle w:val="1"/>
          <w:rFonts w:ascii="Century" w:hAnsi="Century" w:eastAsia="Century" w:cs="Century"/>
          <w:b w:val="false"/>
          <w:b w:val="false"/>
          <w:bCs w:val="false"/>
          <w:spacing w:val="0"/>
          <w:szCs w:val="24"/>
          <w:rtl w:val="true"/>
        </w:rPr>
        <w:t xml:space="preserve"> </w:t>
      </w:r>
      <w:r>
        <w:rPr>
          <w:rStyle w:val="1"/>
          <w:rFonts w:ascii="Century" w:hAnsi="Century" w:cs="Miriam"/>
          <w:b w:val="false"/>
          <w:b w:val="false"/>
          <w:bCs w:val="false"/>
          <w:spacing w:val="0"/>
          <w:szCs w:val="24"/>
          <w:rtl w:val="true"/>
        </w:rPr>
        <w:t>נ</w:t>
      </w:r>
      <w:r>
        <w:rPr>
          <w:rStyle w:val="1"/>
          <w:rFonts w:cs="Miriam" w:ascii="Century" w:hAnsi="Century"/>
          <w:b w:val="false"/>
          <w:bCs w:val="false"/>
          <w:spacing w:val="0"/>
          <w:szCs w:val="24"/>
          <w:rtl w:val="true"/>
        </w:rPr>
        <w:t xml:space="preserve">' </w:t>
      </w:r>
      <w:r>
        <w:rPr>
          <w:rStyle w:val="1"/>
          <w:rFonts w:ascii="Century" w:hAnsi="Century" w:cs="Miriam"/>
          <w:b w:val="false"/>
          <w:b w:val="false"/>
          <w:bCs w:val="false"/>
          <w:spacing w:val="0"/>
          <w:szCs w:val="24"/>
          <w:rtl w:val="true"/>
        </w:rPr>
        <w:t>מדינת</w:t>
      </w:r>
      <w:r>
        <w:rPr>
          <w:rStyle w:val="1"/>
          <w:rFonts w:ascii="Century" w:hAnsi="Century" w:eastAsia="Century" w:cs="Century"/>
          <w:b w:val="false"/>
          <w:b w:val="false"/>
          <w:bCs w:val="false"/>
          <w:spacing w:val="0"/>
          <w:szCs w:val="24"/>
          <w:rtl w:val="true"/>
        </w:rPr>
        <w:t xml:space="preserve"> </w:t>
      </w:r>
      <w:r>
        <w:rPr>
          <w:rStyle w:val="1"/>
          <w:rFonts w:ascii="Century" w:hAnsi="Century" w:cs="Miriam"/>
          <w:b w:val="false"/>
          <w:b w:val="false"/>
          <w:bCs w:val="false"/>
          <w:spacing w:val="0"/>
          <w:szCs w:val="24"/>
          <w:rtl w:val="true"/>
        </w:rPr>
        <w:t>ישראל</w:t>
      </w:r>
      <w:r>
        <w:rPr>
          <w:rStyle w:val="1"/>
          <w:rFonts w:ascii="Century" w:hAnsi="Century" w:cs="Century"/>
          <w:rtl w:val="true"/>
        </w:rPr>
        <w:t xml:space="preserve"> 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>[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פורסם</w:t>
      </w:r>
      <w:r>
        <w:rPr>
          <w:rStyle w:val="1"/>
          <w:rFonts w:ascii="Times New Roman" w:hAnsi="Times New Roman" w:cs="Times New Roman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בנבו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 xml:space="preserve">]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(</w:t>
      </w:r>
      <w:r>
        <w:rPr>
          <w:rStyle w:val="1"/>
          <w:rFonts w:cs="Century" w:ascii="Century" w:hAnsi="Century"/>
          <w:b w:val="false"/>
          <w:bCs w:val="false"/>
        </w:rPr>
        <w:t>2.3.2</w:t>
      </w:r>
      <w:r>
        <w:rPr>
          <w:rStyle w:val="1"/>
          <w:rFonts w:cs="Century" w:ascii="Century" w:hAnsi="Century"/>
          <w:b w:val="false"/>
          <w:bCs w:val="false"/>
        </w:rPr>
        <w:t>0</w:t>
      </w:r>
      <w:r>
        <w:rPr>
          <w:rStyle w:val="1"/>
          <w:rFonts w:cs="Century" w:ascii="Century" w:hAnsi="Century"/>
          <w:b w:val="false"/>
          <w:bCs w:val="false"/>
        </w:rPr>
        <w:t>06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)).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מדובר במקרים </w:t>
      </w:r>
      <w:r>
        <w:rPr>
          <w:rtl w:val="true"/>
        </w:rPr>
        <w:t>יוצאי</w:t>
      </w:r>
      <w:r>
        <w:rPr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 xml:space="preserve">שכורח הנסיבות יחייב </w:t>
      </w:r>
      <w:r>
        <w:rPr>
          <w:rtl w:val="true"/>
        </w:rPr>
        <w:t xml:space="preserve">את </w:t>
      </w:r>
      <w:r>
        <w:rPr>
          <w:rtl w:val="true"/>
        </w:rPr>
        <w:t>בית</w:t>
      </w:r>
      <w:r>
        <w:rPr>
          <w:rtl w:val="true"/>
        </w:rPr>
        <w:t xml:space="preserve"> ה</w:t>
      </w:r>
      <w:r>
        <w:rPr>
          <w:rtl w:val="true"/>
        </w:rPr>
        <w:t>משפט לקבל כראיה עדות שלא נשמעה לפניו</w:t>
      </w:r>
      <w:r>
        <w:rPr>
          <w:rtl w:val="true"/>
        </w:rPr>
        <w:t xml:space="preserve">, </w:t>
      </w:r>
      <w:r>
        <w:rPr>
          <w:rtl w:val="true"/>
        </w:rPr>
        <w:t>ולהכריע בדין תוך שהוא מסתמך על אותה ראיה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עמר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נא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746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(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להלן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: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עניין </w:t>
      </w:r>
      <w:r>
        <w:rPr>
          <w:rStyle w:val="1"/>
          <w:rFonts w:ascii="Century" w:hAnsi="Century" w:cs="Miriam"/>
          <w:b w:val="false"/>
          <w:b w:val="false"/>
          <w:bCs w:val="false"/>
          <w:spacing w:val="0"/>
          <w:szCs w:val="24"/>
          <w:rtl w:val="true"/>
        </w:rPr>
        <w:t>עמר</w:t>
      </w:r>
      <w:r>
        <w:rPr>
          <w:rStyle w:val="1"/>
          <w:rFonts w:cs="Century" w:ascii="Century" w:hAnsi="Century"/>
          <w:b w:val="false"/>
          <w:bCs w:val="false"/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במקרה שהנסיבות מחייבות את החלפת המותב</w:t>
      </w:r>
      <w:r>
        <w:rPr>
          <w:rtl w:val="true"/>
        </w:rPr>
        <w:t xml:space="preserve">, </w:t>
      </w:r>
      <w:r>
        <w:rPr>
          <w:rtl w:val="true"/>
        </w:rPr>
        <w:t xml:space="preserve">ההכרעה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בשאלות של מהימנות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תעשה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על יסוד שיקולים של היגיון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(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עניין </w:t>
      </w:r>
      <w:r>
        <w:rPr>
          <w:rStyle w:val="1"/>
          <w:rFonts w:ascii="Century" w:hAnsi="Century" w:cs="Miriam"/>
          <w:b w:val="false"/>
          <w:b w:val="false"/>
          <w:bCs w:val="false"/>
          <w:spacing w:val="0"/>
          <w:szCs w:val="24"/>
          <w:rtl w:val="true"/>
        </w:rPr>
        <w:t>עמר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בעמ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' </w:t>
      </w:r>
      <w:r>
        <w:rPr>
          <w:rStyle w:val="1"/>
          <w:rFonts w:cs="Century" w:ascii="Century" w:hAnsi="Century"/>
          <w:b w:val="false"/>
          <w:bCs w:val="false"/>
        </w:rPr>
        <w:t>767</w:t>
      </w:r>
      <w:r>
        <w:rPr>
          <w:rStyle w:val="1"/>
          <w:rFonts w:cs="Century" w:ascii="Century" w:hAnsi="Century"/>
          <w:b w:val="false"/>
          <w:bCs w:val="false"/>
          <w:rtl w:val="true"/>
        </w:rPr>
        <w:t>;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 </w:t>
      </w:r>
      <w:hyperlink r:id="rId64"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b w:val="false"/>
            <w:b w:val="false"/>
            <w:b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b w:val="false"/>
            <w:bCs w:val="false"/>
            <w:color w:val="0000FF"/>
            <w:u w:val="single"/>
          </w:rPr>
          <w:t>5660/10</w:t>
        </w:r>
      </w:hyperlink>
      <w:r>
        <w:rPr>
          <w:rStyle w:val="1"/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Style w:val="1"/>
          <w:rFonts w:ascii="Century" w:hAnsi="Century" w:cs="Century"/>
          <w:rtl w:val="true"/>
        </w:rPr>
        <w:t xml:space="preserve"> 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>[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פורסם</w:t>
      </w:r>
      <w:r>
        <w:rPr>
          <w:rStyle w:val="1"/>
          <w:rFonts w:ascii="Times New Roman" w:hAnsi="Times New Roman" w:cs="Times New Roman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1"/>
          <w:rFonts w:ascii="Times New Roman" w:hAnsi="Times New Roman" w:cs="David"/>
          <w:b w:val="false"/>
          <w:b w:val="false"/>
          <w:bCs w:val="false"/>
          <w:spacing w:val="0"/>
          <w:sz w:val="22"/>
          <w:sz w:val="22"/>
          <w:szCs w:val="24"/>
          <w:rtl w:val="true"/>
        </w:rPr>
        <w:t>בנבו</w:t>
      </w:r>
      <w:r>
        <w:rPr>
          <w:rStyle w:val="1"/>
          <w:rFonts w:cs="David" w:ascii="Times New Roman" w:hAnsi="Times New Roman"/>
          <w:b w:val="false"/>
          <w:bCs w:val="false"/>
          <w:spacing w:val="0"/>
          <w:sz w:val="22"/>
          <w:szCs w:val="24"/>
          <w:rtl w:val="true"/>
        </w:rPr>
        <w:t xml:space="preserve">] </w:t>
      </w:r>
      <w:r>
        <w:rPr>
          <w:rStyle w:val="1"/>
          <w:rFonts w:cs="Century" w:ascii="Century" w:hAnsi="Century"/>
          <w:b w:val="false"/>
          <w:bCs w:val="false"/>
          <w:rtl w:val="true"/>
        </w:rPr>
        <w:t>(</w:t>
      </w:r>
      <w:r>
        <w:rPr>
          <w:rStyle w:val="1"/>
          <w:rFonts w:cs="Century" w:ascii="Century" w:hAnsi="Century"/>
          <w:b w:val="false"/>
          <w:bCs w:val="false"/>
        </w:rPr>
        <w:t>22.8.2010</w:t>
      </w:r>
      <w:r>
        <w:rPr>
          <w:rStyle w:val="1"/>
          <w:rFonts w:cs="Century" w:ascii="Century" w:hAnsi="Century"/>
          <w:b w:val="false"/>
          <w:bCs w:val="false"/>
          <w:rtl w:val="true"/>
        </w:rPr>
        <w:t>))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.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על כן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השאלה אם יכול ורשאי שופט שלא שמע את מלוא המסכת הראייתית להרשיע את הנאשם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היא שאלה התלויה בנסיבות הספציפיות של כל עניין ועניין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Style w:val="1"/>
          <w:rFonts w:ascii="Century" w:hAnsi="Century" w:cs="Century"/>
          <w:b w:val="false"/>
          <w:bCs w:val="false"/>
        </w:rPr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>
          <w:rStyle w:val="1"/>
          <w:rFonts w:ascii="Century" w:hAnsi="Century" w:cs="Century"/>
          <w:b w:val="false"/>
          <w:bCs w:val="false"/>
        </w:rPr>
      </w:pP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הואיל ו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מדובר כאמור בעניין שבשיקול דעת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גם קשה לשרטט גבולות ברורים ולהתוות כללים נוקשים למתן תשובה לשאלה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אימתי ראוי ונכון להחזיר את גלגל שמיעת הראיות לאחור ולפרוס את המסכת הראייתית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כולה או מקצתה</w:t>
      </w:r>
      <w:r>
        <w:rPr>
          <w:rStyle w:val="1"/>
          <w:rFonts w:cs="Century" w:ascii="Century" w:hAnsi="Century"/>
          <w:b w:val="false"/>
          <w:bCs w:val="false"/>
          <w:rtl w:val="true"/>
        </w:rPr>
        <w:t>,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פעם נוספת לפני בית המשפט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.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עם זאת ומבלי למנות רשימה סגורה באשר ל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שיקולים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שעל בית המשפט לקחת בחשבון בעת מתן החלטה להימנע משמיעת המסכת הראייתית מחדש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,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אפשר למנות את השיקולים הבאים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: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את משקלן הסגולי המוחלט והיחסי של הראיות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שנשמעו לפני השופט הראשון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בתוך המסכת הראייתית הכוללת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;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את יכולתו של בית המשפט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שלא שמע את העדות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להכריע בשאלות של מהימנות על יסוד שיקולים של היגיון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;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את השלב שבו נבצר מהשופט להמשיך לשמוע את הראיות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;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שקלול התועלת אל מול הנזק שעלול להיגרם לנאשם או לקרבנות העבירה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 xml:space="preserve"> אם תישמע העדות בשנית אם לאו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; </w:t>
      </w:r>
      <w:r>
        <w:rPr>
          <w:rStyle w:val="1"/>
          <w:rFonts w:ascii="Century" w:hAnsi="Century" w:cs="Century"/>
          <w:b w:val="false"/>
          <w:b w:val="false"/>
          <w:bCs w:val="false"/>
          <w:rtl w:val="true"/>
        </w:rPr>
        <w:t>את תרומתו של הנאשם לנבצרות השופט לפניו נשמעו הראיות בתחילה</w:t>
      </w:r>
      <w:r>
        <w:rPr>
          <w:rStyle w:val="1"/>
          <w:rFonts w:cs="Century" w:ascii="Century" w:hAnsi="Century"/>
          <w:b w:val="false"/>
          <w:bCs w:val="false"/>
          <w:rtl w:val="true"/>
        </w:rPr>
        <w:t>.</w:t>
      </w:r>
      <w:r>
        <w:rPr>
          <w:rStyle w:val="1"/>
          <w:rFonts w:cs="Century" w:ascii="Century" w:hAnsi="Century"/>
          <w:b w:val="false"/>
          <w:bCs w:val="false"/>
          <w:rtl w:val="true"/>
        </w:rPr>
        <w:t xml:space="preserve"> </w:t>
      </w:r>
    </w:p>
    <w:p>
      <w:pPr>
        <w:pStyle w:val="Normal"/>
        <w:ind w:end="0"/>
        <w:jc w:val="both"/>
        <w:rPr>
          <w:rStyle w:val="1"/>
          <w:rFonts w:ascii="Century" w:hAnsi="Century" w:cs="Century"/>
          <w:b w:val="false"/>
          <w:bCs w:val="false"/>
          <w:sz w:val="22"/>
        </w:rPr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כדי לעמוד על נסיבות העניין שלפנינו</w:t>
      </w:r>
      <w:r>
        <w:rPr>
          <w:rtl w:val="true"/>
        </w:rPr>
        <w:t xml:space="preserve">, </w:t>
      </w:r>
      <w:r>
        <w:rPr>
          <w:rtl w:val="true"/>
        </w:rPr>
        <w:t>נביא את השתלשלות העניינים שהובילו להחלטת בית המשפט להימנע משמיעת עדותה של המתלוננת בשנית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תחילת העניין בחזרת המערער מכפירתו בישיבת בית המשפט ביום </w:t>
      </w:r>
      <w:r>
        <w:rPr/>
        <w:t>15.2.2015</w:t>
      </w:r>
      <w:r>
        <w:rPr>
          <w:rtl w:val="true"/>
        </w:rPr>
        <w:t xml:space="preserve"> </w:t>
      </w:r>
      <w:r>
        <w:rPr>
          <w:rtl w:val="true"/>
        </w:rPr>
        <w:t>בה הודה בביצוע העבירות המפורטות בכתב אישום מתוקן</w:t>
      </w:r>
      <w:r>
        <w:rPr>
          <w:rtl w:val="true"/>
        </w:rPr>
        <w:t xml:space="preserve">. </w:t>
      </w:r>
      <w:r>
        <w:rPr>
          <w:rtl w:val="true"/>
        </w:rPr>
        <w:t xml:space="preserve">זאת לאחר שבתום הדיון שהתקיים ביום </w:t>
      </w:r>
      <w:r>
        <w:rPr/>
        <w:t>3.2.2105</w:t>
      </w:r>
      <w:r>
        <w:rPr>
          <w:rtl w:val="true"/>
        </w:rPr>
        <w:t xml:space="preserve"> </w:t>
      </w:r>
      <w:r>
        <w:rPr>
          <w:rtl w:val="true"/>
        </w:rPr>
        <w:t>בו הושלמה פרשת התביעה</w:t>
      </w:r>
      <w:r>
        <w:rPr>
          <w:rtl w:val="true"/>
        </w:rPr>
        <w:t xml:space="preserve">, </w:t>
      </w:r>
      <w:r>
        <w:rPr>
          <w:rtl w:val="true"/>
        </w:rPr>
        <w:t xml:space="preserve">נקבעה ישיבת יום </w:t>
      </w:r>
      <w:r>
        <w:rPr/>
        <w:t>15.2.2015</w:t>
      </w:r>
      <w:r>
        <w:rPr>
          <w:rtl w:val="true"/>
        </w:rPr>
        <w:t xml:space="preserve"> </w:t>
      </w:r>
      <w:r>
        <w:rPr>
          <w:rtl w:val="true"/>
        </w:rPr>
        <w:t>לתחילת שמיעת פרשת ההגנה</w:t>
      </w:r>
      <w:r>
        <w:rPr>
          <w:rtl w:val="true"/>
        </w:rPr>
        <w:t xml:space="preserve">. </w:t>
      </w:r>
      <w:r>
        <w:rPr>
          <w:rtl w:val="true"/>
        </w:rPr>
        <w:t xml:space="preserve">אלא שכאמור ביום </w:t>
      </w:r>
      <w:r>
        <w:rPr/>
        <w:t>15.2.2015</w:t>
      </w:r>
      <w:r>
        <w:rPr>
          <w:rtl w:val="true"/>
        </w:rPr>
        <w:t xml:space="preserve"> </w:t>
      </w:r>
      <w:r>
        <w:rPr>
          <w:rtl w:val="true"/>
        </w:rPr>
        <w:t>המערער הודה בביצוע העבירות ובית המשפט קבע כי הוא ביצע את העבירות המיוחסות לו</w:t>
      </w:r>
      <w:r>
        <w:rPr>
          <w:rtl w:val="true"/>
        </w:rPr>
        <w:t xml:space="preserve">. </w:t>
      </w:r>
      <w:r>
        <w:rPr>
          <w:rtl w:val="true"/>
        </w:rPr>
        <w:t>בהמשך לכך נתבקש תסקיר שירות מבחן לגבי המערער</w:t>
      </w:r>
      <w:r>
        <w:rPr>
          <w:rtl w:val="true"/>
        </w:rPr>
        <w:t xml:space="preserve">, </w:t>
      </w:r>
      <w:r>
        <w:rPr>
          <w:rtl w:val="true"/>
        </w:rPr>
        <w:t>בין היתר בהיותו קטין</w:t>
      </w:r>
      <w:r>
        <w:rPr>
          <w:rtl w:val="true"/>
        </w:rPr>
        <w:t xml:space="preserve">, </w:t>
      </w:r>
      <w:r>
        <w:rPr>
          <w:rtl w:val="true"/>
        </w:rPr>
        <w:t>בשאלת עניין הרשעתו בדין</w:t>
      </w:r>
      <w:r>
        <w:rPr>
          <w:rtl w:val="true"/>
        </w:rPr>
        <w:t xml:space="preserve">. </w:t>
      </w:r>
      <w:r>
        <w:rPr>
          <w:rtl w:val="true"/>
        </w:rPr>
        <w:t xml:space="preserve">בדיון הבא שהתנהל ביום </w:t>
      </w:r>
      <w:r>
        <w:rPr/>
        <w:t>20.7.2015</w:t>
      </w:r>
      <w:r>
        <w:rPr>
          <w:rtl w:val="true"/>
        </w:rPr>
        <w:t xml:space="preserve"> </w:t>
      </w:r>
      <w:r>
        <w:rPr>
          <w:rtl w:val="true"/>
        </w:rPr>
        <w:t>חזר המערער על הודאתו והצדדים ביקשו על סמך המלצת שירות המבחן שבאותו שלב כבר ניתנה</w:t>
      </w:r>
      <w:r>
        <w:rPr>
          <w:rtl w:val="true"/>
        </w:rPr>
        <w:t xml:space="preserve">, </w:t>
      </w:r>
      <w:r>
        <w:rPr>
          <w:rtl w:val="true"/>
        </w:rPr>
        <w:t>להרשיעו בדין</w:t>
      </w:r>
      <w:r>
        <w:rPr>
          <w:rtl w:val="true"/>
        </w:rPr>
        <w:t xml:space="preserve">, </w:t>
      </w:r>
      <w:r>
        <w:rPr>
          <w:rtl w:val="true"/>
        </w:rPr>
        <w:t>וכך נעשה</w:t>
      </w:r>
      <w:r>
        <w:rPr>
          <w:rtl w:val="true"/>
        </w:rPr>
        <w:t xml:space="preserve">. </w:t>
      </w:r>
      <w:r>
        <w:rPr>
          <w:rtl w:val="true"/>
        </w:rPr>
        <w:t xml:space="preserve">ישיבת טיעונים לעונש נקבעה ליום </w:t>
      </w:r>
      <w:r>
        <w:rPr/>
        <w:t>24.9.2015</w:t>
      </w:r>
      <w:r>
        <w:rPr>
          <w:rtl w:val="true"/>
        </w:rPr>
        <w:t xml:space="preserve">, </w:t>
      </w:r>
      <w:r>
        <w:rPr>
          <w:rtl w:val="true"/>
        </w:rPr>
        <w:t>אך ב</w:t>
      </w:r>
      <w:r>
        <w:rPr>
          <w:rtl w:val="true"/>
        </w:rPr>
        <w:t>"</w:t>
      </w:r>
      <w:r>
        <w:rPr>
          <w:rtl w:val="true"/>
        </w:rPr>
        <w:t xml:space="preserve">כ המערער ביקשה ביום </w:t>
      </w:r>
      <w:r>
        <w:rPr/>
        <w:t>20.9.2015</w:t>
      </w:r>
      <w:r>
        <w:rPr>
          <w:rtl w:val="true"/>
        </w:rPr>
        <w:t xml:space="preserve"> </w:t>
      </w:r>
      <w:r>
        <w:rPr>
          <w:rtl w:val="true"/>
        </w:rPr>
        <w:t>לדחות את מועד הדיון בשל רצונה ללמוד את תסקיר שירות המבחן ולהתעמק בו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18.10.2015</w:t>
      </w:r>
      <w:r>
        <w:rPr>
          <w:rtl w:val="true"/>
        </w:rPr>
        <w:t xml:space="preserve"> </w:t>
      </w:r>
      <w:r>
        <w:rPr>
          <w:rtl w:val="true"/>
        </w:rPr>
        <w:t>התבקשה דחיית מועד נוספת לשם ביצוע בדיקה נוירולוגית למערער</w:t>
      </w:r>
      <w:r>
        <w:rPr>
          <w:rtl w:val="true"/>
        </w:rPr>
        <w:t xml:space="preserve">. </w:t>
      </w:r>
      <w:r>
        <w:rPr>
          <w:rtl w:val="true"/>
        </w:rPr>
        <w:t xml:space="preserve">מאותה סיבה גם נתבקשה דחייה נוספת ביום </w:t>
      </w:r>
      <w:r>
        <w:rPr/>
        <w:t>12.11.2015</w:t>
      </w:r>
      <w:r>
        <w:rPr>
          <w:rtl w:val="true"/>
        </w:rPr>
        <w:t xml:space="preserve">, </w:t>
      </w:r>
      <w:r>
        <w:rPr>
          <w:rtl w:val="true"/>
        </w:rPr>
        <w:t>אך בקשה זו נדחתה בשל פרישתו הקרובה של אב בית הדין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כתילי</w:t>
      </w:r>
      <w:r>
        <w:rPr>
          <w:rtl w:val="true"/>
        </w:rPr>
        <w:t xml:space="preserve"> מכס השיפוט</w:t>
      </w:r>
      <w:r>
        <w:rPr>
          <w:rtl w:val="true"/>
        </w:rPr>
        <w:t xml:space="preserve">. </w:t>
      </w:r>
      <w:r>
        <w:rPr>
          <w:rtl w:val="true"/>
        </w:rPr>
        <w:t xml:space="preserve">הדיון נקבע לבסוף ליום </w:t>
      </w:r>
      <w:r>
        <w:rPr/>
        <w:t>23.11.2015</w:t>
      </w:r>
      <w:r>
        <w:rPr>
          <w:rtl w:val="true"/>
        </w:rPr>
        <w:t xml:space="preserve">. </w:t>
      </w:r>
      <w:r>
        <w:rPr>
          <w:rtl w:val="true"/>
        </w:rPr>
        <w:t>אלא שבאותו יום</w:t>
      </w:r>
      <w:r>
        <w:rPr>
          <w:rtl w:val="true"/>
        </w:rPr>
        <w:t xml:space="preserve">, </w:t>
      </w:r>
      <w:r>
        <w:rPr>
          <w:rtl w:val="true"/>
        </w:rPr>
        <w:t>הוגשה בקשה</w:t>
      </w:r>
      <w:r>
        <w:rPr>
          <w:rtl w:val="true"/>
        </w:rPr>
        <w:t xml:space="preserve">, </w:t>
      </w:r>
      <w:r>
        <w:rPr>
          <w:rtl w:val="true"/>
        </w:rPr>
        <w:t>הפעם על ידי ב</w:t>
      </w:r>
      <w:r>
        <w:rPr>
          <w:rtl w:val="true"/>
        </w:rPr>
        <w:t>"</w:t>
      </w:r>
      <w:r>
        <w:rPr>
          <w:rtl w:val="true"/>
        </w:rPr>
        <w:t>כ המשיבה</w:t>
      </w:r>
      <w:r>
        <w:rPr>
          <w:rtl w:val="true"/>
        </w:rPr>
        <w:t xml:space="preserve">, </w:t>
      </w:r>
      <w:r>
        <w:rPr>
          <w:rtl w:val="true"/>
        </w:rPr>
        <w:t>להמיר את הישיבה לשמיעת טיעונים לעונש לישיבת תזכורת</w:t>
      </w:r>
      <w:r>
        <w:rPr>
          <w:rtl w:val="true"/>
        </w:rPr>
        <w:t xml:space="preserve">. </w:t>
      </w:r>
      <w:r>
        <w:rPr>
          <w:rtl w:val="true"/>
        </w:rPr>
        <w:t>זאת מהטעם שהמערער הצטייד באותו שלב עם חוות דעת על אודות מוגבלויותיו והשפעותיהן על מעשיו</w:t>
      </w:r>
      <w:r>
        <w:rPr>
          <w:rtl w:val="true"/>
        </w:rPr>
        <w:t xml:space="preserve">. </w:t>
      </w:r>
      <w:r>
        <w:rPr>
          <w:rtl w:val="true"/>
        </w:rPr>
        <w:t>הוסבר כי בדעת המשיבה ללמוד את חוות הדעת עובר להשמעת טיעוניה לעונש</w:t>
      </w:r>
      <w:r>
        <w:rPr>
          <w:rtl w:val="true"/>
        </w:rPr>
        <w:t xml:space="preserve">. </w:t>
      </w:r>
      <w:r>
        <w:rPr>
          <w:rtl w:val="true"/>
        </w:rPr>
        <w:t>בקשה זו נדחתה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בדיון שהתקיים באותו יום בהמשך למתן החלטה זו</w:t>
      </w:r>
      <w:r>
        <w:rPr>
          <w:rtl w:val="true"/>
        </w:rPr>
        <w:t xml:space="preserve">, </w:t>
      </w:r>
      <w:r>
        <w:rPr>
          <w:rtl w:val="true"/>
        </w:rPr>
        <w:t>הודיע המערער כי ברצונו לחזור בו מהודאתו</w:t>
      </w:r>
      <w:r>
        <w:rPr>
          <w:rtl w:val="true"/>
        </w:rPr>
        <w:t xml:space="preserve">. </w:t>
      </w:r>
      <w:r>
        <w:rPr>
          <w:rtl w:val="true"/>
        </w:rPr>
        <w:t>מבוקשו זה ניתן לו ובית המשפט הודיע על החלפת אב בית הדין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cs="Miriam"/>
          <w:b/>
          <w:b/>
          <w:spacing w:val="0"/>
          <w:szCs w:val="24"/>
          <w:rtl w:val="true"/>
        </w:rPr>
        <w:t>כתילי</w:t>
      </w:r>
      <w:r>
        <w:rPr>
          <w:rtl w:val="true"/>
        </w:rPr>
        <w:t xml:space="preserve"> בשופטת </w:t>
      </w:r>
      <w:r>
        <w:rPr>
          <w:rFonts w:cs="Miriam"/>
          <w:b/>
          <w:b/>
          <w:spacing w:val="0"/>
          <w:szCs w:val="24"/>
          <w:rtl w:val="true"/>
        </w:rPr>
        <w:t>הלמן</w:t>
      </w:r>
      <w:r>
        <w:rPr>
          <w:rtl w:val="true"/>
        </w:rPr>
        <w:t xml:space="preserve">. </w:t>
      </w:r>
      <w:r>
        <w:rPr>
          <w:rtl w:val="true"/>
        </w:rPr>
        <w:t>עוד נקבע באותה החלטה כי הצדדים יטענו לפני ההרכב החדש אם ישנו צורך לשמוע את כל פרשת התביעה מחדש</w:t>
      </w:r>
      <w:r>
        <w:rPr>
          <w:rtl w:val="true"/>
        </w:rPr>
        <w:t xml:space="preserve">. </w:t>
      </w:r>
      <w:r>
        <w:rPr>
          <w:rtl w:val="true"/>
        </w:rPr>
        <w:t xml:space="preserve">ואכן ביום </w:t>
      </w:r>
      <w:r>
        <w:rPr/>
        <w:t>29.11.2015</w:t>
      </w:r>
      <w:r>
        <w:rPr>
          <w:rtl w:val="true"/>
        </w:rPr>
        <w:t xml:space="preserve"> </w:t>
      </w:r>
      <w:r>
        <w:rPr>
          <w:rtl w:val="true"/>
        </w:rPr>
        <w:t>התקיים דיון במסגרתו ביקשה ב</w:t>
      </w:r>
      <w:r>
        <w:rPr>
          <w:rtl w:val="true"/>
        </w:rPr>
        <w:t>"</w:t>
      </w:r>
      <w:r>
        <w:rPr>
          <w:rtl w:val="true"/>
        </w:rPr>
        <w:t>כ המערער שכל ההרכב יפסול עצמו לישב בדין</w:t>
      </w:r>
      <w:r>
        <w:rPr>
          <w:rtl w:val="true"/>
        </w:rPr>
        <w:t xml:space="preserve">, </w:t>
      </w:r>
      <w:r>
        <w:rPr>
          <w:rtl w:val="true"/>
        </w:rPr>
        <w:t>או לחלופין שתשמע עדותה של המתלוננת פעם נוספת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בהמשך לכך לאחר קבלת טיעוני ב</w:t>
      </w:r>
      <w:r>
        <w:rPr>
          <w:rtl w:val="true"/>
        </w:rPr>
        <w:t>"</w:t>
      </w:r>
      <w:r>
        <w:rPr>
          <w:rtl w:val="true"/>
        </w:rPr>
        <w:t>כ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17.12.2015</w:t>
      </w:r>
      <w:r>
        <w:rPr>
          <w:rtl w:val="true"/>
        </w:rPr>
        <w:t xml:space="preserve"> </w:t>
      </w:r>
      <w:r>
        <w:rPr>
          <w:rtl w:val="true"/>
        </w:rPr>
        <w:t>ניתנו שתי החלטות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דחיית בקשת המערער שההרכב כולו יפסול עצמו מלהמשיך בשמיעת הראיות</w:t>
      </w:r>
      <w:r>
        <w:rPr>
          <w:rtl w:val="true"/>
        </w:rPr>
        <w:t xml:space="preserve">;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מניעת שמיעת עדות המתלוננת פעם נוספת</w:t>
      </w:r>
      <w:r>
        <w:rPr>
          <w:rtl w:val="true"/>
        </w:rPr>
        <w:t xml:space="preserve">. </w:t>
      </w:r>
      <w:r>
        <w:rPr>
          <w:rtl w:val="true"/>
        </w:rPr>
        <w:t>החלטה זו התבססה על חומרת העבירה</w:t>
      </w:r>
      <w:r>
        <w:rPr>
          <w:rtl w:val="true"/>
        </w:rPr>
        <w:t xml:space="preserve">; </w:t>
      </w:r>
      <w:r>
        <w:rPr>
          <w:rtl w:val="true"/>
        </w:rPr>
        <w:t xml:space="preserve">העובדה שעדות המתלוננת הוקלטה ותומללה ולכן לא יהיה קושי לשופטת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tl w:val="true"/>
        </w:rPr>
        <w:t xml:space="preserve"> להתרשם מעדותה אף מבלי שהיא תישמע בשנית</w:t>
      </w:r>
      <w:r>
        <w:rPr>
          <w:rtl w:val="true"/>
        </w:rPr>
        <w:t xml:space="preserve">; </w:t>
      </w:r>
      <w:r>
        <w:rPr>
          <w:rtl w:val="true"/>
        </w:rPr>
        <w:t>מדובר בקרבן עבירת מין שהעדתה בשנית עלולה להזיק לה</w:t>
      </w:r>
      <w:r>
        <w:rPr>
          <w:rtl w:val="true"/>
        </w:rPr>
        <w:t xml:space="preserve">; </w:t>
      </w:r>
      <w:r>
        <w:rPr>
          <w:rtl w:val="true"/>
        </w:rPr>
        <w:t>שניים מחברי ההרכב שמעו את העדות באופן בלתי אמצעי ולכן ההכרעה לא תהיה רק על הגיון ומארג הראיות</w:t>
      </w:r>
      <w:r>
        <w:rPr>
          <w:rtl w:val="true"/>
        </w:rPr>
        <w:t xml:space="preserve">. </w:t>
      </w:r>
      <w:r>
        <w:rPr>
          <w:rtl w:val="true"/>
        </w:rPr>
        <w:t>אלא שאם ניישם את המבחנים שפורטו לעיל על המקרה דנן</w:t>
      </w:r>
      <w:r>
        <w:rPr>
          <w:rtl w:val="true"/>
        </w:rPr>
        <w:t xml:space="preserve">, </w:t>
      </w:r>
      <w:r>
        <w:rPr>
          <w:rtl w:val="true"/>
        </w:rPr>
        <w:t>ספק בעיני אם החלטה זו הייתה נכונה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הינה כי כן</w:t>
      </w:r>
      <w:r>
        <w:rPr>
          <w:rtl w:val="true"/>
        </w:rPr>
        <w:t xml:space="preserve">, </w:t>
      </w:r>
      <w:r>
        <w:rPr>
          <w:rtl w:val="true"/>
        </w:rPr>
        <w:t>בהחלטת בית המשפט לא נשקלה התועלת של שמיעת העדות של המתלוננת להגנתו של המערער אל מול הנזק שעלול להיגרם למתלוננת</w:t>
      </w:r>
      <w:r>
        <w:rPr>
          <w:rtl w:val="true"/>
        </w:rPr>
        <w:t xml:space="preserve">. </w:t>
      </w:r>
      <w:r>
        <w:rPr>
          <w:rtl w:val="true"/>
        </w:rPr>
        <w:t>כל שאמר בית המשפט בעניינו של המערער היה כי העבירות המיוחסות לו הן חמורות</w:t>
      </w:r>
      <w:r>
        <w:rPr>
          <w:rtl w:val="true"/>
        </w:rPr>
        <w:t xml:space="preserve">, </w:t>
      </w:r>
      <w:r>
        <w:rPr>
          <w:rtl w:val="true"/>
        </w:rPr>
        <w:t>שיקול שהיה צריך להוביל להשמעת העדות בשנית</w:t>
      </w:r>
      <w:r>
        <w:rPr>
          <w:rtl w:val="true"/>
        </w:rPr>
        <w:t xml:space="preserve">. </w:t>
      </w:r>
      <w:r>
        <w:rPr>
          <w:rtl w:val="true"/>
        </w:rPr>
        <w:t xml:space="preserve">לא נשקלה העובדה שהמערער לא תרם לנבצרות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כתילי</w:t>
      </w:r>
      <w:r>
        <w:rPr>
          <w:rtl w:val="true"/>
        </w:rPr>
        <w:t xml:space="preserve"> להמשיך לישב בדין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בהחלטה לא הועברה ביקורת כלשהי על התנהלותו הדיונית של המערער</w:t>
      </w:r>
      <w:r>
        <w:rPr>
          <w:rtl w:val="true"/>
        </w:rPr>
        <w:t xml:space="preserve">. </w:t>
      </w:r>
      <w:r>
        <w:rPr>
          <w:rtl w:val="true"/>
        </w:rPr>
        <w:t>גם לא נלקח בחשבון השלב הדיוני של המשפט</w:t>
      </w:r>
      <w:r>
        <w:rPr>
          <w:rtl w:val="true"/>
        </w:rPr>
        <w:t xml:space="preserve">, </w:t>
      </w:r>
      <w:r>
        <w:rPr>
          <w:rtl w:val="true"/>
        </w:rPr>
        <w:t>בו טרם החלה פרשת ההגנה</w:t>
      </w:r>
      <w:r>
        <w:rPr>
          <w:rtl w:val="true"/>
        </w:rPr>
        <w:t xml:space="preserve">. </w:t>
      </w:r>
      <w:r>
        <w:rPr>
          <w:rtl w:val="true"/>
        </w:rPr>
        <w:t>אף לא ניתן המשקל הראוי לחשיבות עדות המתלוננת במארג הראייתי הכולל</w:t>
      </w:r>
      <w:r>
        <w:rPr>
          <w:rtl w:val="true"/>
        </w:rPr>
        <w:t xml:space="preserve">. </w:t>
      </w:r>
      <w:r>
        <w:rPr>
          <w:rtl w:val="true"/>
        </w:rPr>
        <w:t>אך למעלה מכך</w:t>
      </w:r>
      <w:r>
        <w:rPr>
          <w:rtl w:val="true"/>
        </w:rPr>
        <w:t xml:space="preserve">, </w:t>
      </w:r>
      <w:r>
        <w:rPr>
          <w:rtl w:val="true"/>
        </w:rPr>
        <w:t xml:space="preserve">נראה לי כי אין בעובדה ששניים מהשופטים התרשמו באופן בלתי אמצעי מהמתלוננת וכי היה ביכולתה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tl w:val="true"/>
        </w:rPr>
        <w:t xml:space="preserve"> לשמוע את הקלטת עדותה</w:t>
      </w:r>
      <w:r>
        <w:rPr>
          <w:rtl w:val="true"/>
        </w:rPr>
        <w:t xml:space="preserve">, </w:t>
      </w:r>
      <w:r>
        <w:rPr>
          <w:rtl w:val="true"/>
        </w:rPr>
        <w:t xml:space="preserve">כדי להוביל למסקנה שהכרעת בית המשפט </w:t>
      </w:r>
      <w:r>
        <w:rPr>
          <w:rtl w:val="true"/>
        </w:rPr>
        <w:t>–</w:t>
      </w:r>
      <w:r>
        <w:rPr>
          <w:rtl w:val="true"/>
        </w:rPr>
        <w:t xml:space="preserve"> ברובה </w:t>
      </w:r>
      <w:r>
        <w:rPr>
          <w:rtl w:val="true"/>
        </w:rPr>
        <w:t>–</w:t>
      </w:r>
      <w:r>
        <w:rPr>
          <w:rtl w:val="true"/>
        </w:rPr>
        <w:t xml:space="preserve"> תהיה מבוססת על ממצאי מהימנות ולא רק על בסיס היגיון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יפים דברי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ניאזוב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ניאזוב</w:t>
      </w:r>
      <w:r>
        <w:rPr>
          <w:rtl w:val="true"/>
        </w:rPr>
        <w:t xml:space="preserve">), </w:t>
      </w:r>
      <w:r>
        <w:rPr>
          <w:rtl w:val="true"/>
        </w:rPr>
        <w:t>אמנם בעניין התערבות ערכאה ערעורית בממצאי עובדה של ערכאה מבררת</w:t>
      </w:r>
      <w:r>
        <w:rPr>
          <w:rtl w:val="true"/>
        </w:rPr>
        <w:t xml:space="preserve">, </w:t>
      </w:r>
      <w:r>
        <w:rPr>
          <w:rtl w:val="true"/>
        </w:rPr>
        <w:t>אבל הם רלוונטיים גם לענייננו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הרציונל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לפניה</w:t>
      </w:r>
      <w:r>
        <w:rPr>
          <w:rtl w:val="true"/>
        </w:rPr>
        <w:t xml:space="preserve">, </w:t>
      </w:r>
      <w:r>
        <w:rPr>
          <w:rtl w:val="true"/>
        </w:rPr>
        <w:t>מאופן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, </w:t>
      </w:r>
      <w:r>
        <w:rPr>
          <w:rtl w:val="true"/>
        </w:rPr>
        <w:t>ומאותות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המסוגלת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8187/11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(</w:t>
      </w:r>
      <w:r>
        <w:rPr/>
        <w:t>19.8.2013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918</w:t>
      </w:r>
      <w:r>
        <w:rPr>
          <w:rtl w:val="true"/>
        </w:rPr>
        <w:t xml:space="preserve">, </w:t>
      </w:r>
      <w:r>
        <w:rPr/>
        <w:t>924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)).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>: "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, </w:t>
      </w:r>
      <w:r>
        <w:rPr>
          <w:rtl w:val="true"/>
        </w:rPr>
        <w:t>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ורהוטה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הטון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" 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6735/02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בבקוב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419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))." (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הדיבור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ומשמעותיים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שיבואר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לא הייתה מחלוקת כי המערער נחקר ללא נוכחות הוריו מבלי שניתן אישור לכך על ידי קצין מוסמך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69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tl w:val="true"/>
        </w:rPr>
        <w:t xml:space="preserve"> לחוק הנוער</w:t>
      </w:r>
      <w:r>
        <w:rPr>
          <w:rtl w:val="true"/>
        </w:rPr>
        <w:t xml:space="preserve">; </w:t>
      </w:r>
      <w:r>
        <w:rPr>
          <w:rtl w:val="true"/>
        </w:rPr>
        <w:t>לא הייתה מחלוקת כי לא נמסרה הודעה לסנגורו של המערער או לסניגוריה הציבורית לפי העניין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7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tl w:val="true"/>
        </w:rPr>
        <w:t xml:space="preserve"> לחוק הנוער</w:t>
      </w:r>
      <w:r>
        <w:rPr>
          <w:rtl w:val="true"/>
        </w:rPr>
        <w:t xml:space="preserve">; </w:t>
      </w:r>
      <w:r>
        <w:rPr>
          <w:rtl w:val="true"/>
        </w:rPr>
        <w:t>לא הייתה מחלוקת שהמערער נחקר בשעות הלילה המאוחרות ובשעות הבוקר המוקדמות ללא אישור קצין מוסמך</w:t>
      </w:r>
      <w:r>
        <w:rPr>
          <w:rtl w:val="true"/>
        </w:rPr>
        <w:t xml:space="preserve">, </w:t>
      </w:r>
      <w:r>
        <w:rPr>
          <w:rtl w:val="true"/>
        </w:rPr>
        <w:t xml:space="preserve">בניגוד </w:t>
      </w:r>
      <w:hyperlink r:id="rId71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לחוק הנוער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הלכה היא מקדמת דנן</w:t>
      </w:r>
      <w:r>
        <w:rPr>
          <w:rtl w:val="true"/>
        </w:rPr>
        <w:t xml:space="preserve">, </w:t>
      </w:r>
      <w:r>
        <w:rPr>
          <w:rtl w:val="true"/>
        </w:rPr>
        <w:t>כי אין במחדלי חקירה כשלעצמם כדי להביא לזיכויו של נאשם</w:t>
      </w:r>
      <w:r>
        <w:rPr>
          <w:rtl w:val="true"/>
        </w:rPr>
        <w:t xml:space="preserve">, </w:t>
      </w:r>
      <w:r>
        <w:rPr>
          <w:rtl w:val="true"/>
        </w:rPr>
        <w:t xml:space="preserve">אם למרות המחדלים הונחה תשתית ראייתית מספקת להוכחת אשמתו בעבירות שיוחסו לו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סולימאן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24.9.2012</w:t>
      </w:r>
      <w:r>
        <w:rPr>
          <w:rtl w:val="true"/>
        </w:rPr>
        <w:t xml:space="preserve">);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8187/11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19.8.2013</w:t>
      </w:r>
      <w:r>
        <w:rPr>
          <w:rtl w:val="true"/>
        </w:rPr>
        <w:t xml:space="preserve">);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8050/17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31.10.2018</w:t>
      </w:r>
      <w:r>
        <w:rPr>
          <w:rtl w:val="true"/>
        </w:rPr>
        <w:t xml:space="preserve">)). </w:t>
      </w:r>
      <w:r>
        <w:rPr>
          <w:rtl w:val="true"/>
        </w:rPr>
        <w:t>השאלה היא האם מחדלי החקירה מקימים חשש כי הגנתו של הנאשם קופחה</w:t>
      </w:r>
      <w:r>
        <w:rPr>
          <w:rtl w:val="true"/>
        </w:rPr>
        <w:t xml:space="preserve">, </w:t>
      </w:r>
      <w:r>
        <w:rPr>
          <w:rtl w:val="true"/>
        </w:rPr>
        <w:t xml:space="preserve">מכיוון שנוצר לו קושי להתמודד עם חומר הראיות נגדו או להוכיח את גרסתו שלו </w:t>
      </w:r>
      <w:r>
        <w:rPr>
          <w:rtl w:val="true"/>
        </w:rPr>
        <w:t>(</w:t>
      </w:r>
      <w:hyperlink r:id="rId7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2694/14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ניאזוב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73</w:t>
      </w:r>
      <w:r>
        <w:rPr>
          <w:rtl w:val="true"/>
        </w:rPr>
        <w:t xml:space="preserve">). </w:t>
      </w:r>
      <w:r>
        <w:rPr>
          <w:rtl w:val="true"/>
        </w:rPr>
        <w:t>יש אפוא לבדוק את מכלול הראיות ואם עומדת לפני בית המשפט תשתית ראייתית מהימנה ורחבה המובילה להרשעת הנאשם</w:t>
      </w:r>
      <w:r>
        <w:rPr>
          <w:rtl w:val="true"/>
        </w:rPr>
        <w:t xml:space="preserve">, </w:t>
      </w:r>
      <w:r>
        <w:rPr>
          <w:rtl w:val="true"/>
        </w:rPr>
        <w:t xml:space="preserve">חרף קיומם של מחדלי החקירה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15.4.2013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חלק מהוראות חוק הנוער עליהן הצביע המערער הן יחסיות ומאפשרות חריגה מהן בהתקיימן של הנסיבות הקבועות בחוק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30.12.2014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>
          <w:sz w:val="22"/>
        </w:rPr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הצטברות המחדלים הרבים וחומרתם</w:t>
      </w:r>
      <w:r>
        <w:rPr>
          <w:rtl w:val="true"/>
        </w:rPr>
        <w:t xml:space="preserve">, </w:t>
      </w:r>
      <w:r>
        <w:rPr>
          <w:rtl w:val="true"/>
        </w:rPr>
        <w:t xml:space="preserve">ובעיקר ההשלכה הישירה אשר יש להם על הרשעת המערער </w:t>
      </w:r>
      <w:r>
        <w:rPr>
          <w:rtl w:val="true"/>
        </w:rPr>
        <w:t>–</w:t>
      </w:r>
      <w:r>
        <w:rPr>
          <w:rtl w:val="true"/>
        </w:rPr>
        <w:t xml:space="preserve"> שכן חלק משמעותי מהנימוקים שהובילו את בית המשפט המחוזי למסקנה שיש להרשיע את המערער היה הסתירות שנתגלו בין הגרסה שמסר המערער באותה חקירה לבין עדותו בבית המשפט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r>
        <w:rPr>
          <w:rtl w:val="true"/>
        </w:rPr>
        <w:t xml:space="preserve">פסקאות </w:t>
      </w:r>
      <w:r>
        <w:rPr/>
        <w:t>42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, </w:t>
      </w:r>
      <w:r>
        <w:rPr/>
        <w:t>49</w:t>
      </w:r>
      <w:r>
        <w:rPr>
          <w:rtl w:val="true"/>
        </w:rPr>
        <w:t xml:space="preserve">, </w:t>
      </w:r>
      <w:r>
        <w:rPr/>
        <w:t>56</w:t>
      </w:r>
      <w:r>
        <w:rPr>
          <w:rtl w:val="true"/>
        </w:rPr>
        <w:t xml:space="preserve">, </w:t>
      </w:r>
      <w:r>
        <w:rPr/>
        <w:t>57</w:t>
      </w:r>
      <w:r>
        <w:rPr>
          <w:rtl w:val="true"/>
        </w:rPr>
        <w:t xml:space="preserve">, </w:t>
      </w:r>
      <w:r>
        <w:rPr/>
        <w:t>61</w:t>
      </w:r>
      <w:r>
        <w:rPr>
          <w:rtl w:val="true"/>
        </w:rPr>
        <w:t xml:space="preserve">,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 xml:space="preserve">בחוות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20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20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20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בהצטבר אי</w:t>
      </w:r>
      <w:r>
        <w:rPr>
          <w:rtl w:val="true"/>
        </w:rPr>
        <w:t>-</w:t>
      </w:r>
      <w:r>
        <w:rPr>
          <w:rtl w:val="true"/>
        </w:rPr>
        <w:t>השמעת עדותה של המתלוננת בשנית</w:t>
      </w:r>
      <w:r>
        <w:rPr>
          <w:rtl w:val="true"/>
        </w:rPr>
        <w:t xml:space="preserve">, </w:t>
      </w:r>
      <w:r>
        <w:rPr>
          <w:rtl w:val="true"/>
        </w:rPr>
        <w:t>אינם מאפשרים הותרת הרשעתו על כנה</w:t>
      </w:r>
      <w:r>
        <w:rPr>
          <w:rtl w:val="true"/>
        </w:rPr>
        <w:t xml:space="preserve">. </w:t>
      </w:r>
      <w:r>
        <w:rPr>
          <w:rtl w:val="true"/>
        </w:rPr>
        <w:t xml:space="preserve">התייחסותו של בית המשפט המחוזי למחדלים של המשטרה לא הייתה לעניות דעתי מספיקה ולמעט הבעת מורת רוח מהם וראייתם </w:t>
      </w:r>
      <w:r>
        <w:rPr>
          <w:rtl w:val="true"/>
        </w:rPr>
        <w:t>"</w:t>
      </w:r>
      <w:r>
        <w:rPr>
          <w:rtl w:val="true"/>
        </w:rPr>
        <w:t>כפגמים טכניים</w:t>
      </w:r>
      <w:r>
        <w:rPr>
          <w:rtl w:val="true"/>
        </w:rPr>
        <w:t xml:space="preserve">", </w:t>
      </w:r>
      <w:r>
        <w:rPr>
          <w:rtl w:val="true"/>
        </w:rPr>
        <w:t>לא ניתן להם המשקל המתאים</w:t>
      </w:r>
      <w:r>
        <w:rPr>
          <w:rtl w:val="true"/>
        </w:rPr>
        <w:t>.</w:t>
      </w:r>
      <w:r>
        <w:rPr>
          <w:sz w:val="22"/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ואדגיש</w:t>
      </w:r>
      <w:r>
        <w:rPr>
          <w:rtl w:val="true"/>
        </w:rPr>
        <w:t xml:space="preserve">, </w:t>
      </w:r>
      <w:r>
        <w:rPr>
          <w:rtl w:val="true"/>
        </w:rPr>
        <w:t>מדובר ברמיסה בוטה של זכויותיו של קטין כפי שהן מעוגנות במסגרת חוק הנוער</w:t>
      </w:r>
      <w:r>
        <w:rPr>
          <w:rtl w:val="true"/>
        </w:rPr>
        <w:t xml:space="preserve">, </w:t>
      </w:r>
      <w:r>
        <w:rPr>
          <w:rtl w:val="true"/>
        </w:rPr>
        <w:t>ללא כל נימוק והסבר ראוי</w:t>
      </w:r>
      <w:r>
        <w:rPr>
          <w:rtl w:val="true"/>
        </w:rPr>
        <w:t xml:space="preserve">. </w:t>
      </w:r>
      <w:r>
        <w:rPr>
          <w:rtl w:val="true"/>
        </w:rPr>
        <w:t xml:space="preserve">מדובר כאמור במערער שהיה נער כבן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בעת האירוע</w:t>
      </w:r>
      <w:r>
        <w:rPr>
          <w:rtl w:val="true"/>
        </w:rPr>
        <w:t xml:space="preserve">. </w:t>
      </w:r>
      <w:r>
        <w:rPr>
          <w:rtl w:val="true"/>
        </w:rPr>
        <w:t>הוא נעצר באישון לילה ונחקר בשעות הקטנות של הלילה</w:t>
      </w:r>
      <w:r>
        <w:rPr>
          <w:rtl w:val="true"/>
        </w:rPr>
        <w:t xml:space="preserve">. </w:t>
      </w:r>
      <w:r>
        <w:rPr>
          <w:rtl w:val="true"/>
        </w:rPr>
        <w:t>החקירה התבצעה ללא נוכחות הוריו מבלי שניתנה לו האפשרות להיוועץ עמם</w:t>
      </w:r>
      <w:r>
        <w:rPr>
          <w:rtl w:val="true"/>
        </w:rPr>
        <w:t xml:space="preserve">, </w:t>
      </w:r>
      <w:r>
        <w:rPr>
          <w:rtl w:val="true"/>
        </w:rPr>
        <w:t>ומבלי שניתנה לו תשובה עניינית לשאלה ששאל</w:t>
      </w:r>
      <w:r>
        <w:rPr>
          <w:rtl w:val="true"/>
        </w:rPr>
        <w:t xml:space="preserve">, </w:t>
      </w:r>
      <w:r>
        <w:rPr>
          <w:rtl w:val="true"/>
        </w:rPr>
        <w:t>במהלך החקירה</w:t>
      </w:r>
      <w:r>
        <w:rPr>
          <w:rtl w:val="true"/>
        </w:rPr>
        <w:t xml:space="preserve">, </w:t>
      </w:r>
      <w:r>
        <w:rPr>
          <w:rtl w:val="true"/>
        </w:rPr>
        <w:t>מדוע לא מאפשרים לאדם קרוב להיות נוכח בחקירתו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חרף העובדה שהיה ראוי כי החוקרים יעמדו על מיצוי זכות ההיוועצות עם עורך דין</w:t>
      </w:r>
      <w:r>
        <w:rPr>
          <w:rtl w:val="true"/>
        </w:rPr>
        <w:t xml:space="preserve">, </w:t>
      </w:r>
      <w:r>
        <w:rPr>
          <w:rtl w:val="true"/>
        </w:rPr>
        <w:t xml:space="preserve">שעה שמדובר בקטין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5962/11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2.5.2012</w:t>
      </w:r>
      <w:r>
        <w:rPr>
          <w:rtl w:val="true"/>
        </w:rPr>
        <w:t xml:space="preserve">)) </w:t>
      </w:r>
      <w:r>
        <w:rPr>
          <w:rtl w:val="true"/>
        </w:rPr>
        <w:t>לא נמסרה הודעה לסנגורו או לסנגוריה הציבורית</w:t>
      </w:r>
      <w:r>
        <w:rPr>
          <w:rtl w:val="true"/>
        </w:rPr>
        <w:t xml:space="preserve">. </w:t>
      </w:r>
      <w:r>
        <w:rPr>
          <w:rtl w:val="true"/>
        </w:rPr>
        <w:t>גם לא ברור מדוע הדבר נעשה ומה הייתה הבהילות הרבה לחקור את המערער באופן שבו נחקר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 xml:space="preserve">אף צפיתי בחקירתו המתועדת של המערער בווידאו ואודיאו עת נעצר על ידי המשטרה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המגלה תמונה מטרידה ביותר</w:t>
      </w:r>
      <w:r>
        <w:rPr>
          <w:rtl w:val="true"/>
        </w:rPr>
        <w:t xml:space="preserve">. </w:t>
      </w:r>
      <w:r>
        <w:rPr>
          <w:rtl w:val="true"/>
        </w:rPr>
        <w:t>בחקירה זו</w:t>
      </w:r>
      <w:r>
        <w:rPr>
          <w:rtl w:val="true"/>
        </w:rPr>
        <w:t xml:space="preserve">, </w:t>
      </w:r>
      <w:r>
        <w:rPr>
          <w:rtl w:val="true"/>
        </w:rPr>
        <w:t xml:space="preserve">על אף שהיא התנהלה </w:t>
      </w:r>
      <w:r>
        <w:rPr>
          <w:rtl w:val="true"/>
        </w:rPr>
        <w:t>"</w:t>
      </w:r>
      <w:r>
        <w:rPr>
          <w:rtl w:val="true"/>
        </w:rPr>
        <w:t>על מי מנוחות</w:t>
      </w:r>
      <w:r>
        <w:rPr>
          <w:rtl w:val="true"/>
        </w:rPr>
        <w:t xml:space="preserve">", </w:t>
      </w:r>
      <w:r>
        <w:rPr>
          <w:rtl w:val="true"/>
        </w:rPr>
        <w:t>ניכרת עייפותו של המערער</w:t>
      </w:r>
      <w:r>
        <w:rPr>
          <w:rtl w:val="true"/>
        </w:rPr>
        <w:t xml:space="preserve">, </w:t>
      </w:r>
      <w:r>
        <w:rPr>
          <w:rtl w:val="true"/>
        </w:rPr>
        <w:t>אשר לא פעם נרדם במרוצת חקירתו</w:t>
      </w:r>
      <w:r>
        <w:rPr>
          <w:rtl w:val="true"/>
        </w:rPr>
        <w:t xml:space="preserve">. </w:t>
      </w:r>
      <w:r>
        <w:rPr>
          <w:rtl w:val="true"/>
        </w:rPr>
        <w:t>החוקר אף נאלץ להעירו בגערה</w:t>
      </w:r>
      <w:r>
        <w:rPr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rtl w:val="true"/>
        </w:rPr>
        <w:t xml:space="preserve">עדותו התנהלה כאשר היה </w:t>
      </w:r>
      <w:r>
        <w:rPr>
          <w:rtl w:val="true"/>
        </w:rPr>
        <w:t>"</w:t>
      </w:r>
      <w:r>
        <w:rPr>
          <w:rtl w:val="true"/>
        </w:rPr>
        <w:t>נים ולא נים תיר ולא תיר דקרו ליה ועני ולא ידע אהדורי סברא</w:t>
      </w:r>
      <w:r>
        <w:rPr>
          <w:rtl w:val="true"/>
        </w:rPr>
        <w:t>" (</w:t>
      </w:r>
      <w:r>
        <w:rPr>
          <w:rtl w:val="true"/>
        </w:rPr>
        <w:t>ישן ולא ישן</w:t>
      </w:r>
      <w:r>
        <w:rPr>
          <w:rtl w:val="true"/>
        </w:rPr>
        <w:t xml:space="preserve">, </w:t>
      </w:r>
      <w:r>
        <w:rPr>
          <w:rtl w:val="true"/>
        </w:rPr>
        <w:t>ער ולא ער</w:t>
      </w:r>
      <w:r>
        <w:rPr>
          <w:rtl w:val="true"/>
        </w:rPr>
        <w:t xml:space="preserve">. </w:t>
      </w:r>
      <w:r>
        <w:rPr>
          <w:rtl w:val="true"/>
        </w:rPr>
        <w:t>כשקוראים לו הוא עונה</w:t>
      </w:r>
      <w:r>
        <w:rPr>
          <w:rtl w:val="true"/>
        </w:rPr>
        <w:t xml:space="preserve">. </w:t>
      </w:r>
      <w:r>
        <w:rPr>
          <w:rtl w:val="true"/>
        </w:rPr>
        <w:t>ואם שואלים אותו דבר שמצריך מחשבה אינו יודע להשיב</w:t>
      </w:r>
      <w:r>
        <w:rPr>
          <w:rtl w:val="true"/>
        </w:rPr>
        <w:t>)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תענית</w:t>
      </w:r>
      <w:r>
        <w:rPr>
          <w:rtl w:val="true"/>
        </w:rPr>
        <w:t xml:space="preserve">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במצב שכזה מוקשה בעיני כאמור להרשיע אדם</w:t>
      </w:r>
      <w:r>
        <w:rPr>
          <w:rtl w:val="true"/>
        </w:rPr>
        <w:t xml:space="preserve">, </w:t>
      </w:r>
      <w:r>
        <w:rPr>
          <w:rtl w:val="true"/>
        </w:rPr>
        <w:t>בהתבסס בין היתר על הגרסה שמסר בנסיבות אלו</w:t>
      </w:r>
      <w:r>
        <w:rPr>
          <w:rtl w:val="true"/>
        </w:rPr>
        <w:t xml:space="preserve">, </w:t>
      </w:r>
      <w:r>
        <w:rPr>
          <w:rtl w:val="true"/>
        </w:rPr>
        <w:t>ועל הסתירות הקיימות בין גרסה זו לבין עדותו בבית המשפט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</w:t>
      </w:r>
      <w:r>
        <w:rPr>
          <w:rtl w:val="true"/>
        </w:rPr>
        <w:t xml:space="preserve"> המשפט גם לא נתן משקל מספק לקיומן של סתירות משמעותיות בין ההודעות כפי שתועדו על ידי החוקר לבין העולה מהתיעוד</w:t>
      </w:r>
      <w:r>
        <w:rPr>
          <w:rtl w:val="true"/>
        </w:rPr>
        <w:t xml:space="preserve">, </w:t>
      </w:r>
      <w:r>
        <w:rPr>
          <w:rtl w:val="true"/>
        </w:rPr>
        <w:t>סתירות אשר אין חולק על קיומן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textAlignment w:val="baseline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כל אחד ממחדלי החקירה שפורטו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לא היה מוביל לזיכויו של המערער</w:t>
      </w:r>
      <w:r>
        <w:rPr>
          <w:rtl w:val="true"/>
        </w:rPr>
        <w:t xml:space="preserve">. </w:t>
      </w:r>
      <w:r>
        <w:rPr>
          <w:rtl w:val="true"/>
        </w:rPr>
        <w:t>יש אף לומר כי הצטברותם של כל מחדלי החקירה לא הייתה מובילה בהכרח לזיכוי כאמור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בהצטבר מחדלי החקירה וחומרתם ובכלל זה אי עמידה על זכויותיו הבסיסיות של המערער בעת חקירתו בניגוד לחוק הנוער</w:t>
      </w:r>
      <w:r>
        <w:rPr>
          <w:rtl w:val="true"/>
        </w:rPr>
        <w:t xml:space="preserve">; </w:t>
      </w:r>
      <w:r>
        <w:rPr>
          <w:rtl w:val="true"/>
        </w:rPr>
        <w:t>הסתמכותו של בית המשפט על הסתירות שנתגלו בין גרסתו השנויה במחלוקת של המערער לפני חוקר המשטרה לבין גרסתו בבית המשפט</w:t>
      </w:r>
      <w:r>
        <w:rPr>
          <w:rtl w:val="true"/>
        </w:rPr>
        <w:t xml:space="preserve">; </w:t>
      </w:r>
      <w:r>
        <w:rPr>
          <w:rtl w:val="true"/>
        </w:rPr>
        <w:t xml:space="preserve">אי שמיעת עדותה של המתלוננת בשנית לפני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tl w:val="true"/>
        </w:rPr>
        <w:t xml:space="preserve">; </w:t>
      </w:r>
      <w:r>
        <w:rPr>
          <w:rtl w:val="true"/>
        </w:rPr>
        <w:t xml:space="preserve">חוות דעתו המזכה מפאת הספק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צרפתי</w:t>
      </w:r>
      <w:r>
        <w:rPr>
          <w:rtl w:val="true"/>
        </w:rPr>
        <w:t xml:space="preserve">, </w:t>
      </w:r>
      <w:r>
        <w:rPr>
          <w:rtl w:val="true"/>
        </w:rPr>
        <w:t>לא הייתי מותיר את הרשעתו של המערער על כנה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4.2.2020</w:t>
      </w:r>
      <w:r>
        <w:rPr>
          <w:rtl w:val="true"/>
        </w:rPr>
        <w:t xml:space="preserve">). </w:t>
      </w:r>
      <w:bookmarkEnd w:id="20"/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18089780</w:t>
      </w:r>
      <w:r>
        <w:rPr>
          <w:sz w:val="16"/>
          <w:rtl w:val="true"/>
        </w:rPr>
        <w:t>_</w:t>
      </w:r>
      <w:r>
        <w:rPr>
          <w:sz w:val="16"/>
        </w:rPr>
        <w:t>O15.docx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54678313-8978/18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3"/>
      <w:footerReference w:type="default" r:id="rId8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8978/18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bidi="he-IL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bidi="he-I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1">
    <w:name w:val="חזק1"/>
    <w:qFormat/>
    <w:rPr>
      <w:b/>
      <w:bCs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qFormat/>
    <w:rPr>
      <w:rFonts w:ascii="Times New Roman" w:hAnsi="Times New Roman" w:cs="Miriam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3048904" TargetMode="External"/><Relationship Id="rId3" Type="http://schemas.openxmlformats.org/officeDocument/2006/relationships/hyperlink" Target="http://www.nevo.co.il/safrut/book/8237" TargetMode="External"/><Relationship Id="rId4" Type="http://schemas.openxmlformats.org/officeDocument/2006/relationships/hyperlink" Target="http://www.nevo.co.il/safrut/book/8237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0.c.1" TargetMode="External"/><Relationship Id="rId7" Type="http://schemas.openxmlformats.org/officeDocument/2006/relationships/hyperlink" Target="http://www.nevo.co.il/law/70301/20.c.a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0301/348.c" TargetMode="External"/><Relationship Id="rId11" Type="http://schemas.openxmlformats.org/officeDocument/2006/relationships/hyperlink" Target="http://www.nevo.co.il/law/70348" TargetMode="External"/><Relationship Id="rId12" Type="http://schemas.openxmlformats.org/officeDocument/2006/relationships/hyperlink" Target="http://www.nevo.co.il/law/70348/9h" TargetMode="External"/><Relationship Id="rId13" Type="http://schemas.openxmlformats.org/officeDocument/2006/relationships/hyperlink" Target="http://www.nevo.co.il/law/70348/9h.a" TargetMode="External"/><Relationship Id="rId14" Type="http://schemas.openxmlformats.org/officeDocument/2006/relationships/hyperlink" Target="http://www.nevo.co.il/law/70348/9i" TargetMode="External"/><Relationship Id="rId15" Type="http://schemas.openxmlformats.org/officeDocument/2006/relationships/hyperlink" Target="http://www.nevo.co.il/law/70348/9j" TargetMode="External"/><Relationship Id="rId16" Type="http://schemas.openxmlformats.org/officeDocument/2006/relationships/hyperlink" Target="http://www.nevo.co.il/law/74903" TargetMode="External"/><Relationship Id="rId17" Type="http://schemas.openxmlformats.org/officeDocument/2006/relationships/hyperlink" Target="http://www.nevo.co.il/law/74903/233" TargetMode="External"/><Relationship Id="rId18" Type="http://schemas.openxmlformats.org/officeDocument/2006/relationships/hyperlink" Target="http://www.nevo.co.il/law/74903/234" TargetMode="External"/><Relationship Id="rId19" Type="http://schemas.openxmlformats.org/officeDocument/2006/relationships/hyperlink" Target="http://www.nevo.co.il/law/74903/233" TargetMode="External"/><Relationship Id="rId20" Type="http://schemas.openxmlformats.org/officeDocument/2006/relationships/hyperlink" Target="http://www.nevo.co.il/case/13048904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47.b" TargetMode="External"/><Relationship Id="rId24" Type="http://schemas.openxmlformats.org/officeDocument/2006/relationships/hyperlink" Target="http://www.nevo.co.il/law/70301/348.c" TargetMode="External"/><Relationship Id="rId25" Type="http://schemas.openxmlformats.org/officeDocument/2006/relationships/hyperlink" Target="http://www.nevo.co.il/law/70348" TargetMode="External"/><Relationship Id="rId26" Type="http://schemas.openxmlformats.org/officeDocument/2006/relationships/hyperlink" Target="http://www.nevo.co.il/law/70301/20.c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48/9h.a" TargetMode="External"/><Relationship Id="rId29" Type="http://schemas.openxmlformats.org/officeDocument/2006/relationships/hyperlink" Target="http://www.nevo.co.il/law/74903/233" TargetMode="External"/><Relationship Id="rId30" Type="http://schemas.openxmlformats.org/officeDocument/2006/relationships/hyperlink" Target="http://www.nevo.co.il/law/74903/234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case/5922787" TargetMode="External"/><Relationship Id="rId33" Type="http://schemas.openxmlformats.org/officeDocument/2006/relationships/hyperlink" Target="http://www.nevo.co.il/case/6129410" TargetMode="External"/><Relationship Id="rId34" Type="http://schemas.openxmlformats.org/officeDocument/2006/relationships/hyperlink" Target="http://www.nevo.co.il/case/6151033" TargetMode="External"/><Relationship Id="rId35" Type="http://schemas.openxmlformats.org/officeDocument/2006/relationships/hyperlink" Target="http://www.nevo.co.il/case/5758600" TargetMode="External"/><Relationship Id="rId36" Type="http://schemas.openxmlformats.org/officeDocument/2006/relationships/hyperlink" Target="http://www.nevo.co.il/case/6244428" TargetMode="External"/><Relationship Id="rId37" Type="http://schemas.openxmlformats.org/officeDocument/2006/relationships/hyperlink" Target="http://www.nevo.co.il/case/5971479" TargetMode="External"/><Relationship Id="rId38" Type="http://schemas.openxmlformats.org/officeDocument/2006/relationships/hyperlink" Target="http://www.nevo.co.il/case/5756128" TargetMode="External"/><Relationship Id="rId39" Type="http://schemas.openxmlformats.org/officeDocument/2006/relationships/hyperlink" Target="http://www.nevo.co.il/case/5979781" TargetMode="External"/><Relationship Id="rId40" Type="http://schemas.openxmlformats.org/officeDocument/2006/relationships/hyperlink" Target="http://www.nevo.co.il/case/6135796" TargetMode="External"/><Relationship Id="rId41" Type="http://schemas.openxmlformats.org/officeDocument/2006/relationships/hyperlink" Target="http://www.nevo.co.il/case/17942669" TargetMode="External"/><Relationship Id="rId42" Type="http://schemas.openxmlformats.org/officeDocument/2006/relationships/hyperlink" Target="http://www.nevo.co.il/case/16910772" TargetMode="External"/><Relationship Id="rId43" Type="http://schemas.openxmlformats.org/officeDocument/2006/relationships/hyperlink" Target="http://www.nevo.co.il/case/6244821" TargetMode="External"/><Relationship Id="rId44" Type="http://schemas.openxmlformats.org/officeDocument/2006/relationships/hyperlink" Target="http://www.nevo.co.il/case/21029239" TargetMode="External"/><Relationship Id="rId45" Type="http://schemas.openxmlformats.org/officeDocument/2006/relationships/hyperlink" Target="http://www.nevo.co.il/safrut/book/8237" TargetMode="External"/><Relationship Id="rId46" Type="http://schemas.openxmlformats.org/officeDocument/2006/relationships/hyperlink" Target="http://www.nevo.co.il/case/5739234" TargetMode="External"/><Relationship Id="rId47" Type="http://schemas.openxmlformats.org/officeDocument/2006/relationships/hyperlink" Target="http://www.nevo.co.il/case/20030304" TargetMode="External"/><Relationship Id="rId48" Type="http://schemas.openxmlformats.org/officeDocument/2006/relationships/hyperlink" Target="http://www.nevo.co.il/law/70301/20.c.a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case/5755866" TargetMode="External"/><Relationship Id="rId51" Type="http://schemas.openxmlformats.org/officeDocument/2006/relationships/hyperlink" Target="http://www.nevo.co.il/case/5875466" TargetMode="External"/><Relationship Id="rId52" Type="http://schemas.openxmlformats.org/officeDocument/2006/relationships/hyperlink" Target="http://www.nevo.co.il/case/5739234" TargetMode="External"/><Relationship Id="rId53" Type="http://schemas.openxmlformats.org/officeDocument/2006/relationships/hyperlink" Target="http://www.nevo.co.il/law/70348" TargetMode="External"/><Relationship Id="rId54" Type="http://schemas.openxmlformats.org/officeDocument/2006/relationships/hyperlink" Target="http://www.nevo.co.il/law/74903/233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law/74903" TargetMode="External"/><Relationship Id="rId57" Type="http://schemas.openxmlformats.org/officeDocument/2006/relationships/hyperlink" Target="http://www.nevo.co.il/law/74903/234" TargetMode="External"/><Relationship Id="rId58" Type="http://schemas.openxmlformats.org/officeDocument/2006/relationships/hyperlink" Target="http://www.nevo.co.il/law/74903" TargetMode="External"/><Relationship Id="rId59" Type="http://schemas.openxmlformats.org/officeDocument/2006/relationships/hyperlink" Target="http://www.nevo.co.il/law/74903/233" TargetMode="External"/><Relationship Id="rId60" Type="http://schemas.openxmlformats.org/officeDocument/2006/relationships/hyperlink" Target="http://www.nevo.co.il/case/20000914" TargetMode="External"/><Relationship Id="rId61" Type="http://schemas.openxmlformats.org/officeDocument/2006/relationships/hyperlink" Target="http://www.nevo.co.il/case/5979781" TargetMode="External"/><Relationship Id="rId62" Type="http://schemas.openxmlformats.org/officeDocument/2006/relationships/hyperlink" Target="http://www.nevo.co.il/case/6200481" TargetMode="External"/><Relationship Id="rId63" Type="http://schemas.openxmlformats.org/officeDocument/2006/relationships/hyperlink" Target="http://www.nevo.co.il/case/6135796" TargetMode="External"/><Relationship Id="rId64" Type="http://schemas.openxmlformats.org/officeDocument/2006/relationships/hyperlink" Target="http://www.nevo.co.il/case/6026374" TargetMode="External"/><Relationship Id="rId65" Type="http://schemas.openxmlformats.org/officeDocument/2006/relationships/hyperlink" Target="http://www.nevo.co.il/case/22505950" TargetMode="External"/><Relationship Id="rId66" Type="http://schemas.openxmlformats.org/officeDocument/2006/relationships/hyperlink" Target="http://www.nevo.co.il/case/6248273" TargetMode="External"/><Relationship Id="rId67" Type="http://schemas.openxmlformats.org/officeDocument/2006/relationships/hyperlink" Target="http://www.nevo.co.il/case/5816508" TargetMode="External"/><Relationship Id="rId68" Type="http://schemas.openxmlformats.org/officeDocument/2006/relationships/hyperlink" Target="http://www.nevo.co.il/case/5758600" TargetMode="External"/><Relationship Id="rId69" Type="http://schemas.openxmlformats.org/officeDocument/2006/relationships/hyperlink" Target="http://www.nevo.co.il/law/70348/9h" TargetMode="External"/><Relationship Id="rId70" Type="http://schemas.openxmlformats.org/officeDocument/2006/relationships/hyperlink" Target="http://www.nevo.co.il/law/70348/9i" TargetMode="External"/><Relationship Id="rId71" Type="http://schemas.openxmlformats.org/officeDocument/2006/relationships/hyperlink" Target="http://www.nevo.co.il/law/70348/9j" TargetMode="External"/><Relationship Id="rId72" Type="http://schemas.openxmlformats.org/officeDocument/2006/relationships/hyperlink" Target="http://www.nevo.co.il/case/5607919" TargetMode="External"/><Relationship Id="rId73" Type="http://schemas.openxmlformats.org/officeDocument/2006/relationships/hyperlink" Target="http://www.nevo.co.il/case/6248273" TargetMode="External"/><Relationship Id="rId74" Type="http://schemas.openxmlformats.org/officeDocument/2006/relationships/hyperlink" Target="http://www.nevo.co.il/case/23354200" TargetMode="External"/><Relationship Id="rId75" Type="http://schemas.openxmlformats.org/officeDocument/2006/relationships/hyperlink" Target="http://www.nevo.co.il/case/20687580" TargetMode="External"/><Relationship Id="rId76" Type="http://schemas.openxmlformats.org/officeDocument/2006/relationships/hyperlink" Target="http://www.nevo.co.il/case/6248583" TargetMode="External"/><Relationship Id="rId77" Type="http://schemas.openxmlformats.org/officeDocument/2006/relationships/hyperlink" Target="http://www.nevo.co.il/case/5605914" TargetMode="External"/><Relationship Id="rId78" Type="http://schemas.openxmlformats.org/officeDocument/2006/relationships/hyperlink" Target="http://www.nevo.co.il/case/5585473" TargetMode="External"/><Relationship Id="rId79" Type="http://schemas.openxmlformats.org/officeDocument/2006/relationships/hyperlink" Target="http://www.nevo.co.il/case/6245911" TargetMode="External"/><Relationship Id="rId80" Type="http://schemas.openxmlformats.org/officeDocument/2006/relationships/hyperlink" Target="http://www.nevo.co.il/case/6246738" TargetMode="External"/><Relationship Id="rId81" Type="http://schemas.openxmlformats.org/officeDocument/2006/relationships/hyperlink" Target="http://supreme.court.gov.il/" TargetMode="External"/><Relationship Id="rId82" Type="http://schemas.openxmlformats.org/officeDocument/2006/relationships/hyperlink" Target="http://www.nevo.co.il/advertisements/nevo-100.doc" TargetMode="External"/><Relationship Id="rId83" Type="http://schemas.openxmlformats.org/officeDocument/2006/relationships/header" Target="header1.xml"/><Relationship Id="rId84" Type="http://schemas.openxmlformats.org/officeDocument/2006/relationships/footer" Target="footer1.xml"/><Relationship Id="rId85" Type="http://schemas.openxmlformats.org/officeDocument/2006/relationships/numbering" Target="numbering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2020-02-05T08:46:00Z</dcterms:created>
  <dc:creator>h4</dc:creator>
  <dc:description/>
  <cp:keywords/>
  <dc:language>en-IL</dc:language>
  <cp:lastModifiedBy>orly</cp:lastModifiedBy>
  <cp:lastPrinted>2020-02-04T12:05:00Z</cp:lastPrinted>
  <dcterms:modified xsi:type="dcterms:W3CDTF">2020-02-05T08:46:00Z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8237</vt:lpwstr>
  </property>
  <property fmtid="{D5CDD505-2E9C-101B-9397-08002B2CF9AE}" pid="9" name="CASESLISTTMP1">
    <vt:lpwstr>13048904:2;5922787;6129410;6151033;5758600:2;6244428;5971479;5756128;5979781:2;6135796:2;17942669;16910772;6244821;21029239;5739234:2;20030304;5755866;5875466;20000914;6200481;6026374;22505950;6248273:2;5816508;5607919;23354200;20687580;6248583;5605914</vt:lpwstr>
  </property>
  <property fmtid="{D5CDD505-2E9C-101B-9397-08002B2CF9AE}" pid="10" name="CASESLISTTMP2">
    <vt:lpwstr>5585473;6245911;6246738</vt:lpwstr>
  </property>
  <property fmtid="{D5CDD505-2E9C-101B-9397-08002B2CF9AE}" pid="11" name="CITY">
    <vt:lpwstr/>
  </property>
  <property fmtid="{D5CDD505-2E9C-101B-9397-08002B2CF9AE}" pid="12" name="DATE">
    <vt:lpwstr>20200204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סולברג;ד' ברק ארז;ד' מינץ</vt:lpwstr>
  </property>
  <property fmtid="{D5CDD505-2E9C-101B-9397-08002B2CF9AE}" pid="16" name="LAWLISTTMP1">
    <vt:lpwstr>70301/345.a.1;347.b;348.c;020.c.1;020.c.a</vt:lpwstr>
  </property>
  <property fmtid="{D5CDD505-2E9C-101B-9397-08002B2CF9AE}" pid="17" name="LAWLISTTMP2">
    <vt:lpwstr>70348/009h.a;009h;009i;009j</vt:lpwstr>
  </property>
  <property fmtid="{D5CDD505-2E9C-101B-9397-08002B2CF9AE}" pid="18" name="LAWLISTTMP3">
    <vt:lpwstr>74903/233:3;234:2</vt:lpwstr>
  </property>
  <property fmtid="{D5CDD505-2E9C-101B-9397-08002B2CF9AE}" pid="19" name="LAWYER">
    <vt:lpwstr>ורד חלאוה;תמי קלנברג;שרון דניאלי;דנה שביט;טלי סמואל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קרן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דיון פלילי</vt:lpwstr>
  </property>
  <property fmtid="{D5CDD505-2E9C-101B-9397-08002B2CF9AE}" pid="31" name="NOSE110">
    <vt:lpwstr/>
  </property>
  <property fmtid="{D5CDD505-2E9C-101B-9397-08002B2CF9AE}" pid="32" name="NOSE12">
    <vt:lpwstr>דיון פלילי</vt:lpwstr>
  </property>
  <property fmtid="{D5CDD505-2E9C-101B-9397-08002B2CF9AE}" pid="33" name="NOSE13">
    <vt:lpwstr>דיון פלילי</vt:lpwstr>
  </property>
  <property fmtid="{D5CDD505-2E9C-101B-9397-08002B2CF9AE}" pid="34" name="NOSE14">
    <vt:lpwstr>דיון פלילי</vt:lpwstr>
  </property>
  <property fmtid="{D5CDD505-2E9C-101B-9397-08002B2CF9AE}" pid="35" name="NOSE15">
    <vt:lpwstr>דיון פלילי</vt:lpwstr>
  </property>
  <property fmtid="{D5CDD505-2E9C-101B-9397-08002B2CF9AE}" pid="36" name="NOSE16">
    <vt:lpwstr>ראיות</vt:lpwstr>
  </property>
  <property fmtid="{D5CDD505-2E9C-101B-9397-08002B2CF9AE}" pid="37" name="NOSE17">
    <vt:lpwstr>עונשין</vt:lpwstr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18;18;18;18;18;89;77</vt:lpwstr>
  </property>
  <property fmtid="{D5CDD505-2E9C-101B-9397-08002B2CF9AE}" pid="41" name="NOSE21">
    <vt:lpwstr>ערעור</vt:lpwstr>
  </property>
  <property fmtid="{D5CDD505-2E9C-101B-9397-08002B2CF9AE}" pid="42" name="NOSE210">
    <vt:lpwstr/>
  </property>
  <property fmtid="{D5CDD505-2E9C-101B-9397-08002B2CF9AE}" pid="43" name="NOSE22">
    <vt:lpwstr>ערעור</vt:lpwstr>
  </property>
  <property fmtid="{D5CDD505-2E9C-101B-9397-08002B2CF9AE}" pid="44" name="NOSE23">
    <vt:lpwstr>בירור האשמה</vt:lpwstr>
  </property>
  <property fmtid="{D5CDD505-2E9C-101B-9397-08002B2CF9AE}" pid="45" name="NOSE24">
    <vt:lpwstr>חקירה במשטרה</vt:lpwstr>
  </property>
  <property fmtid="{D5CDD505-2E9C-101B-9397-08002B2CF9AE}" pid="46" name="NOSE25">
    <vt:lpwstr>ערעור</vt:lpwstr>
  </property>
  <property fmtid="{D5CDD505-2E9C-101B-9397-08002B2CF9AE}" pid="47" name="NOSE26">
    <vt:lpwstr>עדות</vt:lpwstr>
  </property>
  <property fmtid="{D5CDD505-2E9C-101B-9397-08002B2CF9AE}" pid="48" name="NOSE27">
    <vt:lpwstr>מחשבה פלילית</vt:lpwstr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504;504;449;475;504;1654;1436</vt:lpwstr>
  </property>
  <property fmtid="{D5CDD505-2E9C-101B-9397-08002B2CF9AE}" pid="52" name="NOSE31">
    <vt:lpwstr>אי-התערבות בממצאים עובדתיים</vt:lpwstr>
  </property>
  <property fmtid="{D5CDD505-2E9C-101B-9397-08002B2CF9AE}" pid="53" name="NOSE310">
    <vt:lpwstr/>
  </property>
  <property fmtid="{D5CDD505-2E9C-101B-9397-08002B2CF9AE}" pid="54" name="NOSE32">
    <vt:lpwstr>התערבות במימצאים עובדתיים</vt:lpwstr>
  </property>
  <property fmtid="{D5CDD505-2E9C-101B-9397-08002B2CF9AE}" pid="55" name="NOSE33">
    <vt:lpwstr>המשך משפט בפני שופט אחר</vt:lpwstr>
  </property>
  <property fmtid="{D5CDD505-2E9C-101B-9397-08002B2CF9AE}" pid="56" name="NOSE34">
    <vt:lpwstr>מחדלי חקירה</vt:lpwstr>
  </property>
  <property fmtid="{D5CDD505-2E9C-101B-9397-08002B2CF9AE}" pid="57" name="NOSE35">
    <vt:lpwstr>אי-התערבות במידת העונש</vt:lpwstr>
  </property>
  <property fmtid="{D5CDD505-2E9C-101B-9397-08002B2CF9AE}" pid="58" name="NOSE36">
    <vt:lpwstr>קורבן עבירת מין</vt:lpwstr>
  </property>
  <property fmtid="{D5CDD505-2E9C-101B-9397-08002B2CF9AE}" pid="59" name="NOSE37">
    <vt:lpwstr>עצימת עיניים</vt:lpwstr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3849;3858;3564;3672;17039;12270;8722</vt:lpwstr>
  </property>
  <property fmtid="{D5CDD505-2E9C-101B-9397-08002B2CF9AE}" pid="63" name="PADIDATE">
    <vt:lpwstr>20200205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8978</vt:lpwstr>
  </property>
  <property fmtid="{D5CDD505-2E9C-101B-9397-08002B2CF9AE}" pid="69" name="PROCYEAR">
    <vt:lpwstr>18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410120200204</vt:lpwstr>
  </property>
  <property fmtid="{D5CDD505-2E9C-101B-9397-08002B2CF9AE}" pid="73" name="TYPE_N_DATE">
    <vt:lpwstr>41020200204</vt:lpwstr>
  </property>
  <property fmtid="{D5CDD505-2E9C-101B-9397-08002B2CF9AE}" pid="74" name="VOLUME">
    <vt:lpwstr/>
  </property>
  <property fmtid="{D5CDD505-2E9C-101B-9397-08002B2CF9AE}" pid="75" name="WORDNUMPAGES">
    <vt:lpwstr>35</vt:lpwstr>
  </property>
</Properties>
</file>