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8988/16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סימון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6.10.2016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59352-01-16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נ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1.3.2017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אייל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אוחיון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רגב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התוספת הראשונה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ונטילת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חשמל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ייצור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והפקה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סחר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והספקת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ונטילת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חשמל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במרמה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לגידול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קנבוס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חדרים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36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Cs w:val="26"/>
        </w:rPr>
        <w:t>10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40,000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וחילוט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שנתפס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וסולברג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הפקודה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צמח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הקנבוס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מהצמח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המוצעת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מהצמחים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המתייחסת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בפשטות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שנתפסה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וצוינה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המיזם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שיזם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המעבדה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החשמל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והתחרט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הרעיון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ומימש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הכלכלי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מקביעותיו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להתמודד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מולן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ומרתיעה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כלכלית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שעיקרן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סכום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הקנס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נטילת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חשמל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במרמה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בשווי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שקלים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לורך</w:t>
      </w:r>
      <w:r>
        <w:rPr>
          <w:rFonts w:cs="FrankRuehl"/>
          <w:sz w:val="28"/>
          <w:szCs w:val="28"/>
          <w:rtl w:val="true"/>
        </w:rPr>
        <w:t xml:space="preserve">)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59352-01-16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6.10.2016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משאבות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וחימום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אוויר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87.25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קילוגרם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ובנפש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לגודלה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לידע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ולהשקעה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לציוד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המסחרית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מעבדה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כרלוונטית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תשתלמנה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הקנביס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</w:t>
      </w:r>
      <w:r>
        <w:rPr>
          <w:rFonts w:cs="FrankRuehl"/>
          <w:sz w:val="28"/>
          <w:sz w:val="28"/>
          <w:szCs w:val="28"/>
          <w:rtl w:val="true"/>
        </w:rPr>
        <w:t>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לחשמל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2996/16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בלאל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3258/16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וולקוב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22.1.2017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6059/15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סלאמה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10.8.2016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color w:val="000000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87.25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פרשנותו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מהשתילים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למשקלם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התוספת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הראשונה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sz w:val="26"/>
          <w:szCs w:val="26"/>
        </w:rPr>
        <w:t>Cannabis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חלק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ממנו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לרבות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שרשיו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הקנבוס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מהצמח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מהצמחים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6180/16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אלחרומי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26.10.2016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2194/14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שמעון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10.9.2014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שנתפסה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פרשנותה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מצביעות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כאחת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דחיית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המיזם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1654/16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שרר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1932/15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סעדון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17.4.2016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2681/15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שטרית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14.2.2016</w:t>
      </w:r>
      <w:r>
        <w:rPr>
          <w:rFonts w:cs="FrankRuehl"/>
          <w:color w:val="000000"/>
          <w:sz w:val="28"/>
          <w:szCs w:val="28"/>
          <w:rtl w:val="true"/>
        </w:rPr>
        <w:t xml:space="preserve">)),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לבכר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ההרתעה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1274/16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6.10.2016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4592/15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פדידה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לז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8.2.2016</w:t>
      </w:r>
      <w:r>
        <w:rPr>
          <w:rFonts w:cs="FrankRuehl"/>
          <w:color w:val="000000"/>
          <w:sz w:val="28"/>
          <w:szCs w:val="28"/>
          <w:rtl w:val="true"/>
        </w:rPr>
        <w:t xml:space="preserve">)),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כלכלית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שעיקרן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3669/14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גולן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18.12.2016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7952/15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שץ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15.2.2016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יודגש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נטילת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חשמל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במרמה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בשווי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שקלים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ההלכות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שפורטו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16089880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H01.doc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3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ס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rtl w:val="true"/>
        </w:rPr>
        <w:t>'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ובראן </w:t>
      </w:r>
      <w:r>
        <w:rPr>
          <w:rFonts w:cs="David;Times New Roman" w:ascii="David;Times New Roman" w:hAnsi="David;Times New Roman"/>
          <w:color w:val="000000"/>
        </w:rPr>
        <w:t>54678313-8988/16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2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8988/16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אשר בן סימון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cs="FrankRuehl"/>
      <w:b/>
      <w:bCs/>
      <w:spacing w:val="10"/>
      <w:kern w:val="2"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cs="FrankRuehl"/>
      <w:b/>
      <w:bCs/>
      <w:spacing w:val="10"/>
      <w:u w:val="single"/>
    </w:rPr>
  </w:style>
  <w:style w:type="character" w:styleId="Style13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1">
    <w:name w:val="כותרת 1"/>
    <w:basedOn w:val="Normal"/>
    <w:qFormat/>
    <w:pPr/>
    <w:rPr/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20980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1T" TargetMode="External"/><Relationship Id="rId5" Type="http://schemas.openxmlformats.org/officeDocument/2006/relationships/hyperlink" Target="http://www.nevo.co.il/law/4216/6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0" TargetMode="External"/><Relationship Id="rId9" Type="http://schemas.openxmlformats.org/officeDocument/2006/relationships/hyperlink" Target="http://www.nevo.co.il/case/20920980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6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70301/40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1473039" TargetMode="External"/><Relationship Id="rId17" Type="http://schemas.openxmlformats.org/officeDocument/2006/relationships/hyperlink" Target="http://www.nevo.co.il/case/21473423" TargetMode="External"/><Relationship Id="rId18" Type="http://schemas.openxmlformats.org/officeDocument/2006/relationships/hyperlink" Target="http://www.nevo.co.il/case/21472943" TargetMode="External"/><Relationship Id="rId19" Type="http://schemas.openxmlformats.org/officeDocument/2006/relationships/hyperlink" Target="http://www.nevo.co.il/law/4216/6" TargetMode="External"/><Relationship Id="rId20" Type="http://schemas.openxmlformats.org/officeDocument/2006/relationships/hyperlink" Target="http://www.nevo.co.il/law/4216/1T" TargetMode="External"/><Relationship Id="rId21" Type="http://schemas.openxmlformats.org/officeDocument/2006/relationships/hyperlink" Target="http://www.nevo.co.il/case/21477668" TargetMode="External"/><Relationship Id="rId22" Type="http://schemas.openxmlformats.org/officeDocument/2006/relationships/hyperlink" Target="http://www.nevo.co.il/case/13070717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21015131" TargetMode="External"/><Relationship Id="rId25" Type="http://schemas.openxmlformats.org/officeDocument/2006/relationships/hyperlink" Target="http://www.nevo.co.il/case/20118363" TargetMode="External"/><Relationship Id="rId26" Type="http://schemas.openxmlformats.org/officeDocument/2006/relationships/hyperlink" Target="http://www.nevo.co.il/case/20205876" TargetMode="External"/><Relationship Id="rId27" Type="http://schemas.openxmlformats.org/officeDocument/2006/relationships/hyperlink" Target="http://www.nevo.co.il/case/21472796" TargetMode="External"/><Relationship Id="rId28" Type="http://schemas.openxmlformats.org/officeDocument/2006/relationships/hyperlink" Target="http://www.nevo.co.il/case/20412551" TargetMode="External"/><Relationship Id="rId29" Type="http://schemas.openxmlformats.org/officeDocument/2006/relationships/hyperlink" Target="http://www.nevo.co.il/case/16968058" TargetMode="External"/><Relationship Id="rId30" Type="http://schemas.openxmlformats.org/officeDocument/2006/relationships/hyperlink" Target="http://www.nevo.co.il/case/20683594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2017-03-14T09:22:00Z</dcterms:created>
  <dc:creator> </dc:creator>
  <dc:description/>
  <cp:keywords/>
  <dc:language>en-IL</dc:language>
  <cp:lastModifiedBy>orly</cp:lastModifiedBy>
  <dcterms:modified xsi:type="dcterms:W3CDTF">2017-03-14T09:22:00Z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אשר בן סימון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20920980:2;21473039;21473423;21472943;21477668;13070717;21015131;20118363;20205876;21472796;20412551;16968058;20683594</vt:lpwstr>
  </property>
  <property fmtid="{D5CDD505-2E9C-101B-9397-08002B2CF9AE}" pid="9" name="CITY">
    <vt:lpwstr/>
  </property>
  <property fmtid="{D5CDD505-2E9C-101B-9397-08002B2CF9AE}" pid="10" name="DATE">
    <vt:lpwstr>20170308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הנדל;נ' סולברג</vt:lpwstr>
  </property>
  <property fmtid="{D5CDD505-2E9C-101B-9397-08002B2CF9AE}" pid="14" name="LAWLISTTMP1">
    <vt:lpwstr>4216/006:2;013;001T</vt:lpwstr>
  </property>
  <property fmtid="{D5CDD505-2E9C-101B-9397-08002B2CF9AE}" pid="15" name="LAWLISTTMP2">
    <vt:lpwstr>70301/400</vt:lpwstr>
  </property>
  <property fmtid="{D5CDD505-2E9C-101B-9397-08002B2CF9AE}" pid="16" name="LAWYER">
    <vt:lpwstr>מיכל רגב;אייל אוחיון;ברכה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8991;8982;8994</vt:lpwstr>
  </property>
  <property fmtid="{D5CDD505-2E9C-101B-9397-08002B2CF9AE}" pid="60" name="PADIDATE">
    <vt:lpwstr>20170314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8988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410120170308</vt:lpwstr>
  </property>
  <property fmtid="{D5CDD505-2E9C-101B-9397-08002B2CF9AE}" pid="70" name="TYPE_N_DATE">
    <vt:lpwstr>41020170308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