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8992/22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Century"/>
                <w:b/>
                <w:szCs w:val="24"/>
              </w:rPr>
            </w:pP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ערעור על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הכרעת דינו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של בית המשפט המחוזי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>(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השופטת ח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מאק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קלמנוביץ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>')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תפ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ע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Century" w:ascii="Century" w:hAnsi="Century"/>
                <w:b/>
                <w:szCs w:val="24"/>
              </w:rPr>
              <w:t>48794-08-21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מיום </w:t>
            </w:r>
            <w:r>
              <w:rPr>
                <w:rFonts w:cs="Century" w:ascii="Century" w:hAnsi="Century"/>
                <w:b/>
                <w:szCs w:val="24"/>
              </w:rPr>
              <w:t>17.7.2022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21.6.2023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דחיית ערעור על הכרעת דין לפיה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מעשים 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והטרדה מינית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בקטין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ascii="Times New Roman" w:hAnsi="Times New Roman" w:cs="Times New Roman"/>
          <w:spacing w:val="0"/>
          <w:szCs w:val="26"/>
          <w:rtl w:val="true"/>
        </w:rPr>
        <w:t>בהפרת צו פיקוח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התייחסותו של הקטין למגע הפיזי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מצד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הועלתה רק בשלהי חקירתו על ידי חוקרת הילדים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והוא גם לא סיפר על המגע הפיזי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לאמו מיד בסמוך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בשים לב למאפיינים הידועים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 קורבנות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 בהערכת מהימנותו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בקביעה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הנפשי של 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יכול להחשב בנסיבות כסיוע לעדותו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 חוקרת הילדים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נמצא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עבירות – מעשה מגונה בקטין שטרם מלאו לו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לעדות קטין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חוקרת ילדים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על הכרעת דין לפיה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מעשים 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והטרדה מינית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בקטין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ascii="Times New Roman" w:hAnsi="Times New Roman" w:cs="Times New Roman"/>
          <w:spacing w:val="0"/>
          <w:szCs w:val="26"/>
          <w:rtl w:val="true"/>
        </w:rPr>
        <w:t>בהפרת צו פיקוח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המחלוקת בין הצדדים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התמקדה </w:t>
      </w:r>
      <w:r>
        <w:rPr>
          <w:rFonts w:ascii="Times New Roman" w:hAnsi="Times New Roman" w:cs="Times New Roman"/>
          <w:spacing w:val="0"/>
          <w:szCs w:val="26"/>
          <w:rtl w:val="true"/>
        </w:rPr>
        <w:t>בשני נושאים עיקריים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אכן נגע המערער בקטין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</w:t>
      </w:r>
      <w:r>
        <w:rPr>
          <w:rFonts w:ascii="Times New Roman" w:hAnsi="Times New Roman" w:cs="Times New Roman"/>
          <w:spacing w:val="0"/>
          <w:szCs w:val="26"/>
          <w:rtl w:val="true"/>
        </w:rPr>
        <w:t>שאלת קיומה של דרישת 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לתמיכה בעדות הקטין שנמסרה לפני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זה נטען כי הראיות על מצבו הנפשי של הקטין אינן יכולות להיחשב כסיוע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 שקיימת אפשרות שמצבו של הקטין נגרם כתוצאה מעצם פנייתו של המערער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 דווקא בשל המעשים המגונים שעשה 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דחה את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</w:t>
      </w:r>
      <w:r>
        <w:rPr>
          <w:rFonts w:ascii="Times New Roman" w:hAnsi="Times New Roman" w:cs="Times New Roman"/>
          <w:spacing w:val="0"/>
          <w:szCs w:val="26"/>
          <w:rtl w:val="true"/>
        </w:rPr>
        <w:t>והרשיע את המערער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המשנה לנשיאה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 והשופטת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התייחסותו של הקטין למגע הפיזי הועלתה רק בשלהי חקירתו על ידי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 לא סיפר על המגע הפיזי לאמו מיד בסמוך לקרות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חזר לא פעם ולא פעמיים על כך שעדותם של קטינים נפגעי עבירות מין עשויה ללקות בחוסר קוהרנטיות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 דיוקים וחוסרים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גם חזר על כך שחשיפה הדרגתית של אירועים אף היא מאפיינת עדויות של קורבנות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בה כדי לפגוע במהימנותם ובאמינותם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הוזכר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כי תיאור המגע הפיזי בחקירת הילדים הועלה על ידי הקטין מיוזמתו ללא כל שאלות מדריכות ואף לווה בהדגמות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 עומת על ידי חוקרת הילדים עם העובדה שעניין זה הועלה על ידו רק בשלהי חקירתו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והדבר לא גרם לו לבלבול או לחוסר ביטחון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בהערכת מהימנותו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השמורה ממילא למקרים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ובאשר למצבו הנפשי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בעניין זה אין מקום להתערב בהכרעת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המוצא עליה אין חולק היא כי מצב נפשי של קטין יכול לשמש ראיית סיוע לעדותו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גם אין חולק בענייננו על כך שהקטין היה בסערת רגשות בסמוך לפגישתו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המחלוקת נסובה על השאלה האם המצב הנפשי נגרם כתוצאה מהמגע הפיזי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שמא ממפגשו עם המערער באופן כללי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דחה את טענות המערער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ובצדק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של המערער היא כי האינטראקציה בינו לבין הקטין כללה רק הצעת ממתקים וגלידה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אלה לא ניתן להעלות על הדעת כי השיחה בין השניים הביאה למצבו הנפשי הסוער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 ציין בחקירתו על ידי חוקרת הילדים כי ראה את המערער בעבר שותה ומעשן וכי ידע שהוא ריצה עונש מאסר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מקובלת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בהינתן שעל פי גרסת המערער הקטין לא ברח מיד כשראה אותו ואף קיים עמו שיחה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יסוד להניח כי עצם המפגש בין השנים הוא שעורר את סערת הרגשות אצל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אפוא כדי לדחות את טענות המערער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ועל כל אלה יש להוסיף את התפתחות גרסתו של המערער אשר בתחילה בחקירתו הראשונה במשטרה הכחיש כל מעורבות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בחקירתו השנייה גילה טפח מתוך טפחיים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מסר כל גרסה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זו מוסיפה נופך אשמה נוסף על האמור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הורשע לאחר שמיעת הוכחות בביצוע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לגיל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הפרת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הפיקוח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וב</w:t>
      </w:r>
      <w:r>
        <w:rPr>
          <w:rtl w:val="true"/>
        </w:rPr>
        <w:t>הטרדה</w:t>
      </w:r>
      <w:r>
        <w:rPr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הושת עונש מאסר בפועל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ועונשים נלווים</w:t>
      </w:r>
      <w:r>
        <w:rPr>
          <w:rtl w:val="true"/>
        </w:rPr>
        <w:t xml:space="preserve">. </w:t>
      </w:r>
      <w:r>
        <w:rPr>
          <w:rtl w:val="true"/>
        </w:rPr>
        <w:t>ערעור המערער לפנינו מופנה נגד הכרעת הדין ולא נגד גזר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20.9.</w:t>
      </w:r>
      <w:r>
        <w:rPr/>
        <w:t>20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ניתן נגד המערער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 </w:t>
      </w:r>
      <w:r>
        <w:rPr>
          <w:rtl w:val="true"/>
        </w:rPr>
        <w:t>ומעקב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פיקוח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563/08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הפיקוח</w:t>
      </w:r>
      <w:r>
        <w:rPr>
          <w:rtl w:val="true"/>
        </w:rPr>
        <w:t xml:space="preserve">). </w:t>
      </w:r>
      <w:r>
        <w:rPr>
          <w:rtl w:val="true"/>
        </w:rPr>
        <w:t>צו הפיקוח אסר על 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להתחבר</w:t>
      </w:r>
      <w:r>
        <w:rPr>
          <w:rtl w:val="true"/>
        </w:rPr>
        <w:t xml:space="preserve"> </w:t>
      </w:r>
      <w:r>
        <w:rPr>
          <w:rtl w:val="true"/>
        </w:rPr>
        <w:t>ולשהות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חרף הוראות הצו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12.8.</w:t>
      </w:r>
      <w:r>
        <w:rPr/>
        <w:t>20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מערער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 xml:space="preserve">באותה עת עבר במקום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>
          <w:rtl w:val="true"/>
        </w:rPr>
        <w:t xml:space="preserve">שנת </w:t>
      </w:r>
      <w:r>
        <w:rPr/>
        <w:t>2014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והתיישב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התיישב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בעודו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tl w:val="true"/>
        </w:rPr>
        <w:t xml:space="preserve"> </w:t>
      </w:r>
      <w:r>
        <w:rPr>
          <w:rtl w:val="true"/>
        </w:rPr>
        <w:t>בבקבוק</w:t>
      </w:r>
      <w:r>
        <w:rPr>
          <w:rtl w:val="true"/>
        </w:rPr>
        <w:t xml:space="preserve"> </w:t>
      </w:r>
      <w:r>
        <w:rPr>
          <w:rtl w:val="true"/>
        </w:rPr>
        <w:t>בירה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' "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 </w:t>
      </w:r>
      <w:r>
        <w:rPr>
          <w:rtl w:val="true"/>
        </w:rPr>
        <w:t>תוריד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 </w:t>
      </w:r>
      <w:r>
        <w:rPr>
          <w:rtl w:val="true"/>
        </w:rPr>
        <w:t>מכנסיים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השיב</w:t>
      </w:r>
      <w:r>
        <w:rPr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 </w:t>
      </w:r>
      <w:r>
        <w:rPr>
          <w:rtl w:val="true"/>
        </w:rPr>
        <w:t>מגעיל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שב ו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מתי</w:t>
      </w:r>
      <w:r>
        <w:rPr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אך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סירב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שב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הצעתו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' "</w:t>
      </w:r>
      <w:r>
        <w:rPr>
          <w:rtl w:val="true"/>
        </w:rPr>
        <w:t>לך</w:t>
      </w:r>
      <w:r>
        <w:rPr>
          <w:rtl w:val="true"/>
        </w:rPr>
        <w:t xml:space="preserve"> </w:t>
      </w:r>
      <w:r>
        <w:rPr>
          <w:rtl w:val="true"/>
        </w:rPr>
        <w:t>לאט</w:t>
      </w:r>
      <w:r>
        <w:rPr>
          <w:rtl w:val="true"/>
        </w:rPr>
        <w:t xml:space="preserve"> </w:t>
      </w:r>
      <w:r>
        <w:rPr>
          <w:rtl w:val="true"/>
        </w:rPr>
        <w:t>לאט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 xml:space="preserve"> </w:t>
      </w:r>
      <w:r>
        <w:rPr>
          <w:rtl w:val="true"/>
        </w:rPr>
        <w:t>מכנסיים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אוריד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 xml:space="preserve">הוסיף וחזר על כך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 xml:space="preserve">עמד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סירובו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נגע</w:t>
      </w:r>
      <w:r>
        <w:rPr>
          <w:rtl w:val="true"/>
        </w:rPr>
        <w:t xml:space="preserve"> </w:t>
      </w:r>
      <w:r>
        <w:rPr>
          <w:rtl w:val="true"/>
        </w:rPr>
        <w:t>בירכו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בתגובה לכך י</w:t>
      </w:r>
      <w:r>
        <w:rPr>
          <w:rtl w:val="true"/>
        </w:rPr>
        <w:t xml:space="preserve">' </w:t>
      </w:r>
      <w:r>
        <w:rPr>
          <w:rtl w:val="true"/>
        </w:rPr>
        <w:t xml:space="preserve">אמר למערער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יגע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נגע</w:t>
      </w:r>
      <w:r>
        <w:rPr>
          <w:rtl w:val="true"/>
        </w:rPr>
        <w:t xml:space="preserve"> </w:t>
      </w:r>
      <w:r>
        <w:rPr>
          <w:rtl w:val="true"/>
        </w:rPr>
        <w:t>בירכו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בעקבות זאת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קם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המסחרי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 xml:space="preserve">קטין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 xml:space="preserve">החליף עמו מספר מילים בודדות ולאחר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הואיל והמערער הודה בביצוע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הפרת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 </w:t>
      </w:r>
      <w:r>
        <w:rPr>
          <w:rtl w:val="true"/>
        </w:rPr>
        <w:t xml:space="preserve">שנותרה בין הצדדים נגעה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הטרדה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מינית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מגונים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מפאת גילו של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 xml:space="preserve">שהיה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בעת ביצוע המעשים וחקירת האירועים</w:t>
      </w:r>
      <w:r>
        <w:rPr>
          <w:rtl w:val="true"/>
        </w:rPr>
        <w:t xml:space="preserve">, </w:t>
      </w:r>
      <w:r>
        <w:rPr>
          <w:rtl w:val="true"/>
        </w:rPr>
        <w:t>חוקרת</w:t>
      </w:r>
      <w:r>
        <w:rPr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 </w:t>
      </w:r>
      <w:r>
        <w:rPr>
          <w:rtl w:val="true"/>
        </w:rPr>
        <w:t>אסרה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ו</w:t>
      </w:r>
      <w:r>
        <w:rPr>
          <w:rtl w:val="true"/>
        </w:rPr>
        <w:t>תו</w:t>
      </w:r>
      <w:r>
        <w:rPr>
          <w:rtl w:val="true"/>
        </w:rPr>
        <w:t xml:space="preserve">. </w:t>
      </w:r>
      <w:r>
        <w:rPr>
          <w:rtl w:val="true"/>
        </w:rPr>
        <w:t xml:space="preserve">על כן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 </w:t>
      </w:r>
      <w:r>
        <w:rPr>
          <w:rtl w:val="true"/>
        </w:rPr>
        <w:t>חוקרת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ילדים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 של הקטין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טענות בא</w:t>
      </w:r>
      <w:r>
        <w:rPr>
          <w:rtl w:val="true"/>
        </w:rPr>
        <w:t>-</w:t>
      </w:r>
      <w:r>
        <w:rPr>
          <w:rtl w:val="true"/>
        </w:rPr>
        <w:t xml:space="preserve">כוח המערער בהליך לפני בית המשפט המחוזי </w:t>
      </w:r>
      <w:r>
        <w:rPr>
          <w:rtl w:val="true"/>
        </w:rPr>
        <w:t>התמקדו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נושאים</w:t>
      </w:r>
      <w:r>
        <w:rPr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הנושא הראשון עסק בשאלה האם אכן נגע המערער </w:t>
      </w:r>
      <w:r>
        <w:rPr>
          <w:rtl w:val="true"/>
        </w:rPr>
        <w:t>ב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נטען כי הקטין </w:t>
      </w: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 xml:space="preserve">מערער </w:t>
      </w:r>
      <w:r>
        <w:rPr>
          <w:rtl w:val="true"/>
        </w:rPr>
        <w:t>נגע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 xml:space="preserve">וגם </w:t>
      </w:r>
      <w:r>
        <w:rPr>
          <w:rtl w:val="true"/>
        </w:rPr>
        <w:t>לחוקרת</w:t>
      </w:r>
      <w:r>
        <w:rPr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הנגיעה רק </w:t>
      </w:r>
      <w:r>
        <w:rPr>
          <w:rtl w:val="true"/>
        </w:rPr>
        <w:t>בסיום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שנשאל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שאלת</w:t>
      </w:r>
      <w:r>
        <w:rPr>
          <w:rtl w:val="true"/>
        </w:rPr>
        <w:t xml:space="preserve"> </w:t>
      </w:r>
      <w:r>
        <w:rPr>
          <w:rtl w:val="true"/>
        </w:rPr>
        <w:t>מיצוי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בו התמקד בא</w:t>
      </w:r>
      <w:r>
        <w:rPr>
          <w:rtl w:val="true"/>
        </w:rPr>
        <w:t>-</w:t>
      </w:r>
      <w:r>
        <w:rPr>
          <w:rtl w:val="true"/>
        </w:rPr>
        <w:t xml:space="preserve">כוח המערער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 xml:space="preserve">שאלת קיומה של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נטען כי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 </w:t>
      </w:r>
      <w:r>
        <w:rPr>
          <w:rtl w:val="true"/>
        </w:rPr>
        <w:t>להיחשב</w:t>
      </w:r>
      <w:r>
        <w:rPr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מפני ש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שמצבו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מעצם</w:t>
      </w:r>
      <w:r>
        <w:rPr>
          <w:rtl w:val="true"/>
        </w:rPr>
        <w:t xml:space="preserve"> </w:t>
      </w:r>
      <w:r>
        <w:rPr>
          <w:rtl w:val="true"/>
        </w:rPr>
        <w:t>פנייתו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ו</w:t>
      </w:r>
      <w:r>
        <w:rPr>
          <w:rtl w:val="true"/>
        </w:rPr>
        <w:t>קא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דחה את טענות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. </w:t>
      </w:r>
      <w:r>
        <w:rPr>
          <w:rtl w:val="true"/>
        </w:rPr>
        <w:t>בכל הנוגע לשאלת הנגיעה בקטין</w:t>
      </w:r>
      <w:r>
        <w:rPr>
          <w:rtl w:val="true"/>
        </w:rPr>
        <w:t xml:space="preserve">, </w:t>
      </w:r>
      <w:r>
        <w:rPr>
          <w:rtl w:val="true"/>
        </w:rPr>
        <w:t>בית המשפט מצא כי התרשמותה של חוקרת הילדים לפיה הקטין תיאר את אשר חווה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הגיונית</w:t>
      </w:r>
      <w:r>
        <w:rPr>
          <w:rtl w:val="true"/>
        </w:rPr>
        <w:t xml:space="preserve"> </w:t>
      </w:r>
      <w:r>
        <w:rPr>
          <w:rtl w:val="true"/>
        </w:rPr>
        <w:t>וסבירה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  <w:r>
        <w:rPr>
          <w:rtl w:val="true"/>
        </w:rPr>
        <w:t>וכדברי בית המשפט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ומראהו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י</w:t>
      </w:r>
      <w:r>
        <w:rPr>
          <w:rtl w:val="true"/>
        </w:rPr>
        <w:t>רסתו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ציין בהקשר זה כי אמנם תיאורי המגע הפיזי מופיעים בסיום חקירתו של הקטין</w:t>
      </w:r>
      <w:r>
        <w:rPr>
          <w:rtl w:val="true"/>
        </w:rPr>
        <w:t xml:space="preserve">, </w:t>
      </w:r>
      <w:r>
        <w:rPr>
          <w:rtl w:val="true"/>
        </w:rPr>
        <w:t xml:space="preserve">לאחר שהשלים את תיאור האירוע ולאחר שנשאל אם המערער עשה לו </w:t>
      </w:r>
      <w:r>
        <w:rPr>
          <w:rtl w:val="true"/>
        </w:rPr>
        <w:t>"</w:t>
      </w:r>
      <w:r>
        <w:rPr>
          <w:rtl w:val="true"/>
        </w:rPr>
        <w:t>עוד משהו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תיאורים אלה ניתנו על ידו </w:t>
      </w:r>
      <w:r>
        <w:rPr>
          <w:rtl w:val="true"/>
        </w:rPr>
        <w:t>בתשובה</w:t>
      </w:r>
      <w:r>
        <w:rPr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 </w:t>
      </w:r>
      <w:r>
        <w:rPr>
          <w:rtl w:val="true"/>
        </w:rPr>
        <w:t>פתוחות</w:t>
      </w:r>
      <w:r>
        <w:rPr>
          <w:rtl w:val="true"/>
        </w:rPr>
        <w:t xml:space="preserve"> </w:t>
      </w:r>
      <w:r>
        <w:rPr>
          <w:rtl w:val="true"/>
        </w:rPr>
        <w:t>מצ</w:t>
      </w:r>
      <w:r>
        <w:rPr>
          <w:rtl w:val="true"/>
        </w:rPr>
        <w:t>ד חוקרת הילדים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הדרכה</w:t>
      </w:r>
      <w:r>
        <w:rPr>
          <w:rtl w:val="true"/>
        </w:rPr>
        <w:t xml:space="preserve">. </w:t>
      </w:r>
      <w:r>
        <w:rPr>
          <w:rtl w:val="true"/>
        </w:rPr>
        <w:t>רצף</w:t>
      </w:r>
      <w:r>
        <w:rPr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שהקטין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הדגים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כשהחל</w:t>
      </w:r>
      <w:r>
        <w:rPr>
          <w:rtl w:val="true"/>
        </w:rPr>
        <w:t xml:space="preserve"> </w:t>
      </w:r>
      <w:r>
        <w:rPr>
          <w:rtl w:val="true"/>
        </w:rPr>
        <w:t>לתאר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 xml:space="preserve">מתן </w:t>
      </w:r>
      <w:r>
        <w:rPr>
          <w:rtl w:val="true"/>
        </w:rPr>
        <w:t>תשובתו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tl w:val="true"/>
        </w:rPr>
        <w:t xml:space="preserve"> </w:t>
      </w:r>
      <w:r>
        <w:rPr>
          <w:rtl w:val="true"/>
        </w:rPr>
        <w:t xml:space="preserve">חוקרת הילדים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היזכרות</w:t>
      </w:r>
      <w:r>
        <w:rPr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 </w:t>
      </w:r>
      <w:r>
        <w:rPr>
          <w:rtl w:val="true"/>
        </w:rPr>
        <w:t>קור</w:t>
      </w:r>
      <w:r>
        <w:rPr>
          <w:rtl w:val="true"/>
        </w:rPr>
        <w:t xml:space="preserve">ה לא פעם </w:t>
      </w:r>
      <w:r>
        <w:rPr>
          <w:rtl w:val="true"/>
        </w:rPr>
        <w:t>והדבר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 </w:t>
      </w:r>
      <w:r>
        <w:rPr>
          <w:rtl w:val="true"/>
        </w:rPr>
        <w:t>כבעייתי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 xml:space="preserve">ניתן להניח כי לשם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נועדו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 </w:t>
      </w:r>
      <w:r>
        <w:rPr>
          <w:rtl w:val="true"/>
        </w:rPr>
        <w:t>ולאפשר</w:t>
      </w:r>
      <w:r>
        <w:rPr>
          <w:rtl w:val="true"/>
        </w:rPr>
        <w:t xml:space="preserve"> </w:t>
      </w:r>
      <w:r>
        <w:rPr>
          <w:rtl w:val="true"/>
        </w:rPr>
        <w:t>הוספת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שבמהלך חקירת הילדים חוקרת הילדים שאלה את הקטין מדוע לא סיפר זאת מוקדם יותר</w:t>
      </w:r>
      <w:r>
        <w:rPr>
          <w:rtl w:val="true"/>
        </w:rPr>
        <w:t xml:space="preserve">, </w:t>
      </w:r>
      <w:r>
        <w:rPr>
          <w:rtl w:val="true"/>
        </w:rPr>
        <w:t>והדבר לא גרם לו לחוסר ביטחון או לחזור בו</w:t>
      </w:r>
      <w:r>
        <w:rPr>
          <w:rtl w:val="true"/>
        </w:rPr>
        <w:t xml:space="preserve">. </w:t>
      </w:r>
      <w:r>
        <w:rPr>
          <w:rtl w:val="true"/>
        </w:rPr>
        <w:t>נוכח כל האמור נמצא כי יש לקבל את גרסתו של הקטין כמקשה אחת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הדגיש כי הקטין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 </w:t>
      </w:r>
      <w:r>
        <w:rPr>
          <w:rtl w:val="true"/>
        </w:rPr>
        <w:t>שראה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זיהה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שיצא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 </w:t>
      </w:r>
      <w:r>
        <w:rPr>
          <w:rtl w:val="true"/>
        </w:rPr>
        <w:t>לחפש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בסמוך להגעתו לביתו מיד לאחר קרות האירוע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שפנה</w:t>
      </w:r>
      <w:r>
        <w:rPr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האפשרות שהקטין</w:t>
      </w:r>
      <w:r>
        <w:rPr>
          <w:rtl w:val="true"/>
        </w:rPr>
        <w:t xml:space="preserve">, </w:t>
      </w:r>
      <w:r>
        <w:rPr>
          <w:rtl w:val="true"/>
        </w:rPr>
        <w:t>ילד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בדה</w:t>
      </w:r>
      <w:r>
        <w:rPr>
          <w:rtl w:val="true"/>
        </w:rPr>
        <w:t xml:space="preserve"> </w:t>
      </w:r>
      <w:r>
        <w:rPr>
          <w:rtl w:val="true"/>
        </w:rPr>
        <w:t>מליבו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 </w:t>
      </w:r>
      <w:r>
        <w:rPr>
          <w:rtl w:val="true"/>
        </w:rPr>
        <w:t>לתיאור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שקריות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ומחייבת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 </w:t>
      </w:r>
      <w:r>
        <w:rPr>
          <w:rtl w:val="true"/>
        </w:rPr>
        <w:t>שקשה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 </w:t>
      </w:r>
      <w:r>
        <w:rPr>
          <w:rtl w:val="true"/>
        </w:rPr>
        <w:t>לייחס</w:t>
      </w:r>
      <w:r>
        <w:rPr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בכל הנוגע לטענה כי הקטין לא סיפר גם לאמו על הפגיעה הפיזית</w:t>
      </w:r>
      <w:r>
        <w:rPr>
          <w:rtl w:val="true"/>
        </w:rPr>
        <w:t xml:space="preserve">, </w:t>
      </w:r>
      <w:r>
        <w:rPr>
          <w:rtl w:val="true"/>
        </w:rPr>
        <w:t>צוין כי ניתן להבין את חוסר רצונו לחשוף לפני אמו את העובדות במלואן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>
          <w:rtl w:val="true"/>
        </w:rPr>
        <w:t>ממבוכה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לצערה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לסוגיה השנייה שעמדה בבסיס טענות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נקבע כי מצבו הנפשי של הקטין ממלא אחר דרישת הסיוע</w:t>
      </w:r>
      <w:r>
        <w:rPr>
          <w:rtl w:val="true"/>
        </w:rPr>
        <w:t xml:space="preserve">. </w:t>
      </w:r>
      <w:r>
        <w:rPr>
          <w:rtl w:val="true"/>
        </w:rPr>
        <w:t>צוין בהקשר זה כי אמו של הקטין העידה על סערת הרגשות שהקטין היה נתון בה עת הגיעה לביתה ומצאה אותו עטוף בשמיכה ומתנהג במוזרות</w:t>
      </w:r>
      <w:r>
        <w:rPr>
          <w:rtl w:val="true"/>
        </w:rPr>
        <w:t xml:space="preserve">, </w:t>
      </w:r>
      <w:r>
        <w:rPr>
          <w:rtl w:val="true"/>
        </w:rPr>
        <w:t>ועובדות אלה מצביעות במובהק על מצבי נפשי חריג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ציין כי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בחכמה</w:t>
      </w:r>
      <w:r>
        <w:rPr>
          <w:rtl w:val="true"/>
        </w:rPr>
        <w:t xml:space="preserve"> </w:t>
      </w:r>
      <w:r>
        <w:rPr>
          <w:rtl w:val="true"/>
        </w:rPr>
        <w:t>שבדיעבד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שהאם</w:t>
      </w:r>
      <w:r>
        <w:rPr>
          <w:rtl w:val="true"/>
        </w:rPr>
        <w:t xml:space="preserve"> </w:t>
      </w:r>
      <w:r>
        <w:rPr>
          <w:rtl w:val="true"/>
        </w:rPr>
        <w:t>שמעה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יצאה</w:t>
      </w:r>
      <w:r>
        <w:rPr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 </w:t>
      </w:r>
      <w:r>
        <w:rPr>
          <w:rtl w:val="true"/>
        </w:rPr>
        <w:t>לחפש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הזעיקה</w:t>
      </w:r>
      <w:r>
        <w:rPr>
          <w:rtl w:val="true"/>
        </w:rPr>
        <w:t xml:space="preserve"> </w:t>
      </w:r>
      <w:r>
        <w:rPr>
          <w:rtl w:val="true"/>
        </w:rPr>
        <w:t>את ה</w:t>
      </w:r>
      <w:r>
        <w:rPr>
          <w:rtl w:val="true"/>
        </w:rPr>
        <w:t>משטר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הודגש כי אין לקבל את הטענה שיתכן שמצבו הנפשי של הקטין נגרם מעצם המפגש עם המערער ולא בשל המעשים המיוחסים לו</w:t>
      </w:r>
      <w:r>
        <w:rPr>
          <w:rtl w:val="true"/>
        </w:rPr>
        <w:t xml:space="preserve">. </w:t>
      </w:r>
      <w:r>
        <w:rPr>
          <w:rtl w:val="true"/>
        </w:rPr>
        <w:t>זאת הן מהטעם שהמערער לא הכחיש את סיפור המסגרת ואין להניח שהקטין מבקש להעליל עליו עלילות</w:t>
      </w:r>
      <w:r>
        <w:rPr>
          <w:rtl w:val="true"/>
        </w:rPr>
        <w:t xml:space="preserve">; </w:t>
      </w:r>
      <w:r>
        <w:rPr>
          <w:rtl w:val="true"/>
        </w:rPr>
        <w:t>והן מהטעם שגם מגרסת המערער עולה שהקטין לא עזב את המקום מיד כשהתיישב לידו אלא לאחר אינטראקציה ביניהם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בנוסף למצבו הנפשי מצא בית המשפט תוספות </w:t>
      </w:r>
      <w:r>
        <w:rPr>
          <w:rtl w:val="true"/>
        </w:rPr>
        <w:t>ראייתיות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לראיות התביעה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בחר שלא למסור גרסה על דוכן העדים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שינה את גרסתו בנושא המצוי בליבת המחלוקת בין הצדדים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בהודעתו הראשונה במשטרה הוא </w:t>
      </w:r>
      <w:r>
        <w:rPr>
          <w:rtl w:val="true"/>
        </w:rPr>
        <w:t>הכחיש</w:t>
      </w:r>
      <w:r>
        <w:rPr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מלבד</w:t>
      </w:r>
      <w:r>
        <w:rPr>
          <w:rtl w:val="true"/>
        </w:rPr>
        <w:t xml:space="preserve"> </w:t>
      </w:r>
      <w:r>
        <w:rPr>
          <w:rtl w:val="true"/>
        </w:rPr>
        <w:t>אמירת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המסחרי</w:t>
      </w:r>
      <w:r>
        <w:rPr>
          <w:rtl w:val="true"/>
        </w:rPr>
        <w:t xml:space="preserve">. </w:t>
      </w:r>
      <w:r>
        <w:rPr>
          <w:rtl w:val="true"/>
        </w:rPr>
        <w:t>בהודעתו השנייה המערער חזר תחילה על הכחשתו</w:t>
      </w:r>
      <w:r>
        <w:rPr>
          <w:rtl w:val="true"/>
        </w:rPr>
        <w:t xml:space="preserve">, </w:t>
      </w:r>
      <w:r>
        <w:rPr>
          <w:rtl w:val="true"/>
        </w:rPr>
        <w:t xml:space="preserve">אך בהמשך הודה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 </w:t>
      </w:r>
      <w:r>
        <w:rPr>
          <w:rtl w:val="true"/>
        </w:rPr>
        <w:t>שנמשכה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ממתקים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גלידה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אף </w:t>
      </w:r>
      <w:r>
        <w:rPr>
          <w:rtl w:val="true"/>
        </w:rPr>
        <w:t>חזר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שינוי גרסה זה מהווה שקר ברור בעניין משמעותי</w:t>
      </w:r>
      <w:r>
        <w:rPr>
          <w:rtl w:val="true"/>
        </w:rPr>
        <w:t xml:space="preserve">, </w:t>
      </w:r>
      <w:r>
        <w:rPr>
          <w:rtl w:val="true"/>
        </w:rPr>
        <w:t>ואף אם אין בו כדי לשמש סיוע</w:t>
      </w:r>
      <w:r>
        <w:rPr>
          <w:rtl w:val="true"/>
        </w:rPr>
        <w:t xml:space="preserve">, </w:t>
      </w:r>
      <w:r>
        <w:rPr>
          <w:rtl w:val="true"/>
        </w:rPr>
        <w:t>הוא פוגע באופן ניכר במהימנותו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כל אלו בית המשפט הרשיע את המערער בכל העבירות שיוחסו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בערעורו חזר בא</w:t>
      </w:r>
      <w:r>
        <w:rPr>
          <w:rtl w:val="true"/>
        </w:rPr>
        <w:t>-</w:t>
      </w:r>
      <w:r>
        <w:rPr>
          <w:rtl w:val="true"/>
        </w:rPr>
        <w:t xml:space="preserve">כוח המערער על הטענות שנטענו בבית המשפט המחוזי </w:t>
      </w:r>
      <w:r>
        <w:rPr>
          <w:rtl w:val="true"/>
        </w:rPr>
        <w:t>–</w:t>
      </w:r>
      <w:r>
        <w:rPr>
          <w:rtl w:val="true"/>
        </w:rPr>
        <w:t xml:space="preserve"> הן לעניין העיתוי בו מסר הקטין על אודות הנגיעה בירכו</w:t>
      </w:r>
      <w:r>
        <w:rPr>
          <w:rtl w:val="true"/>
        </w:rPr>
        <w:t xml:space="preserve">, </w:t>
      </w:r>
      <w:r>
        <w:rPr>
          <w:rtl w:val="true"/>
        </w:rPr>
        <w:t>והן לעניין התוספת הראייתית לתמיכה בעדות הקטין שנמסרה לפני חוקרת הילדים</w:t>
      </w:r>
      <w:r>
        <w:rPr>
          <w:rtl w:val="true"/>
        </w:rPr>
        <w:t xml:space="preserve">. </w:t>
      </w:r>
      <w:r>
        <w:rPr>
          <w:rtl w:val="true"/>
        </w:rPr>
        <w:t>בעניין זה בא</w:t>
      </w:r>
      <w:r>
        <w:rPr>
          <w:rtl w:val="true"/>
        </w:rPr>
        <w:t>-</w:t>
      </w:r>
      <w:r>
        <w:rPr>
          <w:rtl w:val="true"/>
        </w:rPr>
        <w:t>כוח המערער לא הותיר אבן על אבן בטיעוניו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בכך כדי להועיל למערער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התייחסותו של הקטין למגע הפיזי הועלתה רק בשלהי חקירתו על ידי חוקרת הילדים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הקטין לא סיפר על המגע הפיזי לאמו מיד בסמוך לקרות האירועים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משפט זה חזר לא פעם ולא פעמיים על כך שעדותם של קטינים נפגעי עבירות מין עשויה ללקות בחוסר קוהרנטיות</w:t>
      </w:r>
      <w:r>
        <w:rPr>
          <w:rtl w:val="true"/>
        </w:rPr>
        <w:t xml:space="preserve">, </w:t>
      </w:r>
      <w:r>
        <w:rPr>
          <w:rtl w:val="true"/>
        </w:rPr>
        <w:t xml:space="preserve">אי דיוקים וחוסרים </w:t>
      </w:r>
      <w:r>
        <w:rPr>
          <w:rtl w:val="true"/>
        </w:rPr>
        <w:t>(</w:t>
      </w:r>
      <w:r>
        <w:rPr>
          <w:rtl w:val="true"/>
        </w:rPr>
        <w:t>ראו למשל לאחרונה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משפט זה גם חזר על כך שחשיפה הדרגתית של אירועים אף היא מאפיינת עדויות של קורבנות עבירות מין</w:t>
      </w:r>
      <w:r>
        <w:rPr>
          <w:rtl w:val="true"/>
        </w:rPr>
        <w:t xml:space="preserve">, </w:t>
      </w:r>
      <w:r>
        <w:rPr>
          <w:rtl w:val="true"/>
        </w:rPr>
        <w:t>ובפרט קטינים</w:t>
      </w:r>
      <w:r>
        <w:rPr>
          <w:rtl w:val="true"/>
        </w:rPr>
        <w:t xml:space="preserve">, </w:t>
      </w:r>
      <w:r>
        <w:rPr>
          <w:rtl w:val="true"/>
        </w:rPr>
        <w:t xml:space="preserve">ואין בה כדי לפגוע במהימנותם ובאמינותם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 למותר להזכיר בהקשר זה כי תיאור המגע הפיזי בחקירת הילדים הועלה על ידי הקטין מיוזמתו ללא כל שאלות מדריכות ואף לווה בהדגמות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הקטין עומת על ידי חוקרת הילדים עם העובדה שעניין זה הועלה על ידו רק בשלהי חקירתו</w:t>
      </w:r>
      <w:r>
        <w:rPr>
          <w:rtl w:val="true"/>
        </w:rPr>
        <w:t xml:space="preserve">, </w:t>
      </w:r>
      <w:r>
        <w:rPr>
          <w:rtl w:val="true"/>
        </w:rPr>
        <w:t>והדבר לא גרם לו לבלבול או לחוסר ביטחון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מקום להתערב בהערכת מהימנותו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התערבות השמורה ממילא למקרים חריגים בלבד </w:t>
      </w:r>
      <w:r>
        <w:rPr>
          <w:rtl w:val="true"/>
        </w:rPr>
        <w:t>(</w:t>
      </w:r>
      <w:r>
        <w:rPr>
          <w:rtl w:val="true"/>
        </w:rPr>
        <w:t>וראו לדוגמה לאחרונה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12.5.2023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ובאשר למצבו הנפשי של הקטין</w:t>
      </w:r>
      <w:r>
        <w:rPr>
          <w:rtl w:val="true"/>
        </w:rPr>
        <w:t xml:space="preserve">, </w:t>
      </w:r>
      <w:r>
        <w:rPr>
          <w:rtl w:val="true"/>
        </w:rPr>
        <w:t>גם בעניין זה אין מקום להתערב בהכרעת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נקודת המוצא עליה אין חולק היא כי מצב נפשי של קטין יכול לשמש ראיית סיוע לעדותו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12.7.2022</w:t>
      </w:r>
      <w:r>
        <w:rPr>
          <w:rtl w:val="true"/>
        </w:rPr>
        <w:t xml:space="preserve">)). </w:t>
      </w:r>
      <w:r>
        <w:rPr>
          <w:rtl w:val="true"/>
        </w:rPr>
        <w:t>דומה כי גם אין חולק בענייננו על כך שהקטין היה בסערת רגשות בסמוך לפגישתו עם המערער</w:t>
      </w:r>
      <w:r>
        <w:rPr>
          <w:rtl w:val="true"/>
        </w:rPr>
        <w:t xml:space="preserve">. </w:t>
      </w:r>
      <w:r>
        <w:rPr>
          <w:rtl w:val="true"/>
        </w:rPr>
        <w:t>המחלוקת נסובה על השאלה האם המצב הנפשי נגרם כתוצאה מהמגע הפיזי</w:t>
      </w:r>
      <w:r>
        <w:rPr>
          <w:rtl w:val="true"/>
        </w:rPr>
        <w:t xml:space="preserve">, </w:t>
      </w:r>
      <w:r>
        <w:rPr>
          <w:rtl w:val="true"/>
        </w:rPr>
        <w:t>או שמא ממפגשו עם המערער באופן כללי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טענות המערער בהקשר זה</w:t>
      </w:r>
      <w:r>
        <w:rPr>
          <w:rtl w:val="true"/>
        </w:rPr>
        <w:t xml:space="preserve">, </w:t>
      </w:r>
      <w:r>
        <w:rPr>
          <w:rtl w:val="true"/>
        </w:rPr>
        <w:t>ובצדק רב</w:t>
      </w:r>
      <w:r>
        <w:rPr>
          <w:rtl w:val="true"/>
        </w:rPr>
        <w:t xml:space="preserve">. </w:t>
      </w:r>
      <w:r>
        <w:rPr>
          <w:rtl w:val="true"/>
        </w:rPr>
        <w:t>גרסתו של המערער היא כי האינטראקציה בינו לבין הקטין כללה רק הצעת ממתקים וגלידה</w:t>
      </w:r>
      <w:r>
        <w:rPr>
          <w:rtl w:val="true"/>
        </w:rPr>
        <w:t xml:space="preserve">, </w:t>
      </w:r>
      <w:r>
        <w:rPr>
          <w:rtl w:val="true"/>
        </w:rPr>
        <w:t>ובנסיבות אלה לא ניתן להעלות על הדעת כי השיחה בין השניים הביאה למצבו הנפשי הסוער של הקטין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הקטין ציין בחקירתו על ידי חוקרת הילדים כי ראה את המערער בעבר שותה ומעשן וכי ידע שהוא ריצה עונש מאסר בעבר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מקובלת עלינו קביעת בית המשפט המחוזי כי בהינתן שעל פי גרסת המערער הקטין לא ברח מיד כשראה אותו ואף קיים עמו שיחה</w:t>
      </w:r>
      <w:r>
        <w:rPr>
          <w:rtl w:val="true"/>
        </w:rPr>
        <w:t xml:space="preserve">, </w:t>
      </w:r>
      <w:r>
        <w:rPr>
          <w:rtl w:val="true"/>
        </w:rPr>
        <w:t>אין יסוד להניח כי עצם המפגש בין השנים הוא שעורר את סערת הרגשות אצל הקטין</w:t>
      </w:r>
      <w:r>
        <w:rPr>
          <w:rtl w:val="true"/>
        </w:rPr>
        <w:t xml:space="preserve">. </w:t>
      </w:r>
      <w:r>
        <w:rPr>
          <w:rtl w:val="true"/>
        </w:rPr>
        <w:t>די בכך אפוא כדי לדחות את טענות המערער בעניין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ועל כל אלה יש להוסיף את התפתחות גרסתו של המערער אשר בתחילה בחקירתו הראשונה במשטרה הכחיש כל מעורבות בביצוע העבירה</w:t>
      </w:r>
      <w:r>
        <w:rPr>
          <w:rtl w:val="true"/>
        </w:rPr>
        <w:t xml:space="preserve">; </w:t>
      </w:r>
      <w:r>
        <w:rPr>
          <w:rtl w:val="true"/>
        </w:rPr>
        <w:t>בחקירתו השנייה גילה טפח מתוך טפחיים</w:t>
      </w:r>
      <w:r>
        <w:rPr>
          <w:rtl w:val="true"/>
        </w:rPr>
        <w:t xml:space="preserve">; </w:t>
      </w:r>
      <w:r>
        <w:rPr>
          <w:rtl w:val="true"/>
        </w:rPr>
        <w:t>ובבית המשפט לא מסר כל גרסה</w:t>
      </w:r>
      <w:r>
        <w:rPr>
          <w:rtl w:val="true"/>
        </w:rPr>
        <w:t xml:space="preserve">. </w:t>
      </w:r>
      <w:r>
        <w:rPr>
          <w:rtl w:val="true"/>
        </w:rPr>
        <w:t>התנהלות זו מוסיפה נופך אשמה נוסף על האמור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 אפוא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21.6.2023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22089920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54678313-8992/22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8992/22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character" w:styleId="BodyText2Char">
    <w:name w:val="Body Text 2 Char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BodyText2">
    <w:name w:val="Body Text 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90730" TargetMode="External"/><Relationship Id="rId7" Type="http://schemas.openxmlformats.org/officeDocument/2006/relationships/hyperlink" Target="http://www.nevo.co.il/law/90730/12" TargetMode="External"/><Relationship Id="rId8" Type="http://schemas.openxmlformats.org/officeDocument/2006/relationships/hyperlink" Target="http://www.nevo.co.il/law/90730/22" TargetMode="External"/><Relationship Id="rId9" Type="http://schemas.openxmlformats.org/officeDocument/2006/relationships/hyperlink" Target="http://www.nevo.co.il/law/72507" TargetMode="External"/><Relationship Id="rId10" Type="http://schemas.openxmlformats.org/officeDocument/2006/relationships/hyperlink" Target="http://www.nevo.co.il/law/72507/3.a.6.a" TargetMode="External"/><Relationship Id="rId11" Type="http://schemas.openxmlformats.org/officeDocument/2006/relationships/hyperlink" Target="http://www.nevo.co.il/law/72507/5.a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90730/22" TargetMode="External"/><Relationship Id="rId17" Type="http://schemas.openxmlformats.org/officeDocument/2006/relationships/hyperlink" Target="http://www.nevo.co.il/law/90730" TargetMode="External"/><Relationship Id="rId18" Type="http://schemas.openxmlformats.org/officeDocument/2006/relationships/hyperlink" Target="http://www.nevo.co.il/law/72507/5.a" TargetMode="External"/><Relationship Id="rId19" Type="http://schemas.openxmlformats.org/officeDocument/2006/relationships/hyperlink" Target="http://www.nevo.co.il/law/72507/3.a.6.a" TargetMode="External"/><Relationship Id="rId20" Type="http://schemas.openxmlformats.org/officeDocument/2006/relationships/hyperlink" Target="http://www.nevo.co.il/law/72507" TargetMode="External"/><Relationship Id="rId21" Type="http://schemas.openxmlformats.org/officeDocument/2006/relationships/hyperlink" Target="http://www.nevo.co.il/law/90730/12" TargetMode="External"/><Relationship Id="rId22" Type="http://schemas.openxmlformats.org/officeDocument/2006/relationships/hyperlink" Target="http://www.nevo.co.il/case/21490512" TargetMode="External"/><Relationship Id="rId23" Type="http://schemas.openxmlformats.org/officeDocument/2006/relationships/hyperlink" Target="http://www.nevo.co.il/case/26514632" TargetMode="External"/><Relationship Id="rId24" Type="http://schemas.openxmlformats.org/officeDocument/2006/relationships/hyperlink" Target="http://www.nevo.co.il/case/26538274" TargetMode="External"/><Relationship Id="rId25" Type="http://schemas.openxmlformats.org/officeDocument/2006/relationships/hyperlink" Target="http://www.nevo.co.il/case/6246452" TargetMode="External"/><Relationship Id="rId26" Type="http://schemas.openxmlformats.org/officeDocument/2006/relationships/hyperlink" Target="http://www.nevo.co.il/case/24156665" TargetMode="External"/><Relationship Id="rId27" Type="http://schemas.openxmlformats.org/officeDocument/2006/relationships/hyperlink" Target="http://www.nevo.co.il/case/6243136" TargetMode="External"/><Relationship Id="rId28" Type="http://schemas.openxmlformats.org/officeDocument/2006/relationships/hyperlink" Target="http://www.nevo.co.il/case/28553950" TargetMode="External"/><Relationship Id="rId29" Type="http://schemas.openxmlformats.org/officeDocument/2006/relationships/hyperlink" Target="http://www.nevo.co.il/case/27915723" TargetMode="External"/><Relationship Id="rId30" Type="http://schemas.openxmlformats.org/officeDocument/2006/relationships/hyperlink" Target="http://www.nevo.co.il/case/26875535" TargetMode="External"/><Relationship Id="rId31" Type="http://schemas.openxmlformats.org/officeDocument/2006/relationships/hyperlink" Target="https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2023-06-27T15:24:00Z</dcterms:created>
  <dc:creator>h4</dc:creator>
  <dc:description/>
  <cp:keywords/>
  <dc:language>en-IL</dc:language>
  <cp:lastModifiedBy>h1</cp:lastModifiedBy>
  <cp:lastPrinted>2023-06-21T20:47:00Z</cp:lastPrinted>
  <dcterms:modified xsi:type="dcterms:W3CDTF">2023-06-27T15:24:00Z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21490512;26514632;26538274;6246452;24156665;6243136;28553950;27915723;26875535</vt:lpwstr>
  </property>
  <property fmtid="{D5CDD505-2E9C-101B-9397-08002B2CF9AE}" pid="9" name="CITY">
    <vt:lpwstr/>
  </property>
  <property fmtid="{D5CDD505-2E9C-101B-9397-08002B2CF9AE}" pid="10" name="DATE">
    <vt:lpwstr>20230621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ארז;ד' מינץ;ה ע' פוגלמן</vt:lpwstr>
  </property>
  <property fmtid="{D5CDD505-2E9C-101B-9397-08002B2CF9AE}" pid="14" name="LAWLISTTMP1">
    <vt:lpwstr>70301/348.b;345.b.1;345.a.1</vt:lpwstr>
  </property>
  <property fmtid="{D5CDD505-2E9C-101B-9397-08002B2CF9AE}" pid="15" name="LAWLISTTMP2">
    <vt:lpwstr>90730/022;012</vt:lpwstr>
  </property>
  <property fmtid="{D5CDD505-2E9C-101B-9397-08002B2CF9AE}" pid="16" name="LAWLISTTMP3">
    <vt:lpwstr>72507/005.a;003.a.6.a</vt:lpwstr>
  </property>
  <property fmtid="{D5CDD505-2E9C-101B-9397-08002B2CF9AE}" pid="17" name="LAWYER">
    <vt:lpwstr>מיכל קליין;אריאל הרמן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77;89;89;89;89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עדות</vt:lpwstr>
  </property>
  <property fmtid="{D5CDD505-2E9C-101B-9397-08002B2CF9AE}" pid="42" name="NOSE23">
    <vt:lpwstr>סיוע</vt:lpwstr>
  </property>
  <property fmtid="{D5CDD505-2E9C-101B-9397-08002B2CF9AE}" pid="43" name="NOSE24">
    <vt:lpwstr>עדות</vt:lpwstr>
  </property>
  <property fmtid="{D5CDD505-2E9C-101B-9397-08002B2CF9AE}" pid="44" name="NOSE25">
    <vt:lpwstr>מהימנות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1443;1654;1651;1654;1635</vt:lpwstr>
  </property>
  <property fmtid="{D5CDD505-2E9C-101B-9397-08002B2CF9AE}" pid="50" name="NOSE31">
    <vt:lpwstr>מעשה מגונה בקטין שטרם מלאו לו 16 שנים‏</vt:lpwstr>
  </property>
  <property fmtid="{D5CDD505-2E9C-101B-9397-08002B2CF9AE}" pid="51" name="NOSE310">
    <vt:lpwstr/>
  </property>
  <property fmtid="{D5CDD505-2E9C-101B-9397-08002B2CF9AE}" pid="52" name="NOSE32">
    <vt:lpwstr>קורבן עבירת מין</vt:lpwstr>
  </property>
  <property fmtid="{D5CDD505-2E9C-101B-9397-08002B2CF9AE}" pid="53" name="NOSE33">
    <vt:lpwstr>לעדות קטין</vt:lpwstr>
  </property>
  <property fmtid="{D5CDD505-2E9C-101B-9397-08002B2CF9AE}" pid="54" name="NOSE34">
    <vt:lpwstr>חוקרת ילדים</vt:lpwstr>
  </property>
  <property fmtid="{D5CDD505-2E9C-101B-9397-08002B2CF9AE}" pid="55" name="NOSE35">
    <vt:lpwstr>בחינתה על-ידי ערכאת הערעור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15565;12270;10353;14122;10196</vt:lpwstr>
  </property>
  <property fmtid="{D5CDD505-2E9C-101B-9397-08002B2CF9AE}" pid="61" name="PADIDATE">
    <vt:lpwstr>20230622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8992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410120230621</vt:lpwstr>
  </property>
  <property fmtid="{D5CDD505-2E9C-101B-9397-08002B2CF9AE}" pid="71" name="TYPE_N_DATE">
    <vt:lpwstr>41020230621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