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9006/20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זיאד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15398-11-15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152"/>
        <w:gridCol w:w="2981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98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10.1.2022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יפתח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ענבר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מאור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שגב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</w:p>
        </w:tc>
      </w:tr>
    </w:tbl>
    <w:p>
      <w:pPr>
        <w:pStyle w:val="BODYVERDICT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  <w:bookmarkStart w:id="5" w:name="BeginProtocol"/>
      <w:bookmarkStart w:id="6" w:name="secretary"/>
      <w:bookmarkStart w:id="7" w:name="BeginProtocol"/>
      <w:bookmarkStart w:id="8" w:name="secretary"/>
      <w:bookmarkEnd w:id="7"/>
      <w:bookmarkEnd w:id="8"/>
    </w:p>
    <w:p>
      <w:pPr>
        <w:pStyle w:val="BODYVERDICT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9" w:name="LawTable"/>
      <w:bookmarkEnd w:id="9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BODYVERDICT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BODYVERDICT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BODYVERDICT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תקנות סדר הדין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פיצויים בשל מעצר או מאסר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</w:p>
    <w:p>
      <w:pPr>
        <w:pStyle w:val="BODYVERDICT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32"/>
        </w:rPr>
      </w:pPr>
      <w:r>
        <w:rPr>
          <w:rFonts w:cs="FrankRuehl" w:ascii="FrankRuehl" w:hAnsi="FrankRuehl"/>
          <w:color w:val="0000FF"/>
          <w:spacing w:val="0"/>
          <w:sz w:val="24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המערער על אי פסיקת פיצויים והוצאות לזכותו לפי סעיף 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זיכויו מאשמת רצח וגרימת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לומר שלא היה יסוד להאשמת המערער ומאחר שנסיבותיו האישיות אינן מגיעות כדי זכאות לתשלום פיצוי לפי הסעיף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פיצויים לנאשם שזוכה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חיוב המדינה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התביעה – חובותיה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מצא את בניו של המערער אשמים ברצח בכוונה תחילה ובגרימת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הרשעה זאת אין עוד עוררין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הוא נמצא אשם בעבירות הללו כמבצע בצוותא חדא עם הבנים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על הרשעה התקבל והוא זוכה מכל אשמה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דחה את התביעה לפיצויים ולהוצאות שהמערער הניח לפניו בעקבות זיכויו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הנשיאה חיות והשופט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מזכה את הנאשם שזוכה בפיצויים ובהוצאות מקופתו של אוצר המדינה בהתקיים אחד משני התנאים כדלקמן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קיומן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התנאי הראשון אינו מתקיים 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ניתוח הראיות הנסיבתיות מסמן 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לפחות 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כשותף למעשה הרצח ולגרימת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זוכה אך מחמת הספק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אין כל בסיס לטענתו שלא היה יסוד להאשימו בעבירות בהן הואשם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הוראות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62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לתובע היתה הצדקה מלאה להעמיד את המערער לדין בגין רצח וחבלה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וקרוב לוודאי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חייב היה 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התנאי השני הוא בגדר הוראת סל שעניינה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הקשורות להליכי המשפט בכללם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 זיכויו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הוראה זו אינה בגדר רשימה סגורה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מקרה שבא בגדרה צריך לבוא על פתרונו בהתחשב במכלול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תובנה כללית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קבעה מבחנים מנחים להפעלתה הכוללים את מאזן האשמה ואת נסיבות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של מאזן האשמה מכוון להתנהלות המשטרה והתביעה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 הנאשם במהלך החקירה והמשפט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של נסיבות הנאשם מציב את השאלה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נאשם שיצא זכאי בדינו סבל נזקים קשים במיוחד שחורגים ממידת הסבל והנזק הרגילה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שהינה מנת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של כל אדם שעומד לדין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נזקים מיוחדים כאמור כוללים מעצר או מאסר ממושך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 קיצוני בחייו האישיים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כדוגמת מחלה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גירושין או פרידה מבן הזוג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מבת הזוג או מבן משפחה קרוב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אנושה בעסק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במוניטין או בקריירה מקצועית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והרשימה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 סגורה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מיוחדות אינן מתקיימות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המערער כילה כארבע שנים מחייו ביושבו בכלא לפני שזוכה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יש לקחת בחשבון את עוצמת הראיות הנסיבתיות שתמכו באשמת המערער במיוחס לו ואשר הביאו לשלילת חירותו יחד עם שקריו הבוטים בחקירתו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לזאת יש להוסיף ניסיונו של המערער לשבש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המערער הביא על עצמו את החשדות וההאשמות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שלבסוף לא עברו את סף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הספק הסביר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התביעה התרשלה התרשלות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 שאין הדבר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אלו מטים את כפות המאזניים לחובתו במסגרת מבחן מאזן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לעניין בוגנים אליו הפנה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זה נסוב על נאשם שבחר לשתוק בחקירתו ובמשפטו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על נאשם ששיקר וניסה לשבש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 שמשקר בחקירתו למען בנו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בן שבוחר לשקר בחקירתו כדי לנקות את אביו מהחשדות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מסיקים לחובתו מסקנות מרשיעות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מכאן לא נובע שנאשם כזה יהא זכאי לפיצויים או להוצאות בעקבות 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להסכים לקביעת השופט עמית בעניין בוגנים לפיה יש לזקוף לחובת המערער את העובדה ששמר על זכות השתיקה הן במהלך חקירתו במשטרה והן בתשובתו לכתב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שגרסתו נחשפה לראשונה רק בפרשת 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ind w:end="0"/>
        <w:jc w:val="start"/>
        <w:rPr>
          <w:rFonts w:ascii="Times New Roman" w:hAnsi="Times New Roman" w:cs="Times New Roman"/>
          <w:spacing w:val="0"/>
          <w:sz w:val="24"/>
          <w:szCs w:val="32"/>
        </w:rPr>
      </w:pPr>
      <w:r>
        <w:rPr>
          <w:rFonts w:cs="Times New Roman"/>
          <w:spacing w:val="0"/>
          <w:sz w:val="24"/>
          <w:szCs w:val="32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בערעור שלפנינו מלין המערער על כך שבית המשפט המחוזי 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), </w:t>
      </w:r>
      <w:r>
        <w:rPr>
          <w:rtl w:val="true"/>
        </w:rPr>
        <w:t>ביושבו על מדין 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15398-11-15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 xml:space="preserve">מיאן לפסוק לזכותו פיצויים והוצאות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בעקבות זיכויו מאשמת רצח וגרימת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בהחלטה שנתן ביום </w:t>
      </w:r>
      <w:r>
        <w:rPr/>
        <w:t>11.11.2020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המעשה שהיה כך היה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7.9.2015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רמאללה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סאמר</w:t>
      </w:r>
      <w:r>
        <w:rPr>
          <w:rtl w:val="true"/>
        </w:rPr>
        <w:t xml:space="preserve">) </w:t>
      </w:r>
      <w:r>
        <w:rPr>
          <w:rtl w:val="true"/>
        </w:rPr>
        <w:t>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בן דודו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שהתהלך עמו ברחוב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עוררין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רמאללה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גוש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Century"/>
          <w:rtl w:val="true"/>
        </w:rPr>
        <w:t xml:space="preserve">עוינות הרבה שהיתה קיימת בין המערער לבין משפחת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שבנו האחר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 של הבנים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נדרס למוות בידי אביו של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ומכאן המניע של המערער והבנים לנקום את מות הבן והאח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מבניו</w:t>
      </w:r>
      <w:r>
        <w:rPr>
          <w:rtl w:val="true"/>
        </w:rPr>
        <w:t xml:space="preserve">, </w:t>
      </w:r>
      <w:r>
        <w:rPr>
          <w:rtl w:val="true"/>
        </w:rPr>
        <w:t>סאמר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נרכשו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מכשיר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sz w:val="24"/>
          <w:szCs w:val="24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מבית המערער באבו גוש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שניתן לכך הסבר אשר עולה בקנה אחד עם השכל הישר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הסיבה לזיכויו של המערער מצויה בניתוח התמונה הראייתית אשר נעשה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>בפסק הדין המזכה</w:t>
      </w:r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אשר ניתן ביום </w:t>
      </w:r>
      <w:r>
        <w:rPr>
          <w:rtl w:val="true"/>
        </w:rPr>
        <w:t>‏</w:t>
      </w:r>
      <w:r>
        <w:rPr/>
        <w:t>28.7.2019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ואלה הם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באשר לתמונה הראייתית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כקבוצה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ובהרחבה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לפעמים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באיזור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,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?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נדע</w:t>
      </w:r>
      <w:r>
        <w:rPr>
          <w:rtl w:val="true"/>
        </w:rPr>
        <w:t xml:space="preserve">.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24-23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קבע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מן הדין לזכות את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מהעבירות בהן הוא הורשע על ידי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 הסכימו עם קביעה זו</w:t>
      </w:r>
      <w:r>
        <w:rPr>
          <w:rtl w:val="true"/>
        </w:rPr>
        <w:t xml:space="preserve">, </w:t>
      </w:r>
      <w:r>
        <w:rPr>
          <w:rtl w:val="true"/>
        </w:rPr>
        <w:t xml:space="preserve">כאשר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 הוסיף וציין בפסק דינו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״השכל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ובענייננו שלושה</w:t>
      </w:r>
      <w:r>
        <w:rPr>
          <w:rFonts w:cs="Century" w:ascii="Century" w:hAnsi="Century"/>
          <w:rtl w:val="true"/>
        </w:rPr>
        <w:t>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נועדו</w:t>
      </w:r>
      <w:r>
        <w:rPr>
          <w:rFonts w:cs="David"/>
          <w:color w:val="000000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עמוס ג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סביר״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להתרחשותה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אגודל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).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דחה את התביעה לפיצויים ולהוצאות שהמערער הניח לפניו בעקבות זיכויו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מהטעמים הבאים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סאמר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וההוצאות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ובערעור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מסיכוניו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".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בית המשפט המחוזי שגה בהחלטתו האמורה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החלטה זו לא נתנה משקל ראוי לפסק דינו המזכה של בית המשפט העליון שכאמור ניתן בגדרו של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המערער מפרט וטוען כי פסק דין זה מצביע על חולשתן האימננטית של הראיות אשר עמדו לחובתו</w:t>
      </w:r>
      <w:r>
        <w:rPr>
          <w:rtl w:val="true"/>
        </w:rPr>
        <w:t xml:space="preserve">, </w:t>
      </w:r>
      <w:r>
        <w:rPr>
          <w:rtl w:val="true"/>
        </w:rPr>
        <w:t xml:space="preserve">וכפועל יוצא מכך </w:t>
      </w:r>
      <w:r>
        <w:rPr>
          <w:rtl w:val="true"/>
        </w:rPr>
        <w:t>–</w:t>
      </w:r>
      <w:r>
        <w:rPr>
          <w:rtl w:val="true"/>
        </w:rPr>
        <w:t xml:space="preserve"> על כך שלא היה מקום להעמידו לדין באשמת רצח ולגרור אותו להליך מורכב ומתמשך שגזל ממנו ממון רב וארבע שנות חיים אותן הוא חי מאחורי סורג ובריח</w:t>
      </w:r>
      <w:r>
        <w:rPr>
          <w:rtl w:val="true"/>
        </w:rPr>
        <w:t xml:space="preserve">, </w:t>
      </w:r>
      <w:r>
        <w:rPr>
          <w:rtl w:val="true"/>
        </w:rPr>
        <w:t>תחילה כעצור ואחר כך כאסיר</w:t>
      </w:r>
      <w:r>
        <w:rPr>
          <w:rtl w:val="true"/>
        </w:rPr>
        <w:t xml:space="preserve">. </w:t>
      </w:r>
      <w:r>
        <w:rPr>
          <w:rtl w:val="true"/>
        </w:rPr>
        <w:t>המערער סבור כי התביעה התרשלה</w:t>
      </w:r>
      <w:r>
        <w:rPr>
          <w:rtl w:val="true"/>
        </w:rPr>
        <w:t xml:space="preserve">, </w:t>
      </w:r>
      <w:r>
        <w:rPr>
          <w:rtl w:val="true"/>
        </w:rPr>
        <w:t>אם לא למעלה מכך</w:t>
      </w:r>
      <w:r>
        <w:rPr>
          <w:rtl w:val="true"/>
        </w:rPr>
        <w:t xml:space="preserve">, </w:t>
      </w:r>
      <w:r>
        <w:rPr>
          <w:rtl w:val="true"/>
        </w:rPr>
        <w:t>בהעמדתו לדין ובניהול משפטו כאשר לא הכירה בחולשת ראיותיה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על יסוד האמור 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15.1.2013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tl w:val="true"/>
        </w:rPr>
        <w:t xml:space="preserve">), </w:t>
      </w:r>
      <w:r>
        <w:rPr>
          <w:rtl w:val="true"/>
        </w:rPr>
        <w:t>כי שקריו בחקירתו</w:t>
      </w:r>
      <w:r>
        <w:rPr>
          <w:rtl w:val="true"/>
        </w:rPr>
        <w:t xml:space="preserve">, </w:t>
      </w:r>
      <w:r>
        <w:rPr>
          <w:rtl w:val="true"/>
        </w:rPr>
        <w:t>שכאמור נועדו לגונן על בנו סאמר</w:t>
      </w:r>
      <w:r>
        <w:rPr>
          <w:rtl w:val="true"/>
        </w:rPr>
        <w:t xml:space="preserve">, </w:t>
      </w:r>
      <w:r>
        <w:rPr>
          <w:rtl w:val="true"/>
        </w:rPr>
        <w:t>ולא להכשיל את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אינם מקימים עילה לשלילת זכאותו לפיצויים ולהוצאות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סבורה אחרת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יצא זכאי בדינו מחמת הספק </w:t>
      </w:r>
      <w:r>
        <w:rPr>
          <w:rtl w:val="true"/>
        </w:rPr>
        <w:t>–</w:t>
      </w:r>
      <w:r>
        <w:rPr>
          <w:rtl w:val="true"/>
        </w:rPr>
        <w:t xml:space="preserve"> ספק</w:t>
      </w:r>
      <w:r>
        <w:rPr>
          <w:rtl w:val="true"/>
        </w:rPr>
        <w:t xml:space="preserve">, </w:t>
      </w:r>
      <w:r>
        <w:rPr>
          <w:rtl w:val="true"/>
        </w:rPr>
        <w:t xml:space="preserve">ותו לא </w:t>
      </w:r>
      <w:r>
        <w:rPr>
          <w:rtl w:val="true"/>
        </w:rPr>
        <w:t>–</w:t>
      </w:r>
      <w:r>
        <w:rPr>
          <w:rtl w:val="true"/>
        </w:rPr>
        <w:t xml:space="preserve"> ועל כן אין לקבל את טענת המערער כי לא היה מקום להעמידו לדין בגין רצח וחבלה בכוונה מחמירה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מוסיפה המדינה וטוענת כי קיומן של ראיות לכאורה</w:t>
      </w:r>
      <w:r>
        <w:rPr>
          <w:rtl w:val="true"/>
        </w:rPr>
        <w:t xml:space="preserve">, </w:t>
      </w:r>
      <w:r>
        <w:rPr>
          <w:rtl w:val="true"/>
        </w:rPr>
        <w:t>אשר הצדיקו את הגשת כתב האישום החמור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אושר בהחלטה לאשר את מעצרו עד תום ההליכים שניתנה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tl w:val="true"/>
        </w:rPr>
        <w:t xml:space="preserve"> ב</w:t>
      </w:r>
      <w:hyperlink r:id="rId1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24.1.2016</w:t>
      </w:r>
      <w:r>
        <w:rPr>
          <w:rtl w:val="true"/>
        </w:rPr>
        <w:t xml:space="preserve">). </w:t>
      </w:r>
      <w:r>
        <w:rPr>
          <w:rtl w:val="true"/>
        </w:rPr>
        <w:t>עוד טוענת המדינה</w:t>
      </w:r>
      <w:r>
        <w:rPr>
          <w:rtl w:val="true"/>
        </w:rPr>
        <w:t xml:space="preserve">, </w:t>
      </w:r>
      <w:r>
        <w:rPr>
          <w:rtl w:val="true"/>
        </w:rPr>
        <w:t>כי שקרי המערער בחקירתו וניסיונו לשבש את מהלכי משפטו על ידי העלמת מכשיר 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DVR</w:t>
      </w:r>
      <w:r>
        <w:rPr>
          <w:rtl w:val="true"/>
        </w:rPr>
        <w:t xml:space="preserve"> </w:t>
      </w:r>
      <w:r>
        <w:rPr>
          <w:rtl w:val="true"/>
        </w:rPr>
        <w:t xml:space="preserve">מביתו מוציאים אותו </w:t>
      </w:r>
      <w:r>
        <w:rPr>
          <w:rtl w:val="true"/>
        </w:rPr>
        <w:t>–</w:t>
      </w:r>
      <w:r>
        <w:rPr>
          <w:rtl w:val="true"/>
        </w:rPr>
        <w:t xml:space="preserve"> בכוחם הם </w:t>
      </w:r>
      <w:r>
        <w:rPr>
          <w:rtl w:val="true"/>
        </w:rPr>
        <w:t>–</w:t>
      </w:r>
      <w:r>
        <w:rPr>
          <w:rtl w:val="true"/>
        </w:rPr>
        <w:t xml:space="preserve"> ממעגל הזכאים לפיצויים ולהוצאות במסגרתו של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טוענת המדינה כי היא סומכת את ידיה על ההחלטה קמא על כל נימוקיה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מורה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קובלנה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הוראה זו</w:t>
      </w:r>
      <w:r>
        <w:rPr>
          <w:rtl w:val="true"/>
        </w:rPr>
        <w:t xml:space="preserve">, </w:t>
      </w:r>
      <w:r>
        <w:rPr>
          <w:rtl w:val="true"/>
        </w:rPr>
        <w:t>לפי לשונה</w:t>
      </w:r>
      <w:r>
        <w:rPr>
          <w:rtl w:val="true"/>
        </w:rPr>
        <w:t xml:space="preserve">, </w:t>
      </w:r>
      <w:r>
        <w:rPr>
          <w:rtl w:val="true"/>
        </w:rPr>
        <w:t xml:space="preserve">מזכה את הנאשם שזוכה בפיצויים ובהוצאות מקופתו של אוצר המדינה בהתקיים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 משני התנאים כדלקמן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>".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".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הראשון מבין שני התנאים הללו אינו מתקיים במקרה דנן</w:t>
      </w:r>
      <w:r>
        <w:rPr>
          <w:rtl w:val="true"/>
        </w:rPr>
        <w:t xml:space="preserve">. </w:t>
      </w:r>
      <w:r>
        <w:rPr>
          <w:rtl w:val="true"/>
        </w:rPr>
        <w:t>ניתוח הראיות הנסיבתיות שפורטו לעיל בדרך של הסתכלות בסרט אילם מסמן את המערער</w:t>
      </w:r>
      <w:r>
        <w:rPr>
          <w:rtl w:val="true"/>
        </w:rPr>
        <w:t xml:space="preserve">, </w:t>
      </w:r>
      <w:r>
        <w:rPr>
          <w:rtl w:val="true"/>
        </w:rPr>
        <w:t>לפחות לכאורה</w:t>
      </w:r>
      <w:r>
        <w:rPr>
          <w:rtl w:val="true"/>
        </w:rPr>
        <w:t xml:space="preserve">, </w:t>
      </w:r>
      <w:r>
        <w:rPr>
          <w:rtl w:val="true"/>
        </w:rPr>
        <w:t>כשותף למעשה הרצח ולגרימת חבלה בכוונה מחמירה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המערער זוכה אך ורק מחמת הספק</w:t>
      </w:r>
      <w:r>
        <w:rPr>
          <w:rtl w:val="true"/>
        </w:rPr>
        <w:t xml:space="preserve">, </w:t>
      </w:r>
      <w:r>
        <w:rPr>
          <w:rtl w:val="true"/>
        </w:rPr>
        <w:t>ועל כן אין כל בסיס לטענתו שלא היה יסוד להאשימו בעבירות בהן הואשם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אזכיר את הציווי הקבוע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 xml:space="preserve">אשר מורה לתובע </w:t>
      </w:r>
      <w:r>
        <w:rPr>
          <w:rtl w:val="true"/>
        </w:rPr>
        <w:t>"</w:t>
      </w:r>
      <w:r>
        <w:rPr>
          <w:rtl w:val="true"/>
        </w:rPr>
        <w:t>שהועבר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ושראה </w:t>
      </w:r>
      <w:r>
        <w:rPr>
          <w:rtl w:val="true"/>
        </w:rPr>
        <w:t>"</w:t>
      </w:r>
      <w:r>
        <w:rPr>
          <w:rtl w:val="true"/>
        </w:rPr>
        <w:t>שהראיות</w:t>
      </w:r>
      <w:r>
        <w:rPr>
          <w:rtl w:val="true"/>
        </w:rPr>
        <w:t xml:space="preserve"> </w:t>
      </w:r>
      <w:r>
        <w:rPr>
          <w:rtl w:val="true"/>
        </w:rPr>
        <w:t>מספיקות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" </w:t>
      </w:r>
      <w:r>
        <w:rPr>
          <w:rtl w:val="true"/>
        </w:rPr>
        <w:t>להעמיד את אותו אדם לדין</w:t>
      </w:r>
      <w:r>
        <w:rPr>
          <w:rtl w:val="true"/>
        </w:rPr>
        <w:t xml:space="preserve">. </w:t>
      </w:r>
      <w:r>
        <w:rPr>
          <w:rtl w:val="true"/>
        </w:rPr>
        <w:t xml:space="preserve">חובתו זו של התובע מוּסרת מכתפיו רק כאשר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בכללותן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 </w:t>
      </w:r>
      <w:r>
        <w:rPr>
          <w:rtl w:val="true"/>
        </w:rPr>
        <w:t>להעמדה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" (</w:t>
      </w:r>
      <w:r>
        <w:rPr>
          <w:rtl w:val="true"/>
        </w:rPr>
        <w:t>לעניינם של חובה זו ושל חריגיה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21-20</w:t>
      </w:r>
      <w:r>
        <w:rPr>
          <w:rtl w:val="true"/>
        </w:rPr>
        <w:t xml:space="preserve"> </w:t>
      </w:r>
      <w:r>
        <w:rPr>
          <w:rtl w:val="true"/>
        </w:rPr>
        <w:t>לפסק דיני ב</w:t>
      </w:r>
      <w:hyperlink r:id="rId25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5387/20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עולה</w:t>
      </w:r>
      <w:r>
        <w:rPr>
          <w:rtl w:val="true"/>
        </w:rPr>
        <w:t xml:space="preserve">, </w:t>
      </w:r>
      <w:r>
        <w:rPr>
          <w:rtl w:val="true"/>
        </w:rPr>
        <w:t>כי לתובע היתה הצדקה מלאה להעמיד את המערער לדין בגין רצח וחבלה בכוונה מחמירה</w:t>
      </w:r>
      <w:r>
        <w:rPr>
          <w:rtl w:val="true"/>
        </w:rPr>
        <w:t xml:space="preserve">, </w:t>
      </w:r>
      <w:r>
        <w:rPr>
          <w:rtl w:val="true"/>
        </w:rPr>
        <w:t>וכי התובע</w:t>
      </w:r>
      <w:r>
        <w:rPr>
          <w:rtl w:val="true"/>
        </w:rPr>
        <w:t xml:space="preserve">, </w:t>
      </w:r>
      <w:r>
        <w:rPr>
          <w:rtl w:val="true"/>
        </w:rPr>
        <w:t>קרוב לוודאי</w:t>
      </w:r>
      <w:r>
        <w:rPr>
          <w:rtl w:val="true"/>
        </w:rPr>
        <w:t xml:space="preserve">, </w:t>
      </w:r>
      <w:r>
        <w:rPr>
          <w:rtl w:val="true"/>
        </w:rPr>
        <w:t>אף חייב היה לעשות כן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החלופה השנייה לזכאות הנאשם שזוכה לפיצויים ולהוצאות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היא בגדר הוראת סל</w:t>
      </w:r>
      <w:r>
        <w:rPr>
          <w:rtl w:val="true"/>
        </w:rPr>
        <w:t xml:space="preserve">. </w:t>
      </w:r>
      <w:r>
        <w:rPr>
          <w:rtl w:val="true"/>
        </w:rPr>
        <w:t>עניינה של הוראת סל זו היא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הליכי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בכללם</w:t>
      </w:r>
      <w:r>
        <w:rPr>
          <w:rtl w:val="true"/>
        </w:rPr>
        <w:t xml:space="preserve">;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 xml:space="preserve">כן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, </w:t>
      </w:r>
      <w:r>
        <w:rPr/>
        <w:t>118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tl w:val="true"/>
        </w:rPr>
        <w:t xml:space="preserve">)). </w:t>
      </w:r>
      <w:r>
        <w:rPr>
          <w:rtl w:val="true"/>
        </w:rPr>
        <w:t xml:space="preserve">הוראה זו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מקפלת בתוכה רשימה סגורה של מקרי זכאות כאמור </w:t>
      </w:r>
      <w:r>
        <w:rPr>
          <w:rtl w:val="true"/>
        </w:rPr>
        <w:t>–</w:t>
      </w:r>
      <w:r>
        <w:rPr>
          <w:rtl w:val="true"/>
        </w:rPr>
        <w:t xml:space="preserve"> כל מקרה ומקרה שבא בגדרה צריך לבוא על פתרונו בהתחשב במכלול נסיבותיו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תובנה כללית זו</w:t>
      </w:r>
      <w:r>
        <w:rPr>
          <w:rtl w:val="true"/>
        </w:rPr>
        <w:t xml:space="preserve">, </w:t>
      </w:r>
      <w:r>
        <w:rPr>
          <w:rtl w:val="true"/>
        </w:rPr>
        <w:t>פסיקתנו קבעה מבחנים מנחים להפעלת ההוראה</w:t>
      </w:r>
      <w:r>
        <w:rPr>
          <w:rtl w:val="true"/>
        </w:rPr>
        <w:t xml:space="preserve">. </w:t>
      </w:r>
      <w:r>
        <w:rPr>
          <w:rtl w:val="true"/>
        </w:rPr>
        <w:t xml:space="preserve">מבחנים אלה כוללים את מאזן האשמה ואת נסיבותיו של הנאשם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7826/96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493-491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118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5851/19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</w:t>
      </w:r>
      <w:r>
        <w:rPr>
          <w:rFonts w:ascii="Miriam" w:hAnsi="Miriam" w:cs="Miriam"/>
          <w:szCs w:val="24"/>
          <w:rtl w:val="true"/>
        </w:rPr>
        <w:t>ל</w:t>
      </w:r>
      <w:r>
        <w:rPr>
          <w:rtl w:val="true"/>
        </w:rPr>
        <w:t xml:space="preserve"> פסקאות </w:t>
      </w:r>
      <w:r>
        <w:rPr/>
        <w:t>11-10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2.2.2020</w:t>
      </w:r>
      <w:r>
        <w:rPr>
          <w:rtl w:val="true"/>
        </w:rPr>
        <w:t xml:space="preserve">))). </w:t>
      </w:r>
      <w:r>
        <w:rPr>
          <w:rtl w:val="true"/>
        </w:rPr>
        <w:t>המבחן של מאזן האשמה מכוון את זרקורו אל התנהלותן של המשטרה והתביעה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והתנהלותו של הנאשם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במהלכם של החקירה והמשפט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התנהלות רשלנית </w:t>
      </w:r>
      <w:r>
        <w:rPr>
          <w:rtl w:val="true"/>
        </w:rPr>
        <w:t>–</w:t>
      </w:r>
      <w:r>
        <w:rPr>
          <w:rtl w:val="true"/>
        </w:rPr>
        <w:t xml:space="preserve"> קל וחומר</w:t>
      </w:r>
      <w:r>
        <w:rPr>
          <w:rtl w:val="true"/>
        </w:rPr>
        <w:t xml:space="preserve">, </w:t>
      </w:r>
      <w:r>
        <w:rPr>
          <w:rtl w:val="true"/>
        </w:rPr>
        <w:t>חסרת תום</w:t>
      </w:r>
      <w:r>
        <w:rPr>
          <w:rtl w:val="true"/>
        </w:rPr>
        <w:t>-</w:t>
      </w:r>
      <w:r>
        <w:rPr>
          <w:rtl w:val="true"/>
        </w:rPr>
        <w:t xml:space="preserve">לב או זדונית </w:t>
      </w:r>
      <w:r>
        <w:rPr>
          <w:rtl w:val="true"/>
        </w:rPr>
        <w:t>–</w:t>
      </w:r>
      <w:r>
        <w:rPr>
          <w:rtl w:val="true"/>
        </w:rPr>
        <w:t xml:space="preserve"> של המשטרה או של התביעה מהווה שיקול להכרה בזכאות הנאשם שזוכה לפיצויים ולהוצאות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התנהלות פסולה או בלתי סבירה של הנאשם עלולה לשלול ממנו זכאות כאמור</w:t>
      </w:r>
      <w:r>
        <w:rPr>
          <w:rtl w:val="true"/>
        </w:rPr>
        <w:t xml:space="preserve">. </w:t>
      </w:r>
      <w:r>
        <w:rPr>
          <w:rtl w:val="true"/>
        </w:rPr>
        <w:t>המבחן של נסיבות הנאשם מציב את השאלה הבאה</w:t>
      </w:r>
      <w:r>
        <w:rPr>
          <w:rtl w:val="true"/>
        </w:rPr>
        <w:t xml:space="preserve">: </w:t>
      </w:r>
      <w:r>
        <w:rPr>
          <w:rtl w:val="true"/>
        </w:rPr>
        <w:t>האם הנאשם שיצא זכאי בדינו סבל נזקים קשים במיוחד אשר חורגים ממידת הסבל והנזק הרגילה</w:t>
      </w:r>
      <w:r>
        <w:rPr>
          <w:rtl w:val="true"/>
        </w:rPr>
        <w:t xml:space="preserve">, </w:t>
      </w:r>
      <w:r>
        <w:rPr>
          <w:rtl w:val="true"/>
        </w:rPr>
        <w:t>שהינה מנת</w:t>
      </w:r>
      <w:r>
        <w:rPr>
          <w:rtl w:val="true"/>
        </w:rPr>
        <w:t>-</w:t>
      </w:r>
      <w:r>
        <w:rPr>
          <w:rtl w:val="true"/>
        </w:rPr>
        <w:t>חלקו של כל אדם שעומד לדין פלילי</w:t>
      </w:r>
      <w:r>
        <w:rPr>
          <w:rtl w:val="true"/>
        </w:rPr>
        <w:t xml:space="preserve">? </w:t>
      </w:r>
      <w:r>
        <w:rPr>
          <w:rtl w:val="true"/>
        </w:rPr>
        <w:t>נזקים מיוחדים כאמור כוללים מעצר או מאסר ממושך</w:t>
      </w:r>
      <w:r>
        <w:rPr>
          <w:rtl w:val="true"/>
        </w:rPr>
        <w:t xml:space="preserve">; </w:t>
      </w:r>
      <w:r>
        <w:rPr>
          <w:rtl w:val="true"/>
        </w:rPr>
        <w:t>אירוע קיצוני בחייו האישיים של הנאשם</w:t>
      </w:r>
      <w:r>
        <w:rPr>
          <w:rtl w:val="true"/>
        </w:rPr>
        <w:t xml:space="preserve">, </w:t>
      </w:r>
      <w:r>
        <w:rPr>
          <w:rtl w:val="true"/>
        </w:rPr>
        <w:t>כדוגמת מחלה קשה</w:t>
      </w:r>
      <w:r>
        <w:rPr>
          <w:rtl w:val="true"/>
        </w:rPr>
        <w:t xml:space="preserve">, </w:t>
      </w:r>
      <w:r>
        <w:rPr>
          <w:rtl w:val="true"/>
        </w:rPr>
        <w:t>גירושין או פרידה מבן הזוג</w:t>
      </w:r>
      <w:r>
        <w:rPr>
          <w:rtl w:val="true"/>
        </w:rPr>
        <w:t xml:space="preserve">, </w:t>
      </w:r>
      <w:r>
        <w:rPr>
          <w:rtl w:val="true"/>
        </w:rPr>
        <w:t>מבת הזוג או מבן משפחה קרוב</w:t>
      </w:r>
      <w:r>
        <w:rPr>
          <w:rtl w:val="true"/>
        </w:rPr>
        <w:t xml:space="preserve">; </w:t>
      </w:r>
      <w:r>
        <w:rPr>
          <w:rtl w:val="true"/>
        </w:rPr>
        <w:t>פגיעה אנושה בעסק</w:t>
      </w:r>
      <w:r>
        <w:rPr>
          <w:rtl w:val="true"/>
        </w:rPr>
        <w:t xml:space="preserve">, </w:t>
      </w:r>
      <w:r>
        <w:rPr>
          <w:rtl w:val="true"/>
        </w:rPr>
        <w:t>במוניטין או בקריירה מקצועית</w:t>
      </w:r>
      <w:r>
        <w:rPr>
          <w:rtl w:val="true"/>
        </w:rPr>
        <w:t xml:space="preserve">; </w:t>
      </w:r>
      <w:r>
        <w:rPr>
          <w:rtl w:val="true"/>
        </w:rPr>
        <w:t>והרשימה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איננה סגורה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1767/94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505</w:t>
      </w:r>
      <w:r>
        <w:rPr>
          <w:rtl w:val="true"/>
        </w:rPr>
        <w:t xml:space="preserve">, </w:t>
      </w:r>
      <w:r>
        <w:rPr/>
        <w:t>529-528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7770/10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טורי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20.9.2011</w:t>
      </w:r>
      <w:r>
        <w:rPr>
          <w:rtl w:val="true"/>
        </w:rPr>
        <w:t xml:space="preserve">); </w:t>
      </w:r>
      <w:r>
        <w:rPr>
          <w:rtl w:val="true"/>
        </w:rPr>
        <w:t xml:space="preserve">וכן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הריסון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8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נסיבות מיוחדות כאמור אינן מתקיימות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כילה כארבע שנים מחייו ביושבו בכלא </w:t>
      </w:r>
      <w:r>
        <w:rPr>
          <w:rtl w:val="true"/>
        </w:rPr>
        <w:t>–</w:t>
      </w:r>
      <w:r>
        <w:rPr>
          <w:rtl w:val="true"/>
        </w:rPr>
        <w:t xml:space="preserve"> תחילה</w:t>
      </w:r>
      <w:r>
        <w:rPr>
          <w:rtl w:val="true"/>
        </w:rPr>
        <w:t xml:space="preserve">, </w:t>
      </w:r>
      <w:r>
        <w:rPr>
          <w:rtl w:val="true"/>
        </w:rPr>
        <w:t>כעצור ואחר כך</w:t>
      </w:r>
      <w:r>
        <w:rPr>
          <w:rtl w:val="true"/>
        </w:rPr>
        <w:t xml:space="preserve">, </w:t>
      </w:r>
      <w:r>
        <w:rPr>
          <w:rtl w:val="true"/>
        </w:rPr>
        <w:t xml:space="preserve">כאסיר </w:t>
      </w:r>
      <w:r>
        <w:rPr>
          <w:rtl w:val="true"/>
        </w:rPr>
        <w:t>–</w:t>
      </w:r>
      <w:r>
        <w:rPr>
          <w:rtl w:val="true"/>
        </w:rPr>
        <w:t xml:space="preserve"> לפני שזוכה</w:t>
      </w:r>
      <w:r>
        <w:rPr>
          <w:rtl w:val="true"/>
        </w:rPr>
        <w:t xml:space="preserve">. </w:t>
      </w:r>
      <w:r>
        <w:rPr>
          <w:rtl w:val="true"/>
        </w:rPr>
        <w:t>בזאת אין להקל ראש</w:t>
      </w:r>
      <w:r>
        <w:rPr>
          <w:rtl w:val="true"/>
        </w:rPr>
        <w:t xml:space="preserve">. </w:t>
      </w:r>
      <w:r>
        <w:rPr>
          <w:rtl w:val="true"/>
        </w:rPr>
        <w:t>אולם יחד עם זאת</w:t>
      </w:r>
      <w:r>
        <w:rPr>
          <w:rtl w:val="true"/>
        </w:rPr>
        <w:t xml:space="preserve">, </w:t>
      </w:r>
      <w:r>
        <w:rPr>
          <w:rtl w:val="true"/>
        </w:rPr>
        <w:t>חובה עלינו לקחת בחשבון את עוצמת הראיות הנסיבתיות אשר תמכו באשמת המערער במיוחס לו ואשר הביאו לשלילת חירותו יחד עם שקריו הבוטים בחקירתו</w:t>
      </w:r>
      <w:r>
        <w:rPr>
          <w:rtl w:val="true"/>
        </w:rPr>
        <w:t xml:space="preserve">. </w:t>
      </w:r>
      <w:r>
        <w:rPr>
          <w:rtl w:val="true"/>
        </w:rPr>
        <w:t>לזאת יש להוסיף ניסיונו של המערער לשבש מהלכי משפט על ידי העלמת מכשיר 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DVR</w:t>
      </w:r>
      <w:r>
        <w:rPr>
          <w:rtl w:val="true"/>
        </w:rPr>
        <w:t xml:space="preserve">. </w:t>
      </w:r>
      <w:r>
        <w:rPr>
          <w:rtl w:val="true"/>
        </w:rPr>
        <w:t>נמצא אפוא כי המערער הביא על עצמו את החשדות וההאשמות</w:t>
      </w:r>
      <w:r>
        <w:rPr>
          <w:rtl w:val="true"/>
        </w:rPr>
        <w:t xml:space="preserve">, </w:t>
      </w:r>
      <w:r>
        <w:rPr>
          <w:rtl w:val="true"/>
        </w:rPr>
        <w:t xml:space="preserve">שלבסוף לא עברו את סף </w:t>
      </w:r>
      <w:r>
        <w:rPr>
          <w:rtl w:val="true"/>
        </w:rPr>
        <w:t>"</w:t>
      </w:r>
      <w:r>
        <w:rPr>
          <w:rtl w:val="true"/>
        </w:rPr>
        <w:t>הספק הסביר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גם אם אניח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התביעה בעניינו התרשלה התרשלות חמורה </w:t>
      </w:r>
      <w:r>
        <w:rPr>
          <w:rtl w:val="true"/>
        </w:rPr>
        <w:t>–</w:t>
      </w:r>
      <w:r>
        <w:rPr>
          <w:rtl w:val="true"/>
        </w:rPr>
        <w:t xml:space="preserve"> ואני רחוק מלחשוב כך </w:t>
      </w:r>
      <w:r>
        <w:rPr>
          <w:rtl w:val="true"/>
        </w:rPr>
        <w:t>–</w:t>
      </w:r>
      <w:r>
        <w:rPr>
          <w:rtl w:val="true"/>
        </w:rPr>
        <w:t xml:space="preserve"> מעשיו אלו מטים את כפות המאזניים לחובתו במסגרת המבחן של מאזן האשמה</w:t>
      </w:r>
      <w:r>
        <w:rPr>
          <w:rtl w:val="true"/>
        </w:rPr>
        <w:t xml:space="preserve">. </w:t>
      </w:r>
      <w:r>
        <w:rPr>
          <w:rtl w:val="true"/>
        </w:rPr>
        <w:t>בהתייחסו למאזן האשמה</w:t>
      </w:r>
      <w:r>
        <w:rPr>
          <w:rtl w:val="true"/>
        </w:rPr>
        <w:t xml:space="preserve">, </w:t>
      </w:r>
      <w:r>
        <w:rPr>
          <w:rtl w:val="true"/>
        </w:rPr>
        <w:t>המערער משליך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יהבו על האמור בפסק הדין שניתן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>אך המקרה אשר נדון באותו פסק הדין אינו דומה למקרה דכאן</w:t>
      </w:r>
      <w:r>
        <w:rPr>
          <w:rtl w:val="true"/>
        </w:rPr>
        <w:t xml:space="preserve">.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tl w:val="true"/>
        </w:rPr>
        <w:t xml:space="preserve"> נסוב על נאשם שבחר לשתוק בחקירתו ובמשפטו </w:t>
      </w:r>
      <w:r>
        <w:rPr>
          <w:rtl w:val="true"/>
        </w:rPr>
        <w:t>–</w:t>
      </w:r>
      <w:r>
        <w:rPr>
          <w:rtl w:val="true"/>
        </w:rPr>
        <w:t xml:space="preserve"> לא על נאשם ששיקר</w:t>
      </w:r>
      <w:r>
        <w:rPr>
          <w:rtl w:val="true"/>
        </w:rPr>
        <w:t xml:space="preserve">, </w:t>
      </w:r>
      <w:r>
        <w:rPr>
          <w:rtl w:val="true"/>
        </w:rPr>
        <w:t>ובוודאי שלא על נאשם שניסה לשבש ראיות</w:t>
      </w:r>
      <w:r>
        <w:rPr>
          <w:rtl w:val="true"/>
        </w:rPr>
        <w:t xml:space="preserve">. </w:t>
      </w:r>
      <w:r>
        <w:rPr>
          <w:rtl w:val="true"/>
        </w:rPr>
        <w:t xml:space="preserve">שקרי הנאשם מזיקים עד מאד למערכת המשפט הפלילי גם כשהנאשם אינו עומד בגינם לדין </w:t>
      </w:r>
      <w:r>
        <w:rPr>
          <w:rtl w:val="true"/>
        </w:rPr>
        <w:t>(</w:t>
      </w:r>
      <w:r>
        <w:rPr>
          <w:rtl w:val="true"/>
        </w:rPr>
        <w:t>על כך ראו בהרחבה</w:t>
      </w:r>
      <w:r>
        <w:rPr>
          <w:rtl w:val="true"/>
        </w:rPr>
        <w:t xml:space="preserve">:  </w:t>
      </w:r>
      <w:r>
        <w:rPr>
          <w:rFonts w:cs="Times New Roman" w:ascii="Times New Roman" w:hAnsi="Times New Roman"/>
        </w:rPr>
        <w:t xml:space="preserve">Daniel J. Seidmann &amp; Alex Stein, </w:t>
      </w:r>
      <w:r>
        <w:rPr>
          <w:rFonts w:cs="Times New Roman" w:ascii="Times New Roman" w:hAnsi="Times New Roman"/>
          <w:i/>
          <w:iCs/>
        </w:rPr>
        <w:t>The Right to Silence Helps the Innocent: A Game-Theoretic Analysis of the Fifth Amendment Privilege</w:t>
      </w:r>
      <w:r>
        <w:rPr>
          <w:rFonts w:cs="Times New Roman" w:ascii="Times New Roman" w:hAnsi="Times New Roman"/>
        </w:rPr>
        <w:t xml:space="preserve">, 114 </w:t>
      </w:r>
      <w:r>
        <w:rPr>
          <w:rFonts w:cs="Times New Roman" w:ascii="Times New Roman" w:hAnsi="Times New Roman"/>
          <w:smallCaps/>
        </w:rPr>
        <w:t>Harv. L. Rev.</w:t>
      </w:r>
      <w:r>
        <w:rPr>
          <w:rFonts w:cs="Times New Roman" w:ascii="Times New Roman" w:hAnsi="Times New Roman"/>
        </w:rPr>
        <w:t xml:space="preserve"> 430 (2000)</w:t>
      </w:r>
      <w:r>
        <w:rPr>
          <w:rtl w:val="true"/>
        </w:rPr>
        <w:t xml:space="preserve">). </w:t>
      </w:r>
      <w:r>
        <w:rPr>
          <w:rtl w:val="true"/>
        </w:rPr>
        <w:t>אב שמשקר בחקירתו למען בנו</w:t>
      </w:r>
      <w:r>
        <w:rPr>
          <w:rtl w:val="true"/>
        </w:rPr>
        <w:t xml:space="preserve">, </w:t>
      </w:r>
      <w:r>
        <w:rPr>
          <w:rtl w:val="true"/>
        </w:rPr>
        <w:t xml:space="preserve">או בן שבוחר לשקר בחקירתו כדי לנקות את אביו מהחשדות בפלילים </w:t>
      </w:r>
      <w:r>
        <w:rPr>
          <w:rtl w:val="true"/>
        </w:rPr>
        <w:t>–</w:t>
      </w:r>
      <w:r>
        <w:rPr>
          <w:rtl w:val="true"/>
        </w:rPr>
        <w:t xml:space="preserve"> אין מסיקים לחובתו מסקנות מרשיעות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197</w:t>
      </w:r>
      <w:r>
        <w:rPr>
          <w:rtl w:val="true"/>
        </w:rPr>
        <w:t xml:space="preserve">, </w:t>
      </w:r>
      <w:r>
        <w:rPr/>
        <w:t>234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מכאן לא נובע שנאשם כזה יהא זכאי לפיצויים או להוצאות בעקבות זיכויו</w:t>
      </w:r>
      <w:r>
        <w:rPr>
          <w:rtl w:val="true"/>
        </w:rPr>
        <w:t xml:space="preserve">, </w:t>
      </w:r>
      <w:r>
        <w:rPr>
          <w:rtl w:val="true"/>
        </w:rPr>
        <w:t xml:space="preserve">בגדרו של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גדולה מזו</w:t>
      </w:r>
      <w:r>
        <w:rPr>
          <w:rtl w:val="true"/>
        </w:rPr>
        <w:t xml:space="preserve">: </w:t>
      </w:r>
      <w:r>
        <w:rPr>
          <w:rtl w:val="true"/>
        </w:rPr>
        <w:t xml:space="preserve">בדנו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ציין</w:t>
      </w:r>
      <w:r>
        <w:rPr>
          <w:rtl w:val="true"/>
        </w:rPr>
        <w:t xml:space="preserve">, </w:t>
      </w:r>
      <w:r>
        <w:rPr>
          <w:rtl w:val="true"/>
        </w:rPr>
        <w:t>בדעת יחיד</w:t>
      </w:r>
      <w:r>
        <w:rPr>
          <w:rtl w:val="true"/>
        </w:rPr>
        <w:t xml:space="preserve">, </w:t>
      </w:r>
      <w:r>
        <w:rPr>
          <w:rtl w:val="true"/>
        </w:rPr>
        <w:t xml:space="preserve">כי לדעתו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ששמר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בתשובתו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שגרסתו</w:t>
      </w:r>
      <w:r>
        <w:rPr>
          <w:rtl w:val="true"/>
        </w:rPr>
        <w:t xml:space="preserve"> </w:t>
      </w:r>
      <w:r>
        <w:rPr>
          <w:rtl w:val="true"/>
        </w:rPr>
        <w:t>נחשפה</w:t>
      </w:r>
      <w:r>
        <w:rPr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בפרשת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); </w:t>
      </w:r>
      <w:r>
        <w:rPr>
          <w:rtl w:val="true"/>
        </w:rPr>
        <w:t>ובעניין זה דעתי כדעתו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שידענו כי ידו של המערער על התחתונה גם במסגרתו של מאזן האשמה</w:t>
      </w:r>
      <w:r>
        <w:rPr>
          <w:rtl w:val="true"/>
        </w:rPr>
        <w:t xml:space="preserve">, </w:t>
      </w:r>
      <w:r>
        <w:rPr>
          <w:rtl w:val="true"/>
        </w:rPr>
        <w:t xml:space="preserve">וכי נסיבותיו האישיות אינן מגיעות כדי זכאות לתשלום 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על כורחנו מגיעים אנו למסקנה כי בית משפט קמא הגיע לכלל החלטה נכונה</w:t>
      </w:r>
      <w:r>
        <w:rPr>
          <w:rtl w:val="true"/>
        </w:rPr>
        <w:t xml:space="preserve">. </w:t>
      </w:r>
      <w:r>
        <w:rPr>
          <w:rtl w:val="true"/>
        </w:rPr>
        <w:t>המערער הלין בפנינו על כך שבקשתו נדונה בבית המשפט המחוזי בפני אותו מותב שמצאוֹ אשם במעשה רצח ובחבלה בכוונה מחמירה</w:t>
      </w:r>
      <w:r>
        <w:rPr>
          <w:rtl w:val="true"/>
        </w:rPr>
        <w:t xml:space="preserve">, </w:t>
      </w:r>
      <w:r>
        <w:rPr>
          <w:rtl w:val="true"/>
        </w:rPr>
        <w:t>בטרם זוכה על ידי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אך זוהי מצוותה של </w:t>
      </w:r>
      <w:hyperlink r:id="rId39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פיצויים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 xml:space="preserve">ואותה לא נוכל לשנות או לתקן </w:t>
      </w:r>
      <w:r>
        <w:rPr>
          <w:rtl w:val="true"/>
        </w:rPr>
        <w:t>(</w:t>
      </w:r>
      <w:r>
        <w:rPr>
          <w:rtl w:val="true"/>
        </w:rPr>
        <w:t>וראו בהרחבה ב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רפאלוב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13.1.2022</w:t>
      </w:r>
      <w:r>
        <w:rPr>
          <w:rtl w:val="true"/>
        </w:rPr>
        <w:t xml:space="preserve">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ההסדר שנקבע בתקנה זו בהחלט מניח את הדעת מטעמים ברורים ומובנים</w:t>
      </w:r>
      <w:r>
        <w:rPr>
          <w:rtl w:val="true"/>
        </w:rPr>
        <w:t xml:space="preserve">: </w:t>
      </w:r>
      <w:r>
        <w:rPr>
          <w:rtl w:val="true"/>
        </w:rPr>
        <w:t>הסדר זה מביא לחיסכון בזמן שיפוטי יקר</w:t>
      </w:r>
      <w:r>
        <w:rPr>
          <w:rtl w:val="true"/>
        </w:rPr>
        <w:t xml:space="preserve">, </w:t>
      </w:r>
      <w:r>
        <w:rPr>
          <w:rtl w:val="true"/>
        </w:rPr>
        <w:t xml:space="preserve">וחזקה על שופטים מקצועיים שיידעו להפעיל את הוראתו של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גם בעקבות ביטולו של פסק דין מרשיע אשר יצא מתחת לידיהם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אם דעתי תישמע</w:t>
      </w:r>
      <w:r>
        <w:rPr>
          <w:rtl w:val="true"/>
        </w:rPr>
        <w:t xml:space="preserve">, </w:t>
      </w:r>
      <w:r>
        <w:rPr>
          <w:rtl w:val="true"/>
        </w:rPr>
        <w:t>ערעור זה יידחה כי אין בו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  <w:u w:val="single"/>
        </w:rPr>
      </w:pPr>
      <w:r>
        <w:rPr>
          <w:rFonts w:cs="Miriam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eastAsia="Arial TUR;Arial" w:cs="Arial TUR;Arial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19.1.2022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20090060</w:t>
      </w:r>
      <w:r>
        <w:rPr>
          <w:sz w:val="16"/>
          <w:rtl w:val="true"/>
        </w:rPr>
        <w:t>_</w:t>
      </w:r>
      <w:r>
        <w:rPr>
          <w:sz w:val="16"/>
        </w:rPr>
        <w:t>F02.docx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54678313-9006/20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9006/20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זיאד חסני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0.a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62.a" TargetMode="External"/><Relationship Id="rId6" Type="http://schemas.openxmlformats.org/officeDocument/2006/relationships/hyperlink" Target="http://www.nevo.co.il/law/74915" TargetMode="External"/><Relationship Id="rId7" Type="http://schemas.openxmlformats.org/officeDocument/2006/relationships/hyperlink" Target="http://www.nevo.co.il/law/74915/2" TargetMode="External"/><Relationship Id="rId8" Type="http://schemas.openxmlformats.org/officeDocument/2006/relationships/hyperlink" Target="http://www.nevo.co.il/case/20709872" TargetMode="External"/><Relationship Id="rId9" Type="http://schemas.openxmlformats.org/officeDocument/2006/relationships/hyperlink" Target="http://www.nevo.co.il/law/70301/80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3354214" TargetMode="External"/><Relationship Id="rId12" Type="http://schemas.openxmlformats.org/officeDocument/2006/relationships/hyperlink" Target="http://www.nevo.co.il/law/70301/80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3354214" TargetMode="External"/><Relationship Id="rId15" Type="http://schemas.openxmlformats.org/officeDocument/2006/relationships/hyperlink" Target="http://www.nevo.co.il/case/5568982" TargetMode="External"/><Relationship Id="rId16" Type="http://schemas.openxmlformats.org/officeDocument/2006/relationships/hyperlink" Target="http://www.nevo.co.il/law/70301/80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863296" TargetMode="External"/><Relationship Id="rId19" Type="http://schemas.openxmlformats.org/officeDocument/2006/relationships/hyperlink" Target="http://www.nevo.co.il/law/70301/80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80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903/62.a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case/26892091" TargetMode="External"/><Relationship Id="rId26" Type="http://schemas.openxmlformats.org/officeDocument/2006/relationships/hyperlink" Target="http://www.nevo.co.il/law/70301/80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959459" TargetMode="External"/><Relationship Id="rId29" Type="http://schemas.openxmlformats.org/officeDocument/2006/relationships/hyperlink" Target="http://www.nevo.co.il/case/5898389" TargetMode="External"/><Relationship Id="rId30" Type="http://schemas.openxmlformats.org/officeDocument/2006/relationships/hyperlink" Target="http://www.nevo.co.il/case/26019032" TargetMode="External"/><Relationship Id="rId31" Type="http://schemas.openxmlformats.org/officeDocument/2006/relationships/hyperlink" Target="http://www.nevo.co.il/case/5789852" TargetMode="External"/><Relationship Id="rId32" Type="http://schemas.openxmlformats.org/officeDocument/2006/relationships/hyperlink" Target="http://www.nevo.co.il/case/6112585" TargetMode="External"/><Relationship Id="rId33" Type="http://schemas.openxmlformats.org/officeDocument/2006/relationships/hyperlink" Target="http://www.nevo.co.il/case/24344596" TargetMode="External"/><Relationship Id="rId34" Type="http://schemas.openxmlformats.org/officeDocument/2006/relationships/hyperlink" Target="http://www.nevo.co.il/case/17910825" TargetMode="External"/><Relationship Id="rId35" Type="http://schemas.openxmlformats.org/officeDocument/2006/relationships/hyperlink" Target="http://www.nevo.co.il/law/70301/80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80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4915/2" TargetMode="External"/><Relationship Id="rId40" Type="http://schemas.openxmlformats.org/officeDocument/2006/relationships/hyperlink" Target="http://www.nevo.co.il/law/74915" TargetMode="External"/><Relationship Id="rId41" Type="http://schemas.openxmlformats.org/officeDocument/2006/relationships/hyperlink" Target="http://www.nevo.co.il/case/27151865" TargetMode="External"/><Relationship Id="rId42" Type="http://schemas.openxmlformats.org/officeDocument/2006/relationships/hyperlink" Target="http://www.nevo.co.il/law/70301/80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2022-01-20T08:42:00Z</dcterms:created>
  <dc:creator>h4</dc:creator>
  <dc:description/>
  <cp:keywords/>
  <dc:language>en-IL</dc:language>
  <cp:lastModifiedBy>orly</cp:lastModifiedBy>
  <cp:lastPrinted>2022-01-19T11:45:00Z</cp:lastPrinted>
  <dcterms:modified xsi:type="dcterms:W3CDTF">2022-01-20T08:42:00Z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זיאד חסני ג'בר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20709872;23354214:2;5568982;20863296;26892091;5959459;5898389;26019032;5789852;6112585;24344596;17910825;27151865</vt:lpwstr>
  </property>
  <property fmtid="{D5CDD505-2E9C-101B-9397-08002B2CF9AE}" pid="9" name="CITY">
    <vt:lpwstr/>
  </property>
  <property fmtid="{D5CDD505-2E9C-101B-9397-08002B2CF9AE}" pid="10" name="DATE">
    <vt:lpwstr>20220119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שטיין;א' חיות</vt:lpwstr>
  </property>
  <property fmtid="{D5CDD505-2E9C-101B-9397-08002B2CF9AE}" pid="14" name="LAWLISTTMP1">
    <vt:lpwstr>70301/080.a:9</vt:lpwstr>
  </property>
  <property fmtid="{D5CDD505-2E9C-101B-9397-08002B2CF9AE}" pid="15" name="LAWLISTTMP2">
    <vt:lpwstr>74903/062.a</vt:lpwstr>
  </property>
  <property fmtid="{D5CDD505-2E9C-101B-9397-08002B2CF9AE}" pid="16" name="LAWLISTTMP3">
    <vt:lpwstr>74915/002</vt:lpwstr>
  </property>
  <property fmtid="{D5CDD505-2E9C-101B-9397-08002B2CF9AE}" pid="17" name="LAWYER">
    <vt:lpwstr>חיים שוויצר;דוד יפתח;דן ענבר;מאור שגב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</vt:lpwstr>
  </property>
  <property fmtid="{D5CDD505-2E9C-101B-9397-08002B2CF9AE}" pid="39" name="NOSE21">
    <vt:lpwstr>פיצויים והוצאות</vt:lpwstr>
  </property>
  <property fmtid="{D5CDD505-2E9C-101B-9397-08002B2CF9AE}" pid="40" name="NOSE210">
    <vt:lpwstr/>
  </property>
  <property fmtid="{D5CDD505-2E9C-101B-9397-08002B2CF9AE}" pid="41" name="NOSE22">
    <vt:lpwstr>פיצויים והוצאות</vt:lpwstr>
  </property>
  <property fmtid="{D5CDD505-2E9C-101B-9397-08002B2CF9AE}" pid="42" name="NOSE23">
    <vt:lpwstr>התביעה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1447;1447;466</vt:lpwstr>
  </property>
  <property fmtid="{D5CDD505-2E9C-101B-9397-08002B2CF9AE}" pid="50" name="NOSE31">
    <vt:lpwstr>פיצויים לנאשם שזוכה</vt:lpwstr>
  </property>
  <property fmtid="{D5CDD505-2E9C-101B-9397-08002B2CF9AE}" pid="51" name="NOSE310">
    <vt:lpwstr/>
  </property>
  <property fmtid="{D5CDD505-2E9C-101B-9397-08002B2CF9AE}" pid="52" name="NOSE32">
    <vt:lpwstr>חיוב המדינה</vt:lpwstr>
  </property>
  <property fmtid="{D5CDD505-2E9C-101B-9397-08002B2CF9AE}" pid="53" name="NOSE33">
    <vt:lpwstr>חובותיה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9012;9009;3640</vt:lpwstr>
  </property>
  <property fmtid="{D5CDD505-2E9C-101B-9397-08002B2CF9AE}" pid="61" name="PADIDATE">
    <vt:lpwstr>20220120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9006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410120220119</vt:lpwstr>
  </property>
  <property fmtid="{D5CDD505-2E9C-101B-9397-08002B2CF9AE}" pid="71" name="TYPE_N_DATE">
    <vt:lpwstr>41020220119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