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901/22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ארז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>ת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אסווד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פיש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בת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פ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19497-08-21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30.1.2022</w:t>
            </w:r>
            <w:r>
              <w:rPr>
                <w:sz w:val="24"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באדר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15.2.2022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שלומי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אברמזון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2"/>
        <w:gridCol w:w="5151"/>
      </w:tblGrid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זוהר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ארבל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>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חאג</w:t>
            </w:r>
            <w:r>
              <w:rPr>
                <w:rtl w:val="true"/>
              </w:rPr>
              <w:t>'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z w:val="24"/>
            <w:u w:val="none"/>
          </w:rPr>
          <w:t>29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144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144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ו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152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157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407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447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452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8" w:name="ABSTRACT_START"/>
      <w:bookmarkEnd w:id="8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העליון החמיר בעונש המאסר בפועל שהוטל על אדם שהורשע בעבירות של התפרעות שסופה נזק ממניע גזעני כלפי רכוש בבעלות יהודית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ועבירות נוספות שבוצעו על רקע מבצע שומר החומות והעמידו על </w:t>
      </w:r>
      <w:r>
        <w:rPr>
          <w:rFonts w:cs="Times New Roman" w:ascii="Times New Roman" w:hAnsi="Times New Roman"/>
          <w:spacing w:val="0"/>
          <w:szCs w:val="26"/>
        </w:rPr>
        <w:t>22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חודשי מאסר בפועל במקום </w:t>
      </w:r>
      <w:r>
        <w:rPr>
          <w:rFonts w:cs="Times New Roman" w:ascii="Times New Roman" w:hAnsi="Times New Roman"/>
          <w:spacing w:val="0"/>
          <w:szCs w:val="26"/>
        </w:rPr>
        <w:t>12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אלימות על רקע אידיאולוגי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 לחומרה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 ערכאת ערעור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ערעור המדינה על קול העונש שהושת על המשיב בעקבות הרשעתו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על פי הודאתו במסגרת הסדר טיעון בעביר</w:t>
      </w:r>
      <w:r>
        <w:rPr>
          <w:rFonts w:ascii="Times New Roman" w:hAnsi="Times New Roman" w:cs="Times New Roman"/>
          <w:spacing w:val="0"/>
          <w:szCs w:val="26"/>
          <w:rtl w:val="true"/>
        </w:rPr>
        <w:t>ות של התפרעות שסופה נזק ממניע גזעני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הסגת גבול כדי לעבור עבירה ממניע גזעני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היזק בזדון ממניע גזעני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התפרעות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העבירות בוצעו בעיר עכו על רקע מבצע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שומר החומות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בגין עבירות אלו השית עליו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המחוזי </w:t>
      </w:r>
      <w:r>
        <w:rPr>
          <w:rFonts w:cs="Times New Roman" w:ascii="Times New Roman" w:hAnsi="Times New Roman"/>
          <w:spacing w:val="0"/>
          <w:szCs w:val="26"/>
        </w:rPr>
        <w:t>12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מאסר על תנאי ופיצוי בסך </w:t>
      </w:r>
      <w:r>
        <w:rPr>
          <w:rFonts w:cs="Times New Roman" w:ascii="Times New Roman" w:hAnsi="Times New Roman"/>
          <w:spacing w:val="0"/>
          <w:szCs w:val="26"/>
        </w:rPr>
        <w:t>10,000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פוגלמן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בהסכמת השופטות 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ברק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ארז וי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וילנר</w:t>
      </w:r>
      <w:r>
        <w:rPr>
          <w:rFonts w:cs="Times New Roman" w:ascii="Times New Roman" w:hAnsi="Times New Roman"/>
          <w:spacing w:val="0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קיבל את הערעור מהטעמים הבאים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הלכה היא כי לא בנקל תתערב ערכאת הערעור בעונש שהטילה הערכאה הדיונית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למעט כאשר ישנה סטייה ניכרת ממדיניות הענישה הנוהגת </w:t>
      </w:r>
      <w:r>
        <w:rPr>
          <w:rFonts w:ascii="Times New Roman" w:hAnsi="Times New Roman" w:cs="Times New Roman"/>
          <w:spacing w:val="0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בקיומן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חריגות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המצדיקות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המקרה דנן </w:t>
      </w:r>
      <w:r>
        <w:rPr>
          <w:rFonts w:ascii="Times New Roman" w:hAnsi="Times New Roman" w:cs="Times New Roman"/>
          <w:spacing w:val="0"/>
          <w:szCs w:val="26"/>
          <w:rtl w:val="true"/>
        </w:rPr>
        <w:t>מצדיק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התערבות כאמור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זה עמד לא אחת על החומרה הגלומה בעבירות התפרעויות המונים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מציבות סכנה ישירה וממשית לחיי אדם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ואף עלולות להוביל לפגיעות רציניות בגוף ורכוש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נקבע כי יש לנקוט במדיניות ענישה אשר תרתיע ותרסן התפרעויות העלולות לסחוף המון רב ולצאת מגדר שליטה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הדבר נכון ביתר שאת כאשר העבירות בוצעו ממניע גזעני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שמהווה נסיבה מחמירה שבכוחה להכפיל את עונשו של מבצע העבירה או להוביל למאסר של </w:t>
      </w:r>
      <w:r>
        <w:rPr>
          <w:rFonts w:cs="Times New Roman" w:ascii="Times New Roman" w:hAnsi="Times New Roman"/>
          <w:spacing w:val="0"/>
          <w:szCs w:val="26"/>
        </w:rPr>
        <w:t>10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לפי העונש הקל יותר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hyperlink r:id="rId11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144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ו</w:t>
        </w:r>
      </w:hyperlink>
      <w:r>
        <w:rPr>
          <w:rFonts w:ascii="Times New Roman" w:hAnsi="Times New Roman" w:cs="Times New Roman"/>
          <w:spacing w:val="0"/>
          <w:szCs w:val="26"/>
          <w:rtl w:val="true"/>
        </w:rPr>
        <w:t xml:space="preserve"> ל</w:t>
      </w:r>
      <w:hyperlink r:id="rId12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העונשין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Cs w:val="26"/>
          <w:rtl w:val="true"/>
        </w:rPr>
        <w:t>בשים לב לכך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נקבע זה מכבר שכאשר מדובר בעבירות שבוצעו מתוך מניע גזעני נדחים ככלל שיקולי ענישה אחרים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ובהם נסיבות אישיות ושיקולי שיקום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מפני שיקולי ההגנה על שלום הציבור וביטחונו ושיקולי הרתעת היחיד והרבים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בקביעת מתחמי העונש ההולמים נתן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משקל לכך שחלקו היחסי של המשיב באירועים היה מצומצם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ואולם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מדובר בעבירות שמבוצעות על ידי המון מתפרע יש לתת לכך משקל מועט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במצבים אלה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אחריותו של המשיב אינה נקבעת אך על פי תרומתו הישירה לאירוע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מתוך ראיה רחבה יותר של מטרתו המשותפת של ההמון שהוא היה חלק ממנו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ואולם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מאחר שנמצא שעונשו של המשיב אינו הולם את חומרת מעשיו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צורך לקבוע את גבולותיו המדויקים של המתחם במקרה דנן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כאמור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המחוזי גזר על המשיב </w:t>
      </w:r>
      <w:r>
        <w:rPr>
          <w:rFonts w:cs="Times New Roman" w:ascii="Times New Roman" w:hAnsi="Times New Roman"/>
          <w:spacing w:val="0"/>
          <w:szCs w:val="26"/>
        </w:rPr>
        <w:t>12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בכך לא נתן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משקל מספק לעקרון ההלימה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בשים לב לחומרת מעשי המשיב ולנסיבות ביצוע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בפרט בכל הנוגע לאישום הראשון הנוגע להצתה וזריעת הרס 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י המון אדם במלון בבעלות יהודית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החומרה המיוחדת באירוע זה נובעת מעוצמתו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מריבוי המשתתפים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ומהמניע הגזעני שעמד בבסיסו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לכך יש להוסיף כי דקה בודדת לאחר שהמשיב יצא מהמלון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פרצה בו הדליקה אשר הסתיימה במותו הטראגי של המנוח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תוצאה זו יש בה ללמד על הסכנה הפוטנציאלית החמורה הנשקפת לשלום הציבור ולביטחונו במעשים שמבוצעים על ידי המון אדם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מחייבים ענישה מחמירה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גם בלא פגיעה בגוף או ברכוש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וקל וחומר כאשר – כבענייננו – אירעה פגיעה כאמור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בגזירת עונשו של המשיב היה מקום להתחשב בהודאתו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בכך שהביע חרטה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בגילו הצעיר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ובעובדה שאין לו עבר פלילי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ואולם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מדובר בעבירות אשר מבוצעות ממניע גזעני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באיזון בין שיקולים אלה לבין שיקולי הרתעה והגנה על שלום הציבור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 לתת משקל מוגבר לשיקולים האחרונים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יש מקום ליתן משקל מתאים גם לפרק הזמן שבו נעברו העבירות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במהלכו הייתה האוכלוסיה האזרחית נתונה למתקפה של אלפי רקטות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ובמקביל התעורר גל של הפרות סדר והתפרעויות אלימות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שכלל תקיפת כוחות הביטחון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כמו גם תקיפת אזרחים יהודים וערבים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גם בכך יש להקרין על אפיוני החומרה של ההתפרעות והעבירות האחרות שבוצעו ממניע של גזענות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לכך יש להוסיף כי המשיב הורשע בהשתתפות בשני אירועים נפרדים אשר בוצעו בהזדמנויות שונות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משלא מדובר באירוע בודד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כאמור בכתב האישום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שאלה היא האם יש ל</w:t>
      </w:r>
      <w:r>
        <w:rPr>
          <w:rFonts w:ascii="Times New Roman" w:hAnsi="Times New Roman" w:cs="Times New Roman"/>
          <w:spacing w:val="0"/>
          <w:szCs w:val="26"/>
          <w:rtl w:val="true"/>
        </w:rPr>
        <w:t>הצ</w:t>
      </w:r>
      <w:r>
        <w:rPr>
          <w:rFonts w:ascii="Times New Roman" w:hAnsi="Times New Roman" w:cs="Times New Roman"/>
          <w:spacing w:val="0"/>
          <w:szCs w:val="26"/>
          <w:rtl w:val="true"/>
        </w:rPr>
        <w:t>י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הנאש</w:t>
      </w:r>
      <w:r>
        <w:rPr>
          <w:rFonts w:ascii="Times New Roman" w:hAnsi="Times New Roman" w:cs="Times New Roman"/>
          <w:spacing w:val="0"/>
          <w:szCs w:val="26"/>
          <w:rtl w:val="true"/>
        </w:rPr>
        <w:t>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בתחתית המתחם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בשל העדר עבר פלילי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נוכח כל האמור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עקרון ההלימה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כמו גם הצורך בהגנה על שלום הציבור ושיקולי הרתעה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מחייבים החמרה בעונשו של המשיב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ובשים לכלל שלפיו ערכאת הערעור אינה ממצה את הדין עם הנאשם בקבלת ערעור התביעה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מעמיד את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עונש המאסר בפועל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של המשיב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על </w:t>
      </w:r>
      <w:r>
        <w:rPr>
          <w:rFonts w:cs="Times New Roman" w:ascii="Times New Roman" w:hAnsi="Times New Roman"/>
          <w:spacing w:val="0"/>
          <w:szCs w:val="26"/>
        </w:rPr>
        <w:t>22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בניכוי ימי מעצרו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יתר חלקי גזר הדין יעמדו בעינם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</w:p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ascii="Century" w:hAnsi="Century" w:cs="Miriam"/>
          <w:b/>
          <w:spacing w:val="0"/>
          <w:szCs w:val="24"/>
        </w:rPr>
      </w:pPr>
      <w:bookmarkStart w:id="14" w:name="Writer_Name"/>
      <w:bookmarkEnd w:id="14"/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פוגלמן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  <w:bookmarkStart w:id="15" w:name="Start_Write"/>
      <w:bookmarkStart w:id="16" w:name="Start_Write"/>
      <w:bookmarkEnd w:id="16"/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</w:t>
      </w:r>
      <w:r>
        <w:rPr>
          <w:rtl w:val="true"/>
        </w:rPr>
        <w:t>שיב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בעביר</w:t>
      </w:r>
      <w:r>
        <w:rPr>
          <w:rtl w:val="true"/>
        </w:rPr>
        <w:t>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התפרעות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שסופה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נזק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ממניע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גזעני</w:t>
      </w:r>
      <w:r>
        <w:rPr>
          <w:rtl w:val="true"/>
        </w:rPr>
        <w:t xml:space="preserve">; </w:t>
      </w:r>
      <w:r>
        <w:rPr>
          <w:rtl w:val="true"/>
        </w:rPr>
        <w:t>הסגת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גבול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לעבור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ממניע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גזעני</w:t>
      </w:r>
      <w:r>
        <w:rPr>
          <w:rtl w:val="true"/>
        </w:rPr>
        <w:t xml:space="preserve">; </w:t>
      </w:r>
      <w:r>
        <w:rPr>
          <w:rtl w:val="true"/>
        </w:rPr>
        <w:t>היזק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בזדון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ממניע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גזעני</w:t>
      </w:r>
      <w:r>
        <w:rPr>
          <w:rtl w:val="true"/>
        </w:rPr>
        <w:t xml:space="preserve">; </w:t>
      </w:r>
      <w:r>
        <w:rPr>
          <w:rtl w:val="true"/>
        </w:rPr>
        <w:t>התפרעות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חיפה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פיש</w:t>
      </w:r>
      <w:r>
        <w:rPr>
          <w:rtl w:val="true"/>
        </w:rPr>
        <w:t xml:space="preserve">)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>
          <w:rtl w:val="true"/>
        </w:rPr>
        <w:t>מאסר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בתנאים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); </w:t>
      </w:r>
      <w:r>
        <w:rPr>
          <w:rtl w:val="true"/>
        </w:rPr>
        <w:t>ופיצוי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Garamond" w:cs="Garamond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נסב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קולת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העובדות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וההליכים</w:t>
      </w:r>
    </w:p>
    <w:p>
      <w:pPr>
        <w:pStyle w:val="Normal"/>
        <w:ind w:end="0"/>
        <w:jc w:val="start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כתב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Garamond" w:cs="Garamond"/>
          <w:rtl w:val="true"/>
        </w:rPr>
        <w:t xml:space="preserve"> </w:t>
      </w:r>
      <w:r>
        <w:rPr/>
        <w:t>21.12.2021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המתוקן</w:t>
      </w:r>
      <w:r>
        <w:rPr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 xml:space="preserve">מייחס למשיב מעורבות בשני אישומים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שיכונו להלן בהתאם למספורם בכתב האישום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ראשון</w:t>
      </w:r>
      <w:r>
        <w:rPr>
          <w:rFonts w:ascii="Century" w:hAnsi="Century" w:cs="Century"/>
          <w:sz w:val="22"/>
          <w:sz w:val="22"/>
          <w:rtl w:val="true"/>
        </w:rPr>
        <w:t xml:space="preserve"> ו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רביע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Century" w:ascii="Century" w:hAnsi="Century"/>
          <w:sz w:val="22"/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העבירות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המערכה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הצבאית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מדינת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ישראל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ארגון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החמאס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ברצועת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עזה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בחודש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מאי</w:t>
      </w:r>
      <w:r>
        <w:rPr>
          <w:rFonts w:eastAsia="Garamond" w:cs="Garamond"/>
          <w:rtl w:val="true"/>
        </w:rPr>
        <w:t xml:space="preserve"> </w:t>
      </w:r>
      <w:r>
        <w:rPr/>
        <w:t>2021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מבצע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שומר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החומות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). </w:t>
      </w:r>
      <w:r>
        <w:rPr>
          <w:rtl w:val="true"/>
        </w:rPr>
        <w:t>בה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בעת</w:t>
      </w:r>
      <w:r>
        <w:rPr>
          <w:rtl w:val="true"/>
        </w:rPr>
        <w:t xml:space="preserve">, </w:t>
      </w:r>
      <w:r>
        <w:rPr>
          <w:rtl w:val="true"/>
        </w:rPr>
        <w:t>התעורר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הפרות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סדר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והתפרעויות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ברחבי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הארץ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לאומני</w:t>
      </w:r>
      <w:r>
        <w:rPr>
          <w:rtl w:val="true"/>
        </w:rPr>
        <w:t>-</w:t>
      </w:r>
      <w:r>
        <w:rPr>
          <w:rtl w:val="true"/>
        </w:rPr>
        <w:t>גזעני</w:t>
      </w:r>
      <w:r>
        <w:rPr>
          <w:rtl w:val="true"/>
        </w:rPr>
        <w:t xml:space="preserve">, </w:t>
      </w:r>
      <w:r>
        <w:rPr>
          <w:rtl w:val="true"/>
        </w:rPr>
        <w:t>שכלל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תקיפות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כוחות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והביטחון</w:t>
      </w:r>
      <w:r>
        <w:rPr>
          <w:rtl w:val="true"/>
        </w:rPr>
        <w:t xml:space="preserve">, </w:t>
      </w:r>
      <w:r>
        <w:rPr>
          <w:rtl w:val="true"/>
        </w:rPr>
        <w:t>וכלפי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יהודים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וערבים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התרחשו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בעיר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עכו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התפרעויות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במהלכן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כוחות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משטרה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ואזרחים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יידוי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אבנים</w:t>
      </w:r>
      <w:r>
        <w:rPr>
          <w:rtl w:val="true"/>
        </w:rPr>
        <w:t xml:space="preserve">, </w:t>
      </w:r>
      <w:r>
        <w:rPr>
          <w:rtl w:val="true"/>
        </w:rPr>
        <w:t>ירי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זיקוקים</w:t>
      </w:r>
      <w:r>
        <w:rPr>
          <w:rtl w:val="true"/>
        </w:rPr>
        <w:t xml:space="preserve">, </w:t>
      </w:r>
      <w:r>
        <w:rPr>
          <w:rtl w:val="true"/>
        </w:rPr>
        <w:t>השלכת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תבערה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וירי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חי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ההתפרעויות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הועלו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עשרות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מבנים</w:t>
      </w:r>
      <w:r>
        <w:rPr>
          <w:rtl w:val="true"/>
        </w:rPr>
        <w:t xml:space="preserve">, </w:t>
      </w:r>
      <w:r>
        <w:rPr>
          <w:rtl w:val="true"/>
        </w:rPr>
        <w:t>סירות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ורכוש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בבעלות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יהודית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לאומני</w:t>
      </w:r>
      <w:r>
        <w:rPr>
          <w:rtl w:val="true"/>
        </w:rPr>
        <w:t>-</w:t>
      </w:r>
      <w:r>
        <w:rPr>
          <w:rtl w:val="true"/>
        </w:rPr>
        <w:t>גזעני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בתאריך</w:t>
      </w:r>
      <w:r>
        <w:rPr>
          <w:rFonts w:eastAsia="Garamond" w:cs="Garamond"/>
          <w:rtl w:val="true"/>
        </w:rPr>
        <w:t xml:space="preserve"> </w:t>
      </w:r>
      <w:r>
        <w:rPr/>
        <w:t>11.5.2021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Garamond" w:cs="Garamond"/>
          <w:rtl w:val="true"/>
        </w:rPr>
        <w:t xml:space="preserve"> </w:t>
      </w:r>
      <w:r>
        <w:rPr/>
        <w:t>22:25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הוצתה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דלת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מלון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שממוקם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בעכו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העתיקה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המלון</w:t>
      </w:r>
      <w:r>
        <w:rPr>
          <w:rtl w:val="true"/>
        </w:rPr>
        <w:t xml:space="preserve">)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רעולי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פרצה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דליקה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חדר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הקבלה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המלון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הוצתה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דלת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הכניסה</w:t>
      </w:r>
      <w:r>
        <w:rPr>
          <w:rtl w:val="true"/>
        </w:rPr>
        <w:t xml:space="preserve">. </w:t>
      </w:r>
      <w:r>
        <w:rPr>
          <w:rtl w:val="true"/>
        </w:rPr>
        <w:t>האש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שככה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כעבור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במלון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אורחים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ופקידת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קבלה</w:t>
      </w:r>
      <w:r>
        <w:rPr>
          <w:rtl w:val="true"/>
        </w:rPr>
        <w:t xml:space="preserve">; </w:t>
      </w:r>
      <w:r>
        <w:rPr>
          <w:rtl w:val="true"/>
        </w:rPr>
        <w:t>האורחים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פונו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כעבור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חלקם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לאסוף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חפציהם</w:t>
      </w:r>
      <w:r>
        <w:rPr>
          <w:rtl w:val="true"/>
        </w:rPr>
        <w:t xml:space="preserve">. </w:t>
      </w:r>
      <w:r>
        <w:rPr>
          <w:rtl w:val="true"/>
        </w:rPr>
        <w:t>בשעה</w:t>
      </w:r>
      <w:r>
        <w:rPr>
          <w:rFonts w:eastAsia="Garamond" w:cs="Garamond"/>
          <w:rtl w:val="true"/>
        </w:rPr>
        <w:t xml:space="preserve"> </w:t>
      </w:r>
      <w:r>
        <w:rPr/>
        <w:t>23:05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רעולי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פנים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סמוך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למלון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לזרוע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הרס</w:t>
      </w:r>
      <w:r>
        <w:rPr>
          <w:rtl w:val="true"/>
        </w:rPr>
        <w:t xml:space="preserve">, </w:t>
      </w:r>
      <w:r>
        <w:rPr>
          <w:rtl w:val="true"/>
        </w:rPr>
        <w:t>ביודעם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המלון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בבעלות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יהודים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מניע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גזענות</w:t>
      </w:r>
      <w:r>
        <w:rPr>
          <w:rtl w:val="true"/>
        </w:rPr>
        <w:t xml:space="preserve">. </w:t>
      </w:r>
      <w:r>
        <w:rPr>
          <w:rtl w:val="true"/>
        </w:rPr>
        <w:t>רעולי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הפנים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זרעו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הרס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בריהוט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ובציוד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ובתוך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שברו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וניפצו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חפצי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נוי</w:t>
      </w:r>
      <w:r>
        <w:rPr>
          <w:rtl w:val="true"/>
        </w:rPr>
        <w:t xml:space="preserve">, </w:t>
      </w:r>
      <w:r>
        <w:rPr>
          <w:rtl w:val="true"/>
        </w:rPr>
        <w:t>שברו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כיסאות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וספות</w:t>
      </w:r>
      <w:r>
        <w:rPr>
          <w:rtl w:val="true"/>
        </w:rPr>
        <w:t xml:space="preserve">, </w:t>
      </w:r>
      <w:r>
        <w:rPr>
          <w:rtl w:val="true"/>
        </w:rPr>
        <w:t>ניפצו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מצלמות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האבטחה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ונטלו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רכוש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כעשרים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שנכנסו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רעולי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הפנים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למלון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למלון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ביודעו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המלון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בבעלותו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יהודי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ומתוך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מניע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גזענות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להצטרף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למעשי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ההתפרעות</w:t>
      </w:r>
      <w:r>
        <w:rPr>
          <w:rtl w:val="true"/>
        </w:rPr>
        <w:t xml:space="preserve">.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בצוותא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חדא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רעולי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הפנים</w:t>
      </w:r>
      <w:r>
        <w:rPr>
          <w:rtl w:val="true"/>
        </w:rPr>
        <w:t xml:space="preserve">, </w:t>
      </w:r>
      <w:r>
        <w:rPr>
          <w:rtl w:val="true"/>
        </w:rPr>
        <w:t>הוסיף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וזרע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הרס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במלון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וסימן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בידו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לאחרים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לחפש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מקליט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הווידא</w:t>
      </w:r>
      <w:r>
        <w:rPr>
          <w:rtl w:val="true"/>
        </w:rPr>
        <w:t>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הדיגיטלי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(</w:t>
      </w:r>
      <w:r>
        <w:rPr/>
        <w:t>DVR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המלון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כדקה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מהמלון</w:t>
      </w:r>
      <w:r>
        <w:rPr>
          <w:rtl w:val="true"/>
        </w:rPr>
        <w:t xml:space="preserve">. </w:t>
      </w:r>
      <w:r>
        <w:rPr>
          <w:rtl w:val="true"/>
        </w:rPr>
        <w:t>כדקה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נכנסו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למלון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רעולי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פנים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שזהותם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ידועה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למערערת</w:t>
      </w:r>
      <w:r>
        <w:rPr>
          <w:rtl w:val="true"/>
        </w:rPr>
        <w:t xml:space="preserve">; </w:t>
      </w:r>
      <w:r>
        <w:rPr>
          <w:rtl w:val="true"/>
        </w:rPr>
        <w:t>חלקם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להדליק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במלון</w:t>
      </w:r>
      <w:r>
        <w:rPr>
          <w:rtl w:val="true"/>
        </w:rPr>
        <w:t xml:space="preserve">. </w:t>
      </w:r>
      <w:r>
        <w:rPr>
          <w:rtl w:val="true"/>
        </w:rPr>
        <w:t>דקות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בודדות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פרצה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במלון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שריפה</w:t>
      </w:r>
      <w:r>
        <w:rPr>
          <w:rtl w:val="true"/>
        </w:rPr>
        <w:t xml:space="preserve">, </w:t>
      </w:r>
      <w:r>
        <w:rPr>
          <w:rtl w:val="true"/>
        </w:rPr>
        <w:t>שכתוצאה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נגרם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מאורחי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המלון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המנוח</w:t>
      </w:r>
      <w:r>
        <w:rPr>
          <w:rtl w:val="true"/>
        </w:rPr>
        <w:t xml:space="preserve">). </w:t>
      </w:r>
      <w:r>
        <w:rPr>
          <w:rtl w:val="true"/>
        </w:rPr>
        <w:t>בעקבות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ההצתה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ומעשי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ההרס</w:t>
      </w:r>
      <w:r>
        <w:rPr>
          <w:rtl w:val="true"/>
        </w:rPr>
        <w:t xml:space="preserve">, </w:t>
      </w:r>
      <w:r>
        <w:rPr>
          <w:rtl w:val="true"/>
        </w:rPr>
        <w:t>נגרמו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למלון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נזקים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כבדים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בשווי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Garamond" w:cs="Garamond"/>
          <w:rtl w:val="true"/>
        </w:rPr>
        <w:t xml:space="preserve"> </w:t>
      </w:r>
      <w:r>
        <w:rPr/>
        <w:t>2,000,000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הרביעי</w:t>
      </w:r>
      <w:r>
        <w:rPr>
          <w:rtl w:val="true"/>
        </w:rPr>
        <w:t xml:space="preserve">, </w:t>
      </w:r>
      <w:r>
        <w:rPr>
          <w:rtl w:val="true"/>
        </w:rPr>
        <w:t>באחד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מימי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ההתפרעויות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שהתרחשו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10.5.2021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Garamond" w:cs="Garamond"/>
          <w:rtl w:val="true"/>
        </w:rPr>
        <w:t xml:space="preserve"> </w:t>
      </w:r>
      <w:r>
        <w:rPr/>
        <w:t>14.5.2021</w:t>
      </w:r>
      <w:r>
        <w:rPr>
          <w:rtl w:val="true"/>
        </w:rPr>
        <w:t xml:space="preserve"> </w:t>
      </w:r>
      <w:r>
        <w:rPr>
          <w:rtl w:val="true"/>
        </w:rPr>
        <w:t>בשעות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הערב</w:t>
      </w:r>
      <w:r>
        <w:rPr>
          <w:rtl w:val="true"/>
        </w:rPr>
        <w:t xml:space="preserve">, </w:t>
      </w:r>
      <w:r>
        <w:rPr>
          <w:rtl w:val="true"/>
        </w:rPr>
        <w:t>התקהלו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עשרות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במספר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מוקדים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בעכו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שקיבלו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אישור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ממשטרת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ישראל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ההתקהלות</w:t>
      </w:r>
      <w:r>
        <w:rPr>
          <w:rtl w:val="true"/>
        </w:rPr>
        <w:t xml:space="preserve">). </w:t>
      </w:r>
      <w:r>
        <w:rPr>
          <w:rtl w:val="true"/>
        </w:rPr>
        <w:t>המשתתפים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בהתקהלות</w:t>
      </w:r>
      <w:r>
        <w:rPr>
          <w:rtl w:val="true"/>
        </w:rPr>
        <w:t xml:space="preserve">, </w:t>
      </w:r>
      <w:r>
        <w:rPr>
          <w:rtl w:val="true"/>
        </w:rPr>
        <w:t>חלקם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רעולי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, </w:t>
      </w:r>
      <w:r>
        <w:rPr>
          <w:rtl w:val="true"/>
        </w:rPr>
        <w:t>חסמו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כבישים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פחי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אשפה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וחפצים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יידו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אבנים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ובקבוקי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תבערה</w:t>
      </w:r>
      <w:r>
        <w:rPr>
          <w:rtl w:val="true"/>
        </w:rPr>
        <w:t xml:space="preserve">, </w:t>
      </w:r>
      <w:r>
        <w:rPr>
          <w:rtl w:val="true"/>
        </w:rPr>
        <w:t>ירו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זיקוקים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וגרמו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נזק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לרכוש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הפרת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השלום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והסדר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ובעקבות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ההתפרעות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לאזור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לפזר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ההתקהלות</w:t>
      </w:r>
      <w:r>
        <w:rPr>
          <w:rtl w:val="true"/>
        </w:rPr>
        <w:t xml:space="preserve">, </w:t>
      </w:r>
      <w:r>
        <w:rPr>
          <w:rtl w:val="true"/>
        </w:rPr>
        <w:t>ובמקום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עימותים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המתפרעים</w:t>
      </w:r>
      <w:r>
        <w:rPr>
          <w:rtl w:val="true"/>
        </w:rPr>
        <w:t xml:space="preserve">, </w:t>
      </w:r>
      <w:r>
        <w:rPr>
          <w:rtl w:val="true"/>
        </w:rPr>
        <w:t>שנמשכו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שעות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ארוכות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הלילה</w:t>
      </w:r>
      <w:r>
        <w:rPr>
          <w:rtl w:val="true"/>
        </w:rPr>
        <w:t xml:space="preserve">.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>
          <w:rtl w:val="true"/>
        </w:rPr>
        <w:t>הבחין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בצעירים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רצים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האזור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מביתו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והלך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לכיוונם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הבחין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בהתפרעות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ולקח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חלק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שאחרים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התפרעו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ויידו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אבנים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נוכח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יוחסו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למשיב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התפרעות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שסופה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נזק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ממניע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גזעני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Garamond" w:cs="Garamond"/>
          <w:rtl w:val="true"/>
        </w:rPr>
        <w:t xml:space="preserve"> </w:t>
      </w:r>
      <w:hyperlink r:id="rId13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</w:rPr>
          <w:t>157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tl w:val="true"/>
        </w:rPr>
        <w:t xml:space="preserve">, </w:t>
      </w:r>
      <w:hyperlink r:id="rId14">
        <w:r>
          <w:rPr>
            <w:rStyle w:val="Hyperlink"/>
          </w:rPr>
          <w:t>144</w:t>
        </w:r>
        <w:r>
          <w:rPr>
            <w:rStyle w:val="Hyperlink"/>
            <w:rtl w:val="true"/>
          </w:rPr>
          <w:t>ו</w:t>
        </w:r>
      </w:hyperlink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5"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tl w:val="true"/>
        </w:rPr>
        <w:t xml:space="preserve">); </w:t>
      </w:r>
      <w:r>
        <w:rPr>
          <w:rtl w:val="true"/>
        </w:rPr>
        <w:t>הסגת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גבול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לעבור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ממניע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גזעני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Garamond" w:cs="Garamond"/>
          <w:rtl w:val="true"/>
        </w:rPr>
        <w:t xml:space="preserve"> </w:t>
      </w:r>
      <w:hyperlink r:id="rId17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</w:rPr>
          <w:t>447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hyperlink r:id="rId18">
        <w:r>
          <w:rPr>
            <w:rStyle w:val="Hyperlink"/>
          </w:rPr>
          <w:t>144</w:t>
        </w:r>
        <w:r>
          <w:rPr>
            <w:rStyle w:val="Hyperlink"/>
            <w:rtl w:val="true"/>
          </w:rPr>
          <w:t>ו</w:t>
        </w:r>
      </w:hyperlink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9"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היזק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בזדון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ממניע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גזעני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Garamond" w:cs="Garamond"/>
          <w:rtl w:val="true"/>
        </w:rPr>
        <w:t xml:space="preserve"> </w:t>
      </w:r>
      <w:hyperlink r:id="rId20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</w:rPr>
          <w:t>452</w:t>
        </w:r>
      </w:hyperlink>
      <w:r>
        <w:rPr>
          <w:rtl w:val="true"/>
        </w:rPr>
        <w:t xml:space="preserve">, </w:t>
      </w:r>
      <w:hyperlink r:id="rId21">
        <w:r>
          <w:rPr>
            <w:rStyle w:val="Hyperlink"/>
          </w:rPr>
          <w:t>144</w:t>
        </w:r>
        <w:r>
          <w:rPr>
            <w:rStyle w:val="Hyperlink"/>
            <w:rtl w:val="true"/>
          </w:rPr>
          <w:t>ו</w:t>
        </w:r>
      </w:hyperlink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2"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התפרצות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לבניין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ממניע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גזענות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Garamond" w:cs="Garamond"/>
          <w:rtl w:val="true"/>
        </w:rPr>
        <w:t xml:space="preserve"> </w:t>
      </w:r>
      <w:hyperlink r:id="rId23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</w:rPr>
          <w:t>407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hyperlink r:id="rId24">
        <w:r>
          <w:rPr>
            <w:rStyle w:val="Hyperlink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5"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התפרעות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Garamond" w:cs="Garamond"/>
          <w:rtl w:val="true"/>
        </w:rPr>
        <w:t xml:space="preserve"> </w:t>
      </w:r>
      <w:hyperlink r:id="rId26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</w:rPr>
          <w:t>152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המשיב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הסכמה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eastAsia="Garamond" w:cs="Garamond"/>
          <w:rtl w:val="true"/>
        </w:rPr>
        <w:t xml:space="preserve"> </w:t>
      </w:r>
      <w:r>
        <w:rPr/>
        <w:t>21.12.2021</w:t>
      </w:r>
      <w:r>
        <w:rPr>
          <w:rtl w:val="true"/>
        </w:rPr>
        <w:t xml:space="preserve"> </w:t>
      </w:r>
      <w:r>
        <w:rPr>
          <w:rtl w:val="true"/>
        </w:rPr>
        <w:t>הרשיע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בחיפה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eastAsia="Garamond" w:cs="Garamond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פיש</w:t>
      </w:r>
      <w:r>
        <w:rPr>
          <w:rtl w:val="true"/>
        </w:rPr>
        <w:t xml:space="preserve">)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המתוארות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ביום</w:t>
      </w:r>
      <w:r>
        <w:rPr>
          <w:rFonts w:eastAsia="Garamond" w:cs="Garamond"/>
          <w:rtl w:val="true"/>
        </w:rPr>
        <w:t xml:space="preserve"> </w:t>
      </w:r>
      <w:r>
        <w:rPr/>
        <w:t>30.1.2022</w:t>
      </w:r>
      <w:r>
        <w:rPr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ניתן גזר הדין בעניינו של המשיב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בית המשפט המחוזי</w:t>
      </w:r>
      <w:r>
        <w:rPr>
          <w:rFonts w:ascii="Century" w:hAnsi="Century" w:cs="Century"/>
          <w:rtl w:val="true"/>
        </w:rPr>
        <w:t xml:space="preserve"> עמד על הערכים המוגנים שנפגעו ממעשיו של המשיב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המניע הגזעני שעמד בבסיס מעשיו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חומרת העבירות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וכן על הנסיבות הקשורות בביצוע העבירה</w:t>
      </w:r>
      <w:r>
        <w:rPr>
          <w:rFonts w:cs="Century" w:ascii="Century" w:hAnsi="Century"/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קדם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תכנון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מצומצם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לאחרים</w:t>
      </w:r>
      <w:r>
        <w:rPr>
          <w:rtl w:val="true"/>
        </w:rPr>
        <w:t xml:space="preserve">. </w:t>
      </w:r>
      <w:r>
        <w:rPr>
          <w:rtl w:val="true"/>
        </w:rPr>
        <w:t>מן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התייחס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שאמנם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יוחס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למשיב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ללמד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ההתפרעויות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השתתף</w:t>
      </w:r>
      <w:r>
        <w:rPr>
          <w:rtl w:val="true"/>
        </w:rPr>
        <w:t xml:space="preserve">. </w:t>
      </w:r>
      <w:r>
        <w:rPr>
          <w:rFonts w:ascii="Century" w:hAnsi="Century" w:cs="Century"/>
          <w:rtl w:val="true"/>
        </w:rPr>
        <w:t>נוכח האמור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קבע בית המשפט שביחס לאישום הראשון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מתחם העונש ההולם הוא בין </w:t>
      </w: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45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בפועל לאישום הראשון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וביחס לאישום הרביעי </w:t>
      </w:r>
      <w:r>
        <w:rPr>
          <w:rtl w:val="true"/>
        </w:rPr>
        <w:t>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Garamond" w:cs="Garamond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בבחינת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התייחס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</w:t>
      </w:r>
      <w:hyperlink r:id="rId27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46801-05-21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בנימין</w:t>
      </w:r>
      <w:r>
        <w:rPr>
          <w:rFonts w:eastAsia="Garamond" w:cs="Garamond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5.1.2022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בנימין</w:t>
      </w:r>
      <w:r>
        <w:rPr>
          <w:rtl w:val="true"/>
        </w:rPr>
        <w:t xml:space="preserve">), </w:t>
      </w:r>
      <w:r>
        <w:rPr>
          <w:rtl w:val="true"/>
        </w:rPr>
        <w:t>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מבצע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שומר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החומות</w:t>
      </w:r>
      <w:r>
        <w:rPr>
          <w:rtl w:val="true"/>
        </w:rPr>
        <w:t xml:space="preserve">"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שהמשיב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והביע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חרטה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מוקדם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; </w:t>
      </w:r>
      <w:r>
        <w:rPr>
          <w:rtl w:val="true"/>
        </w:rPr>
        <w:t>לגילו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; </w:t>
      </w:r>
      <w:r>
        <w:rPr>
          <w:rtl w:val="true"/>
        </w:rPr>
        <w:t>ולעובדה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נעדר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גזר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Garamond" w:cs="Garamond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>
          <w:rtl w:val="true"/>
        </w:rPr>
        <w:t>מאסר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בתנאים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); </w:t>
      </w:r>
      <w:r>
        <w:rPr>
          <w:rtl w:val="true"/>
        </w:rPr>
        <w:t>ופיצוי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Garamond" w:cs="Garamond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המכוון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לקולת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</w:p>
    <w:p>
      <w:pPr>
        <w:pStyle w:val="Normal"/>
        <w:ind w:end="0"/>
        <w:jc w:val="start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עומדת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שמתחמי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הולמים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שבוצעו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ונוכח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היתרה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שגלומה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גזעני</w:t>
      </w:r>
      <w:r>
        <w:rPr>
          <w:rtl w:val="true"/>
        </w:rPr>
        <w:t xml:space="preserve">. </w:t>
      </w:r>
      <w:r>
        <w:rPr>
          <w:rtl w:val="true"/>
        </w:rPr>
        <w:t>המערערת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טוענת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שאף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בשים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בנסיבה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להכפיל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שקבוע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להעלותו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מתחמי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מתחשבים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בסכנה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המבוצעות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המון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טוענת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לחשיבות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הרתעה</w:t>
      </w:r>
      <w:r>
        <w:rPr>
          <w:rtl w:val="true"/>
        </w:rPr>
        <w:t xml:space="preserve">. </w:t>
      </w:r>
      <w:r>
        <w:rPr>
          <w:rtl w:val="true"/>
        </w:rPr>
        <w:t>המערערת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מדגישה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באירועי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התפרעות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כדוגמת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Garamond" w:cs="Garamond"/>
          <w:rtl w:val="true"/>
        </w:rPr>
        <w:t xml:space="preserve">  </w:t>
      </w:r>
      <w:r>
        <w:rPr>
          <w:rtl w:val="true"/>
        </w:rPr>
        <w:t>שבהם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מוגבל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הצטברות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יוצרת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והרס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Garamond" w:cs="Garamond"/>
          <w:rtl w:val="true"/>
        </w:rPr>
        <w:t xml:space="preserve">  </w:t>
      </w:r>
      <w:r>
        <w:rPr>
          <w:rtl w:val="true"/>
        </w:rPr>
        <w:t>אין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להיעדר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תכנון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. </w:t>
      </w:r>
      <w:r>
        <w:rPr>
          <w:rtl w:val="true"/>
        </w:rPr>
        <w:t>המערערת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מדגישה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בהתפרעויות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בקנה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מידה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גדול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המון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תחושת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תושבי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טוענת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לגזר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Garamond" w:cs="Garamond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בנימין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קולת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תלוי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ועומד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577/22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אוחנינה</w:t>
      </w:r>
      <w:r>
        <w:rPr>
          <w:rtl w:val="true"/>
        </w:rPr>
        <w:t xml:space="preserve">;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Garamond" w:cs="Garamond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אוחנינה</w:t>
      </w:r>
      <w:r>
        <w:rPr>
          <w:rtl w:val="true"/>
        </w:rPr>
        <w:t xml:space="preserve">).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המשיב מצדו סומך ידיו על פסק דינו של בית המשפט המחוזי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לטענתו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העונש שהושת עליו הולם את המעשים שבהם הורשע</w:t>
      </w:r>
      <w:r>
        <w:rPr>
          <w:rFonts w:cs="Century" w:ascii="Century" w:hAnsi="Century"/>
          <w:sz w:val="22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בקנה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מדיניות הענישה הנוהגת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לשיטתו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מאחר שלא מדובר במעשים שבוצעו תוך התארגנות ותכנון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אין לקבל את טענת המערערת שלפיה יש לבחון את המעשים כמכלול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בנסיבות האמורות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טוען המשיב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יש לתת משקל לחלקו המצומצם של המשיב בהתפרעויות בהתאם לעקרון האשמה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כן טוען המשיב שיש לתת משקל לגילו הצעיר ולכך שהוא נעדר עבר פלילי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וכי המשיב הודה במעשיו וכן הביע חרטה עליהם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והכרעה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 </w:t>
      </w:r>
    </w:p>
    <w:p>
      <w:pPr>
        <w:pStyle w:val="Normal"/>
        <w:ind w:end="0"/>
        <w:jc w:val="start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ששקלנו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נימוקי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והאזנו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לטיעוני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בדיון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לפנינו</w:t>
      </w:r>
      <w:r>
        <w:rPr>
          <w:rtl w:val="true"/>
        </w:rPr>
        <w:t xml:space="preserve">, </w:t>
      </w:r>
      <w:r>
        <w:rPr>
          <w:rtl w:val="true"/>
        </w:rPr>
        <w:t>הגענו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להתקבל</w:t>
      </w:r>
      <w:r>
        <w:rPr>
          <w:rtl w:val="true"/>
        </w:rPr>
        <w:t xml:space="preserve">. </w:t>
      </w:r>
      <w:r>
        <w:rPr>
          <w:rFonts w:ascii="FrankRuehl" w:hAnsi="FrankRuehl"/>
          <w:color w:val="000000"/>
          <w:sz w:val="28"/>
          <w:sz w:val="28"/>
          <w:rtl w:val="true"/>
        </w:rPr>
        <w:t>הלכה היא כי לא בנקל תתערב ערכאת הערעור בעונש שהטילה הערכאה הדיונית</w:t>
      </w:r>
      <w:r>
        <w:rPr>
          <w:rFonts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למעט כאשר ישנה סטייה ניכרת ממדיניות הענישה הנוהגת </w:t>
      </w:r>
      <w:r>
        <w:rPr>
          <w:rtl w:val="true"/>
        </w:rPr>
        <w:t>או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בקיומן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חריגות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המצדיקות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1697/20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שורדיקר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Garamond" w:cs="Garamond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24.8.2021</w:t>
      </w:r>
      <w:r>
        <w:rPr>
          <w:rtl w:val="true"/>
        </w:rPr>
        <w:t>);</w:t>
      </w:r>
      <w:r>
        <w:rPr>
          <w:rtl w:val="true"/>
        </w:rPr>
        <w:t xml:space="preserve"> </w:t>
      </w:r>
      <w:hyperlink r:id="rId30">
        <w:r>
          <w:rPr>
            <w:rStyle w:val="Hyperlink"/>
          </w:rPr>
          <w:t>4207/21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Garamond" w:cs="Garamond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28.7.2021</w:t>
      </w:r>
      <w:r>
        <w:rPr>
          <w:rtl w:val="true"/>
        </w:rPr>
        <w:t xml:space="preserve">); 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1859/20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Garamond" w:cs="Garamond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23.12.2020</w:t>
      </w:r>
      <w:r>
        <w:rPr>
          <w:rtl w:val="true"/>
        </w:rPr>
        <w:t>)).</w:t>
      </w:r>
      <w:r>
        <w:rPr>
          <w:rtl w:val="true"/>
        </w:rPr>
        <w:t xml:space="preserve"> </w:t>
      </w:r>
      <w:r>
        <w:rPr>
          <w:rtl w:val="true"/>
        </w:rPr>
        <w:t>סבורני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מצדיק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הגלומה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התפרעויות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המונים</w:t>
      </w:r>
      <w:r>
        <w:rPr>
          <w:rtl w:val="true"/>
        </w:rPr>
        <w:t>,</w:t>
      </w:r>
      <w:r>
        <w:rPr>
          <w:rFonts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אשר מציבות סכנה ישירה וממשית לחיי אדם</w:t>
      </w:r>
      <w:r>
        <w:rPr>
          <w:rFonts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ואף עלולות להוביל לפגיעות רציניות בגוף ורכוש</w:t>
      </w:r>
      <w:r>
        <w:rPr>
          <w:rFonts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/>
          <w:color w:val="000000"/>
          <w:sz w:val="28"/>
          <w:sz w:val="28"/>
          <w:rtl w:val="true"/>
        </w:rPr>
        <w:t>לפיכך</w:t>
      </w:r>
      <w:r>
        <w:rPr>
          <w:rFonts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נקבע כי יש לנקוט במדיניות ענישה אשר תרתיע ותרסן התפרעויות העלולות לסחוף המון רב ולצאת מגדר שליטה </w:t>
      </w:r>
      <w:r>
        <w:rPr>
          <w:rFonts w:ascii="FrankRuehl" w:hAnsi="FrankRuehl"/>
          <w:color w:val="000000"/>
          <w:sz w:val="28"/>
          <w:rtl w:val="true"/>
        </w:rPr>
        <w:t>(</w:t>
      </w:r>
      <w:hyperlink r:id="rId32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/>
            <w:color w:val="0000FF"/>
            <w:sz w:val="28"/>
            <w:u w:val="single"/>
          </w:rPr>
          <w:t>7211/04</w:t>
        </w:r>
      </w:hyperlink>
      <w:r>
        <w:rPr>
          <w:rFonts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פסקה </w:t>
      </w:r>
      <w:r>
        <w:rPr>
          <w:rFonts w:ascii="FrankRuehl" w:hAnsi="FrankRuehl"/>
          <w:color w:val="000000"/>
          <w:sz w:val="28"/>
        </w:rPr>
        <w:t>10</w:t>
      </w:r>
      <w:r>
        <w:rPr>
          <w:rFonts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לפסק דינה של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פרוקציה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FrankRuehl" w:hAnsi="FrankRuehl"/>
          <w:color w:val="000000"/>
          <w:sz w:val="28"/>
          <w:rtl w:val="true"/>
        </w:rPr>
        <w:t>(</w:t>
      </w:r>
      <w:r>
        <w:rPr>
          <w:rFonts w:ascii="FrankRuehl" w:hAnsi="FrankRuehl"/>
          <w:color w:val="000000"/>
          <w:sz w:val="28"/>
        </w:rPr>
        <w:t>13.3.2006</w:t>
      </w:r>
      <w:r>
        <w:rPr>
          <w:rFonts w:ascii="FrankRuehl" w:hAnsi="FrankRuehl"/>
          <w:color w:val="000000"/>
          <w:sz w:val="28"/>
          <w:rtl w:val="true"/>
        </w:rPr>
        <w:t xml:space="preserve">)). </w:t>
      </w:r>
      <w:r>
        <w:rPr>
          <w:rtl w:val="true"/>
        </w:rPr>
        <w:t>עמד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בפרשה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: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>
          <w:rFonts w:ascii="Century" w:hAnsi="Century" w:cs="Century"/>
        </w:rPr>
      </w:pP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FrankRuehl" w:hAnsi="FrankRuehl"/>
          <w:sz w:val="28"/>
          <w:sz w:val="28"/>
          <w:rtl w:val="true"/>
        </w:rPr>
        <w:t>התפרעויות של המונים בכלל ועל רקע לאומני בפרט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צריכות לזכות לתגובה עונשית קשה וכואבת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יהיה מוצאם של המתפרעים אשר יהיה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כך נוהגת מדינת חוק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וכך זכאים לצפות כל הבאים בשעריו של בית המשפט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Fonts w:cs="FrankRuehl" w:ascii="FrankRuehl" w:hAnsi="FrankRuehl"/>
          <w:sz w:val="28"/>
          <w:rtl w:val="true"/>
        </w:rPr>
        <w:t xml:space="preserve"> (</w:t>
      </w:r>
      <w:hyperlink r:id="rId33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2285/05</w:t>
        </w:r>
      </w:hyperlink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חמד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 xml:space="preserve">פסקה </w:t>
      </w:r>
      <w:r>
        <w:rPr>
          <w:rFonts w:cs="FrankRuehl" w:ascii="FrankRuehl" w:hAnsi="FrankRuehl"/>
          <w:sz w:val="28"/>
        </w:rPr>
        <w:t>7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 w:ascii="FrankRuehl" w:hAnsi="FrankRuehl"/>
          <w:sz w:val="28"/>
          <w:rtl w:val="true"/>
        </w:rPr>
        <w:t>(</w:t>
      </w:r>
      <w:r>
        <w:rPr>
          <w:rFonts w:cs="FrankRuehl" w:ascii="FrankRuehl" w:hAnsi="FrankRuehl"/>
          <w:sz w:val="28"/>
        </w:rPr>
        <w:t>5.12.2005</w:t>
      </w:r>
      <w:r>
        <w:rPr>
          <w:rFonts w:cs="FrankRuehl" w:ascii="FrankRuehl" w:hAnsi="FrankRuehl"/>
          <w:sz w:val="28"/>
          <w:rtl w:val="true"/>
        </w:rPr>
        <w:t>) (</w:t>
      </w:r>
      <w:r>
        <w:rPr>
          <w:rFonts w:ascii="FrankRuehl" w:hAnsi="FrankRuehl"/>
          <w:sz w:val="28"/>
          <w:sz w:val="28"/>
          <w:rtl w:val="true"/>
        </w:rPr>
        <w:t>להלן</w:t>
      </w:r>
      <w:r>
        <w:rPr>
          <w:rFonts w:cs="FrankRuehl" w:ascii="FrankRuehl" w:hAnsi="FrankRuehl"/>
          <w:sz w:val="28"/>
          <w:rtl w:val="true"/>
        </w:rPr>
        <w:t xml:space="preserve">: </w:t>
      </w:r>
      <w:r>
        <w:rPr>
          <w:rFonts w:ascii="FrankRuehl" w:hAnsi="FrankRuehl"/>
          <w:sz w:val="28"/>
          <w:sz w:val="28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חמד</w:t>
      </w:r>
      <w:r>
        <w:rPr>
          <w:rFonts w:cs="FrankRuehl" w:ascii="FrankRuehl" w:hAnsi="FrankRuehl"/>
          <w:sz w:val="28"/>
          <w:rtl w:val="true"/>
        </w:rPr>
        <w:t>)).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נכון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ממניע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גזעני</w:t>
      </w:r>
      <w:r>
        <w:rPr>
          <w:rtl w:val="true"/>
        </w:rPr>
        <w:t xml:space="preserve">, </w:t>
      </w:r>
      <w:r>
        <w:rPr>
          <w:rtl w:val="true"/>
        </w:rPr>
        <w:t>שמהווה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נסיבה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שבכוחה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להכפיל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מבצע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למאסר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הקל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hyperlink r:id="rId34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ו</w:t>
        </w:r>
      </w:hyperlink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</w:t>
      </w:r>
      <w:hyperlink r:id="rId3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  <w:r>
        <w:rPr>
          <w:rtl w:val="true"/>
        </w:rPr>
        <w:t>בשים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מכבר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שכאשר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מניע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גזעני</w:t>
      </w:r>
      <w:r>
        <w:rPr>
          <w:rFonts w:ascii="FrankRuehl" w:hAnsi="FrankRuehl"/>
          <w:color w:val="000000"/>
          <w:spacing w:val="6"/>
          <w:sz w:val="28"/>
          <w:sz w:val="28"/>
          <w:rtl w:val="true"/>
        </w:rPr>
        <w:t xml:space="preserve"> נדחים ככלל שיקולי ענישה אחרים</w:t>
      </w:r>
      <w:r>
        <w:rPr>
          <w:rFonts w:ascii="FrankRuehl" w:hAnsi="FrankRuehl"/>
          <w:color w:val="000000"/>
          <w:spacing w:val="6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pacing w:val="6"/>
          <w:sz w:val="28"/>
          <w:sz w:val="28"/>
          <w:rtl w:val="true"/>
        </w:rPr>
        <w:t>ובהם נסיבות אישיות ושיקולי שיקום</w:t>
      </w:r>
      <w:r>
        <w:rPr>
          <w:rFonts w:ascii="FrankRuehl" w:hAnsi="FrankRuehl"/>
          <w:color w:val="000000"/>
          <w:spacing w:val="6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pacing w:val="6"/>
          <w:sz w:val="28"/>
          <w:sz w:val="28"/>
          <w:rtl w:val="true"/>
        </w:rPr>
        <w:t xml:space="preserve">מפני שיקולי ההגנה על שלום הציבור וביטחונו ושיקולי הרתעת היחיד והרבים </w:t>
      </w:r>
      <w:r>
        <w:rPr>
          <w:rFonts w:ascii="FrankRuehl" w:hAnsi="FrankRuehl"/>
          <w:color w:val="000000"/>
          <w:spacing w:val="6"/>
          <w:sz w:val="28"/>
          <w:rtl w:val="true"/>
        </w:rPr>
        <w:t>(</w:t>
      </w:r>
      <w:hyperlink r:id="rId36">
        <w:r>
          <w:rPr>
            <w:rStyle w:val="Hyperlink"/>
            <w:rFonts w:ascii="FrankRuehl" w:hAnsi="FrankRuehl"/>
            <w:color w:val="0000FF"/>
            <w:spacing w:val="6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ascii="FrankRuehl" w:hAnsi="FrankRuehl"/>
            <w:color w:val="0000FF"/>
            <w:spacing w:val="6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6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ascii="FrankRuehl" w:hAnsi="FrankRuehl"/>
            <w:color w:val="0000FF"/>
            <w:spacing w:val="6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/>
            <w:color w:val="0000FF"/>
            <w:spacing w:val="6"/>
            <w:sz w:val="28"/>
            <w:u w:val="single"/>
          </w:rPr>
          <w:t>3793/18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45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3.5.2020</w:t>
      </w:r>
      <w:r>
        <w:rPr>
          <w:rtl w:val="true"/>
        </w:rPr>
        <w:t xml:space="preserve">); </w:t>
      </w:r>
      <w:hyperlink r:id="rId3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</w:rPr>
          <w:t>2626/15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Garamond" w:cs="Garamond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7.6.2016</w:t>
      </w:r>
      <w:r>
        <w:rPr>
          <w:rtl w:val="true"/>
        </w:rPr>
        <w:t>)</w:t>
      </w:r>
      <w:r>
        <w:rPr>
          <w:rtl w:val="true"/>
        </w:rPr>
        <w:t xml:space="preserve">).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לערכאה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רחב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הולם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עשוי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להשתנות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המסוים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8320/21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בסילה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Garamond" w:cs="Garamond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28.12.2021</w:t>
      </w:r>
      <w:r>
        <w:rPr>
          <w:rtl w:val="true"/>
        </w:rPr>
        <w:t xml:space="preserve">); </w:t>
      </w:r>
      <w:hyperlink r:id="rId39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4232/20</w:t>
        </w:r>
      </w:hyperlink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 xml:space="preserve">פסקה </w:t>
      </w:r>
      <w:r>
        <w:rPr>
          <w:rFonts w:cs="FrankRuehl" w:ascii="FrankRuehl" w:hAnsi="FrankRuehl"/>
          <w:sz w:val="28"/>
        </w:rPr>
        <w:t>9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FrankRuehl" w:ascii="FrankRuehl" w:hAnsi="FrankRuehl"/>
          <w:sz w:val="28"/>
          <w:rtl w:val="true"/>
        </w:rPr>
        <w:t>(</w:t>
      </w:r>
      <w:r>
        <w:rPr>
          <w:rFonts w:cs="FrankRuehl" w:ascii="FrankRuehl" w:hAnsi="FrankRuehl"/>
          <w:sz w:val="28"/>
        </w:rPr>
        <w:t>12.11.2020</w:t>
      </w:r>
      <w:r>
        <w:rPr>
          <w:rFonts w:cs="FrankRuehl" w:ascii="FrankRuehl" w:hAnsi="FrankRuehl"/>
          <w:sz w:val="28"/>
          <w:rtl w:val="true"/>
        </w:rPr>
        <w:t>))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בקביעת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מתחמי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ההולמים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שחלקו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היחסי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מצומצם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בטענתה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שלפיה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שמבוצעות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מתפרע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מועט</w:t>
      </w:r>
      <w:r>
        <w:rPr>
          <w:rtl w:val="true"/>
        </w:rPr>
        <w:t xml:space="preserve">. </w:t>
      </w:r>
      <w:r>
        <w:rPr>
          <w:rtl w:val="true"/>
        </w:rPr>
        <w:t>במצבים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אחריותו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נקבעת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תרומתו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הישירה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לאירוע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רחבה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מטרתו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המשותפת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ההמון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10423/07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סיטרין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Garamond" w:cs="Garamond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11.6.2008</w:t>
      </w:r>
      <w:r>
        <w:rPr>
          <w:rtl w:val="true"/>
        </w:rPr>
        <w:t xml:space="preserve">); </w:t>
      </w:r>
      <w:r>
        <w:rPr>
          <w:rtl w:val="true"/>
        </w:rPr>
        <w:t>עניין</w:t>
      </w:r>
      <w:r>
        <w:rPr>
          <w:rFonts w:eastAsia="Garamond" w:cs="Garamond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חמד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Garamond" w:cs="Garamond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; 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6569/05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אלעיש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יד</w:t>
      </w:r>
      <w:r>
        <w:rPr>
          <w:rFonts w:eastAsia="Garamond" w:cs="Garamond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24.7.2006</w:t>
      </w:r>
      <w:r>
        <w:rPr>
          <w:rtl w:val="true"/>
        </w:rPr>
        <w:t xml:space="preserve">)).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שמצאתי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שעונשו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גבולותיו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המדויקים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המתחם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Garamond" w:cs="Garamond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סבורני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מספק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לעקרון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ולנסיבות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  <w:r>
        <w:rPr>
          <w:rtl w:val="true"/>
        </w:rPr>
        <w:t>החומרה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המיוחדת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נובעת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מעוצמתו</w:t>
      </w:r>
      <w:r>
        <w:rPr>
          <w:rtl w:val="true"/>
        </w:rPr>
        <w:t xml:space="preserve">, </w:t>
      </w:r>
      <w:r>
        <w:rPr>
          <w:rtl w:val="true"/>
        </w:rPr>
        <w:t>מריבוי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המשתתפים</w:t>
      </w:r>
      <w:r>
        <w:rPr>
          <w:rtl w:val="true"/>
        </w:rPr>
        <w:t xml:space="preserve">, </w:t>
      </w:r>
      <w:r>
        <w:rPr>
          <w:rtl w:val="true"/>
        </w:rPr>
        <w:t>ומהמניע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הגזעני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שעמד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בבסיסו</w:t>
      </w:r>
      <w:r>
        <w:rPr>
          <w:rtl w:val="true"/>
        </w:rPr>
        <w:t xml:space="preserve">. </w:t>
      </w:r>
      <w:r>
        <w:rPr>
          <w:rtl w:val="true"/>
        </w:rPr>
        <w:t>לכך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דקה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בודדת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שהמשיב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יצא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מהמלון</w:t>
      </w:r>
      <w:r>
        <w:rPr>
          <w:rtl w:val="true"/>
        </w:rPr>
        <w:t xml:space="preserve">, </w:t>
      </w:r>
      <w:r>
        <w:rPr>
          <w:rtl w:val="true"/>
        </w:rPr>
        <w:t>פרצה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הדליקה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הסתיימה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הטראגי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תוצאה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ללמד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הסכנה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הפוטנציאלית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לשלום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ולביטחונו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שמבוצעים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מחייבים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; </w:t>
      </w:r>
      <w:r>
        <w:rPr>
          <w:rtl w:val="true"/>
        </w:rPr>
        <w:t>וזאת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בגוף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ברכוש</w:t>
      </w:r>
      <w:r>
        <w:rPr>
          <w:rtl w:val="true"/>
        </w:rPr>
        <w:t xml:space="preserve">, </w:t>
      </w:r>
      <w:r>
        <w:rPr>
          <w:rtl w:val="true"/>
        </w:rPr>
        <w:t>וקל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וחומר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כבענייננו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אירעה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hyperlink r:id="rId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8639/13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אלדבס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פסקה יד</w:t>
      </w:r>
      <w:r>
        <w:rPr>
          <w:rFonts w:eastAsia="Garamond" w:cs="Garamond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17.3.2014</w:t>
      </w:r>
      <w:r>
        <w:rPr>
          <w:rtl w:val="true"/>
        </w:rPr>
        <w:t xml:space="preserve">); </w:t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3063/12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עודה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7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8.5.</w:t>
      </w:r>
      <w:r>
        <w:rPr/>
        <w:t>2012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בגזירת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בהודאתו</w:t>
      </w:r>
      <w:r>
        <w:rPr>
          <w:rtl w:val="true"/>
        </w:rPr>
        <w:t xml:space="preserve">; </w:t>
      </w:r>
      <w:r>
        <w:rPr>
          <w:rtl w:val="true"/>
        </w:rPr>
        <w:t>בכך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שהביע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; </w:t>
      </w:r>
      <w:r>
        <w:rPr>
          <w:rtl w:val="true"/>
        </w:rPr>
        <w:t>בגילו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; </w:t>
      </w:r>
      <w:r>
        <w:rPr>
          <w:rtl w:val="true"/>
        </w:rPr>
        <w:t>ובעובדה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מבוצעות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ממניע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גזעני</w:t>
      </w:r>
      <w:r>
        <w:rPr>
          <w:rtl w:val="true"/>
        </w:rPr>
        <w:t xml:space="preserve">, </w:t>
      </w:r>
      <w:r>
        <w:rPr>
          <w:rtl w:val="true"/>
        </w:rPr>
        <w:t>באיזון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הרתעה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והגנה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מוגבר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לשיקולים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האחרונים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מתאים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לפרק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נעברו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במהלכו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האוכלוסיה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האזרחית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נתונה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למתקפה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אלפי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רקטות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שמתואר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ובמקביל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התעורר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הפרות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סדר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והתפרעויות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שכלל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תקיפת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כוחות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תקיפת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יהודים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וערבים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להקרין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אפיוני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ההתפרעות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והעבירות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האחרות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ממניע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גזענות</w:t>
      </w:r>
      <w:r>
        <w:rPr>
          <w:rtl w:val="true"/>
        </w:rPr>
        <w:t xml:space="preserve">. </w:t>
      </w:r>
      <w:r>
        <w:rPr>
          <w:rtl w:val="true"/>
        </w:rPr>
        <w:t>לכך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בהשתתפות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בשני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נפרדים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בהזדמנויות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  <w:r>
        <w:rPr>
          <w:rtl w:val="true"/>
        </w:rPr>
        <w:t>משלא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בודד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שאלה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הצ</w:t>
      </w:r>
      <w:r>
        <w:rPr>
          <w:rtl w:val="true"/>
        </w:rPr>
        <w:t>י</w:t>
      </w:r>
      <w:r>
        <w:rPr>
          <w:rtl w:val="true"/>
        </w:rPr>
        <w:t>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הנאש</w:t>
      </w:r>
      <w:r>
        <w:rPr>
          <w:rtl w:val="true"/>
        </w:rPr>
        <w:t>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העדר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>:</w:t>
      </w:r>
      <w:r>
        <w:rPr>
          <w:rtl w:val="true"/>
        </w:rPr>
        <w:t xml:space="preserve"> </w:t>
      </w:r>
      <w:hyperlink r:id="rId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2814/18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מנור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31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27.2.2019</w:t>
      </w:r>
      <w:r>
        <w:rPr>
          <w:rtl w:val="true"/>
        </w:rPr>
        <w:t xml:space="preserve">); </w:t>
      </w:r>
      <w:hyperlink r:id="rId4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4875/11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Garamond" w:cs="Garamond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26.1.2012</w:t>
      </w:r>
      <w:r>
        <w:rPr>
          <w:rtl w:val="true"/>
        </w:rPr>
        <w:t>)).</w:t>
      </w:r>
      <w:r>
        <w:rPr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החמור</w:t>
      </w:r>
      <w:r>
        <w:rPr>
          <w:rtl w:val="true"/>
        </w:rPr>
        <w:t xml:space="preserve">, </w:t>
      </w:r>
      <w:r>
        <w:rPr>
          <w:rtl w:val="true"/>
        </w:rPr>
        <w:t>באתי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עקרון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בהגנה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ושיקולי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הרתעה</w:t>
      </w:r>
      <w:r>
        <w:rPr>
          <w:rtl w:val="true"/>
        </w:rPr>
        <w:t xml:space="preserve">, </w:t>
      </w:r>
      <w:r>
        <w:rPr>
          <w:rtl w:val="true"/>
        </w:rPr>
        <w:t>מחייבים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החמרה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. </w:t>
      </w:r>
      <w:r>
        <w:rPr>
          <w:rtl w:val="true"/>
        </w:rPr>
        <w:t>יוער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באמור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להביע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Garamond" w:cs="Garamond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אוחנינה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תלוי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ועומד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Fonts w:eastAsia="Garamond" w:cs="Garamond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FrankRuehl" w:ascii="FrankRuehl" w:hAnsi="FrankRuehl"/>
          <w:color w:val="000000"/>
          <w:sz w:val="28"/>
          <w:rtl w:val="true"/>
        </w:rPr>
        <w:tab/>
      </w:r>
      <w:r>
        <w:rPr>
          <w:rFonts w:ascii="FrankRuehl" w:hAnsi="FrankRuehl"/>
          <w:color w:val="000000"/>
          <w:sz w:val="28"/>
          <w:sz w:val="28"/>
          <w:rtl w:val="true"/>
        </w:rPr>
        <w:t>סוף דבר</w:t>
      </w:r>
      <w:r>
        <w:rPr>
          <w:rFonts w:cs="FrankRuehl" w:ascii="FrankRuehl" w:hAnsi="FrankRuehl"/>
          <w:color w:val="000000"/>
          <w:sz w:val="28"/>
          <w:rtl w:val="true"/>
        </w:rPr>
        <w:t xml:space="preserve">: </w:t>
      </w:r>
      <w:r>
        <w:rPr>
          <w:rFonts w:ascii="FrankRuehl" w:hAnsi="FrankRuehl"/>
          <w:color w:val="000000"/>
          <w:sz w:val="28"/>
          <w:sz w:val="28"/>
          <w:rtl w:val="true"/>
        </w:rPr>
        <w:t>אציע לחבר</w:t>
      </w:r>
      <w:r>
        <w:rPr>
          <w:rFonts w:ascii="FrankRuehl" w:hAnsi="FrankRuehl"/>
          <w:color w:val="000000"/>
          <w:sz w:val="28"/>
          <w:sz w:val="28"/>
          <w:rtl w:val="true"/>
        </w:rPr>
        <w:t>ות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יי להעמיד את עונש המאסר בפועל שייגזר על המשיב בגין העבירות נושא כתב האישום המתוקן על </w:t>
      </w:r>
      <w:r>
        <w:rPr>
          <w:rFonts w:cs="FrankRuehl" w:ascii="FrankRuehl" w:hAnsi="FrankRuehl"/>
          <w:color w:val="000000"/>
          <w:sz w:val="28"/>
        </w:rPr>
        <w:t>22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חודשים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 בניכוי ימי מעצרו</w:t>
      </w:r>
      <w:r>
        <w:rPr>
          <w:rFonts w:cs="FrankRuehl" w:ascii="FrankRuehl" w:hAnsi="FrankRuehl"/>
          <w:sz w:val="28"/>
          <w:rtl w:val="true"/>
        </w:rPr>
        <w:t>.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זאת בשים לכלל שלפיו ערכאת הערעור אינה ממצה את הדין עם הנאשם בקבלת ערעור התביעה</w:t>
      </w:r>
      <w:r>
        <w:rPr>
          <w:rFonts w:cs="FrankRuehl" w:ascii="FrankRuehl" w:hAnsi="FrankRuehl"/>
          <w:sz w:val="28"/>
          <w:rtl w:val="true"/>
        </w:rPr>
        <w:t xml:space="preserve">.  </w:t>
      </w:r>
      <w:r>
        <w:rPr>
          <w:rFonts w:ascii="FrankRuehl" w:hAnsi="FrankRuehl"/>
          <w:sz w:val="28"/>
          <w:sz w:val="28"/>
          <w:rtl w:val="true"/>
        </w:rPr>
        <w:t>יתר חלקי גזר הדין יעמדו בעינם</w:t>
      </w:r>
      <w:r>
        <w:rPr>
          <w:rFonts w:cs="FrankRuehl" w:ascii="FrankRuehl" w:hAnsi="FrankRuehl"/>
          <w:color w:val="000000"/>
          <w:sz w:val="28"/>
          <w:rtl w:val="true"/>
        </w:rPr>
        <w:t>.</w:t>
      </w:r>
    </w:p>
    <w:p>
      <w:pPr>
        <w:pStyle w:val="Normal"/>
        <w:ind w:end="0"/>
        <w:jc w:val="start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overflowPunct w:val="true"/>
        <w:autoSpaceDE w:val="true"/>
        <w:bidi w:val="0"/>
        <w:jc w:val="start"/>
        <w:textAlignment w:val="auto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ברק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ארז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eastAsia="Century" w:cs="Century" w:ascii="Century" w:hAnsi="Century"/>
          <w:rtl w:val="true"/>
        </w:rPr>
        <w:t xml:space="preserve"> 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מסכימה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וילנר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eastAsia="Century" w:cs="Century" w:ascii="Century" w:hAnsi="Century"/>
          <w:rtl w:val="true"/>
        </w:rPr>
        <w:t xml:space="preserve"> 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מסכימה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פוגלמן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bookmarkStart w:id="17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24.2.2022</w:t>
      </w:r>
      <w:r>
        <w:rPr>
          <w:rtl w:val="true"/>
        </w:rPr>
        <w:t xml:space="preserve">). </w:t>
      </w:r>
      <w:bookmarkEnd w:id="17"/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22009010</w:t>
      </w:r>
      <w:r>
        <w:rPr>
          <w:sz w:val="16"/>
          <w:rtl w:val="true"/>
        </w:rPr>
        <w:t>_</w:t>
      </w:r>
      <w:r>
        <w:rPr>
          <w:sz w:val="16"/>
        </w:rPr>
        <w:t>M03.docx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טו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46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ע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פוגלמן </w:t>
      </w:r>
      <w:r>
        <w:rPr>
          <w:rFonts w:cs="David" w:ascii="David" w:hAnsi="David"/>
          <w:color w:val="000000"/>
          <w:szCs w:val="22"/>
        </w:rPr>
        <w:t>54678313-901/22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47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48"/>
      <w:footerReference w:type="default" r:id="rId49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10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901/22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אסווד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lang w:val="en-US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lang w:val="en-US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Ruller5">
    <w:name w:val="Ruller5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1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Normal"/>
    <w:next w:val="Normal"/>
    <w:qFormat/>
    <w:pPr>
      <w:numPr>
        <w:ilvl w:val="0"/>
        <w:numId w:val="1"/>
      </w:numPr>
      <w:spacing w:lineRule="auto" w:line="360"/>
      <w:jc w:val="both"/>
    </w:pPr>
    <w:rPr>
      <w:rFonts w:ascii="Garamond" w:hAnsi="Garamond" w:cs="FrankRuehl"/>
      <w:spacing w:val="10"/>
      <w:sz w:val="24"/>
      <w:szCs w:val="28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yperlink" Target="http://www.nevo.co.il/law/70301/144f" TargetMode="External"/><Relationship Id="rId6" Type="http://schemas.openxmlformats.org/officeDocument/2006/relationships/hyperlink" Target="http://www.nevo.co.il/law/70301/152" TargetMode="External"/><Relationship Id="rId7" Type="http://schemas.openxmlformats.org/officeDocument/2006/relationships/hyperlink" Target="http://www.nevo.co.il/law/70301/157" TargetMode="External"/><Relationship Id="rId8" Type="http://schemas.openxmlformats.org/officeDocument/2006/relationships/hyperlink" Target="http://www.nevo.co.il/law/70301/407.b" TargetMode="External"/><Relationship Id="rId9" Type="http://schemas.openxmlformats.org/officeDocument/2006/relationships/hyperlink" Target="http://www.nevo.co.il/law/70301/447.a" TargetMode="External"/><Relationship Id="rId10" Type="http://schemas.openxmlformats.org/officeDocument/2006/relationships/hyperlink" Target="http://www.nevo.co.il/law/70301/452" TargetMode="External"/><Relationship Id="rId11" Type="http://schemas.openxmlformats.org/officeDocument/2006/relationships/hyperlink" Target="http://www.nevo.co.il/law/70301/144f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157" TargetMode="External"/><Relationship Id="rId14" Type="http://schemas.openxmlformats.org/officeDocument/2006/relationships/hyperlink" Target="http://www.nevo.co.il/law/70301/144f" TargetMode="External"/><Relationship Id="rId15" Type="http://schemas.openxmlformats.org/officeDocument/2006/relationships/hyperlink" Target="http://www.nevo.co.il/law/70301/29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447.a" TargetMode="External"/><Relationship Id="rId18" Type="http://schemas.openxmlformats.org/officeDocument/2006/relationships/hyperlink" Target="http://www.nevo.co.il/law/70301/144f" TargetMode="External"/><Relationship Id="rId19" Type="http://schemas.openxmlformats.org/officeDocument/2006/relationships/hyperlink" Target="http://www.nevo.co.il/law/70301/29" TargetMode="External"/><Relationship Id="rId20" Type="http://schemas.openxmlformats.org/officeDocument/2006/relationships/hyperlink" Target="http://www.nevo.co.il/law/70301/452" TargetMode="External"/><Relationship Id="rId21" Type="http://schemas.openxmlformats.org/officeDocument/2006/relationships/hyperlink" Target="http://www.nevo.co.il/law/70301/144f" TargetMode="External"/><Relationship Id="rId22" Type="http://schemas.openxmlformats.org/officeDocument/2006/relationships/hyperlink" Target="http://www.nevo.co.il/law/70301/29" TargetMode="External"/><Relationship Id="rId23" Type="http://schemas.openxmlformats.org/officeDocument/2006/relationships/hyperlink" Target="http://www.nevo.co.il/law/70301/407.b" TargetMode="External"/><Relationship Id="rId24" Type="http://schemas.openxmlformats.org/officeDocument/2006/relationships/hyperlink" Target="http://www.nevo.co.il/law/70301/144" TargetMode="External"/><Relationship Id="rId25" Type="http://schemas.openxmlformats.org/officeDocument/2006/relationships/hyperlink" Target="http://www.nevo.co.il/law/70301/29" TargetMode="External"/><Relationship Id="rId26" Type="http://schemas.openxmlformats.org/officeDocument/2006/relationships/hyperlink" Target="http://www.nevo.co.il/law/70301/152" TargetMode="External"/><Relationship Id="rId27" Type="http://schemas.openxmlformats.org/officeDocument/2006/relationships/hyperlink" Target="http://www.nevo.co.il/case/27642785" TargetMode="External"/><Relationship Id="rId28" Type="http://schemas.openxmlformats.org/officeDocument/2006/relationships/hyperlink" Target="http://www.nevo.co.il/case/28266103" TargetMode="External"/><Relationship Id="rId29" Type="http://schemas.openxmlformats.org/officeDocument/2006/relationships/hyperlink" Target="http://www.nevo.co.il/case/26514632" TargetMode="External"/><Relationship Id="rId30" Type="http://schemas.openxmlformats.org/officeDocument/2006/relationships/hyperlink" Target="http://www.nevo.co.il/case/27708542" TargetMode="External"/><Relationship Id="rId31" Type="http://schemas.openxmlformats.org/officeDocument/2006/relationships/hyperlink" Target="http://www.nevo.co.il/case/26528299" TargetMode="External"/><Relationship Id="rId32" Type="http://schemas.openxmlformats.org/officeDocument/2006/relationships/hyperlink" Target="http://www.nevo.co.il/case/377887" TargetMode="External"/><Relationship Id="rId33" Type="http://schemas.openxmlformats.org/officeDocument/2006/relationships/hyperlink" Target="http://www.nevo.co.il/case/5823680" TargetMode="External"/><Relationship Id="rId34" Type="http://schemas.openxmlformats.org/officeDocument/2006/relationships/hyperlink" Target="http://www.nevo.co.il/law/70301/144f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case/24263086" TargetMode="External"/><Relationship Id="rId37" Type="http://schemas.openxmlformats.org/officeDocument/2006/relationships/hyperlink" Target="http://www.nevo.co.il/case/20221614" TargetMode="External"/><Relationship Id="rId38" Type="http://schemas.openxmlformats.org/officeDocument/2006/relationships/hyperlink" Target="http://www.nevo.co.il/case/28152132" TargetMode="External"/><Relationship Id="rId39" Type="http://schemas.openxmlformats.org/officeDocument/2006/relationships/hyperlink" Target="http://www.nevo.co.il/case/26789718" TargetMode="External"/><Relationship Id="rId40" Type="http://schemas.openxmlformats.org/officeDocument/2006/relationships/hyperlink" Target="http://www.nevo.co.il/case/6169945" TargetMode="External"/><Relationship Id="rId41" Type="http://schemas.openxmlformats.org/officeDocument/2006/relationships/hyperlink" Target="http://www.nevo.co.il/case/6072632" TargetMode="External"/><Relationship Id="rId42" Type="http://schemas.openxmlformats.org/officeDocument/2006/relationships/hyperlink" Target="http://www.nevo.co.il/case/10538431" TargetMode="External"/><Relationship Id="rId43" Type="http://schemas.openxmlformats.org/officeDocument/2006/relationships/hyperlink" Target="http://www.nevo.co.il/case/5582859" TargetMode="External"/><Relationship Id="rId44" Type="http://schemas.openxmlformats.org/officeDocument/2006/relationships/hyperlink" Target="http://www.nevo.co.il/case/23850973" TargetMode="External"/><Relationship Id="rId45" Type="http://schemas.openxmlformats.org/officeDocument/2006/relationships/hyperlink" Target="http://www.nevo.co.il/case/6245959" TargetMode="External"/><Relationship Id="rId46" Type="http://schemas.openxmlformats.org/officeDocument/2006/relationships/hyperlink" Target="https://supreme.court.gov.il/" TargetMode="External"/><Relationship Id="rId47" Type="http://schemas.openxmlformats.org/officeDocument/2006/relationships/hyperlink" Target="http://www.nevo.co.il/advertisements/nevo-100.doc" TargetMode="External"/><Relationship Id="rId48" Type="http://schemas.openxmlformats.org/officeDocument/2006/relationships/header" Target="header1.xml"/><Relationship Id="rId49" Type="http://schemas.openxmlformats.org/officeDocument/2006/relationships/footer" Target="footer1.xml"/><Relationship Id="rId50" Type="http://schemas.openxmlformats.org/officeDocument/2006/relationships/numbering" Target="numbering.xml"/><Relationship Id="rId51" Type="http://schemas.openxmlformats.org/officeDocument/2006/relationships/fontTable" Target="fontTable.xml"/><Relationship Id="rId52" Type="http://schemas.openxmlformats.org/officeDocument/2006/relationships/settings" Target="settings.xml"/><Relationship Id="rId5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6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2022-02-24T14:11:00Z</dcterms:created>
  <dc:creator>h4</dc:creator>
  <dc:description/>
  <cp:keywords/>
  <dc:language>en-IL</dc:language>
  <cp:lastModifiedBy>orly</cp:lastModifiedBy>
  <cp:lastPrinted>2022-02-24T09:16:00Z</cp:lastPrinted>
  <dcterms:modified xsi:type="dcterms:W3CDTF">2022-02-27T07:16:00Z</dcterms:modified>
  <cp:revision>4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אסווד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27642785;28266103;26514632;27708542;26528299;377887;5823680;24263086;20221614;28152132;26789718;6169945;6072632;10538431;5582859;23850973;6245959</vt:lpwstr>
  </property>
  <property fmtid="{D5CDD505-2E9C-101B-9397-08002B2CF9AE}" pid="9" name="CITY">
    <vt:lpwstr/>
  </property>
  <property fmtid="{D5CDD505-2E9C-101B-9397-08002B2CF9AE}" pid="10" name="DATE">
    <vt:lpwstr>20220224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ע' פוגלמן;ד' ברק ארז;י' וילנר</vt:lpwstr>
  </property>
  <property fmtid="{D5CDD505-2E9C-101B-9397-08002B2CF9AE}" pid="14" name="LAWLISTTMP1">
    <vt:lpwstr>70301/157;144f:4;029:4;447.a;452;407.b;144;152</vt:lpwstr>
  </property>
  <property fmtid="{D5CDD505-2E9C-101B-9397-08002B2CF9AE}" pid="15" name="LAWYER">
    <vt:lpwstr>זוהר ארבל;מוחמד חאג';שלומי אברמזון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נעה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</vt:lpwstr>
  </property>
  <property fmtid="{D5CDD505-2E9C-101B-9397-08002B2CF9AE}" pid="48" name="NOSE31">
    <vt:lpwstr>מדיניות ענישה: עבירות אלימות על רקע אידיאולוגי</vt:lpwstr>
  </property>
  <property fmtid="{D5CDD505-2E9C-101B-9397-08002B2CF9AE}" pid="49" name="NOSE310">
    <vt:lpwstr/>
  </property>
  <property fmtid="{D5CDD505-2E9C-101B-9397-08002B2CF9AE}" pid="50" name="NOSE32">
    <vt:lpwstr>מדיניות ענישה: שיקולים לחומרה</vt:lpwstr>
  </property>
  <property fmtid="{D5CDD505-2E9C-101B-9397-08002B2CF9AE}" pid="51" name="NOSE33">
    <vt:lpwstr>מדיניות ענישה: התערבות ערכאת ערעור</vt:lpwstr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17645;8995;8982</vt:lpwstr>
  </property>
  <property fmtid="{D5CDD505-2E9C-101B-9397-08002B2CF9AE}" pid="59" name="PADIDATE">
    <vt:lpwstr>20220227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901</vt:lpwstr>
  </property>
  <property fmtid="{D5CDD505-2E9C-101B-9397-08002B2CF9AE}" pid="65" name="PROCYEAR">
    <vt:lpwstr>22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410120220224</vt:lpwstr>
  </property>
  <property fmtid="{D5CDD505-2E9C-101B-9397-08002B2CF9AE}" pid="69" name="TYPE_N_DATE">
    <vt:lpwstr>41020220224</vt:lpwstr>
  </property>
  <property fmtid="{D5CDD505-2E9C-101B-9397-08002B2CF9AE}" pid="70" name="VOLUME">
    <vt:lpwstr/>
  </property>
  <property fmtid="{D5CDD505-2E9C-101B-9397-08002B2CF9AE}" pid="71" name="WORDNUMPAGES">
    <vt:lpwstr>9</vt:lpwstr>
  </property>
</Properties>
</file>