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9035/18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62248-0</w:t>
            </w:r>
            <w:r>
              <w:rPr>
                <w:rFonts w:cs="Miriam" w:ascii="Century" w:hAnsi="Century"/>
                <w:b/>
                <w:szCs w:val="24"/>
              </w:rPr>
              <w:t>9-17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7.11.2018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10"/>
        <w:gridCol w:w="2664"/>
      </w:tblGrid>
      <w:tr>
        <w:trPr/>
        <w:tc>
          <w:tcPr>
            <w:tcW w:w="323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410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באלול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</w:t>
            </w:r>
            <w:r>
              <w:rPr>
                <w:rtl w:val="true"/>
              </w:rPr>
              <w:t>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664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11.09.2019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חימאיסי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ז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ערעור שנסב על השתת עונש של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ביצוע עבירה של קשר לסייע לאויב במלחמה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היה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הרשעה בעבירה הנדונה מחייבת השתת עונשים כבדים וממשיים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העונש הושת תוך התחשבות בקטינותו ובנסיבותיו האישיות של המערער ואינו סוטה לחומרא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ביטחון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סיוע לאויב במלחמה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Cs w:val="26"/>
        </w:rPr>
        <w:t>2001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בחר לקשור עצמו עם ארגון דעא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ארגון טרור קיצוני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לצאת לסוריה כדי להילחם בשורותיו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עלה הדבר בידו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ביקש להוציא לפועל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אדם 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פיגוע טרור במסגד אלאקצה בהר הבית בירושלים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עבירה של קשר לסייע לאויב במלחמה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והושת עליו עונש של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פוגלמן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נמנה עם המקרים שבהם תתערב ערכאת הערעור בעונש שהשיתה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סוטה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בעבירה של סיוע לאויב במלחמה מחייבת השתת עונשים כבדים וממשיים על המבצעים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לראות בחומרה סיוע לארגון דעא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מטרותיו ומעשיו האכזריים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הכוונה לבצע פיגוע טרור באזור הר הבית בסמוך למסגד אלאקצה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טומנת בחובה סכנה עודפת והשלכות מרחיקות לכת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הר הבית הוא המקום המקודש ביותר בתרבות היהודית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העבירות דווקא במתחם הר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בשל קדושתו הן בשל רגישותו הבין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 על החומרה שיש לייחס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קביעות אלו מצאו עוגן ברף הענישה בפועל שהושת על נאשמים שהורשעו בעבירות של סיוע לאויב במלחמה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עונשם של בגירים בעבירות דומות נע בין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העונש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התחשבות בקטינותו ובנסיבותיו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סוטה לחומרא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נטל חלק דומיננטי בביצוע המעשים והיה חלק פעיל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עובדת היותו של המערער קטין בעת ביצוע העבירה היא נסיבה רלוונטית שראוי כי תילקח בחשבון בעת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להתחשב בשוני בין קטין לבגיר במסגרת השיקולים הנבחנים בעת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ולהעניק משקל נוסף לנסיבותיו האישיות ובכללן לסיכויי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 כבר נפסק כי קטינות אינה יוצרת 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 שלעיתים שיקולי 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 ומניעה יגברו על השיקולים הפרטניים הנוגעים לנסיבותיו האישיות של הקטין וסיכוייו 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להפריז בחומרת מעשיו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שקשר עצמו עם ארגון דעא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רצה לצאת לסוריה כדי להילחם בשורותיו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ומשלא עלה הדבר בידו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ביק להוציא לפועל פיגוע טרור במסגד אלאקצה תוך תכנון התכנית לפרטיה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 החומרה הרבה שיש לייחס הן לעבירה והן לנסיבות החמורות שנלוו לביצוע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להקל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62248-09-17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7.11.2018</w:t>
      </w:r>
      <w:r>
        <w:rPr>
          <w:rtl w:val="true"/>
        </w:rPr>
        <w:t xml:space="preserve"> </w:t>
      </w:r>
      <w:r>
        <w:rPr>
          <w:rtl w:val="true"/>
        </w:rPr>
        <w:t xml:space="preserve">בגדרו הושת על המערער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עונש מאסר על תנאי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בחלקו הכללי של כתב האישום</w:t>
      </w:r>
      <w:r>
        <w:rPr>
          <w:rtl w:val="true"/>
        </w:rPr>
        <w:t xml:space="preserve">, </w:t>
      </w:r>
      <w:r>
        <w:rPr>
          <w:rtl w:val="true"/>
        </w:rPr>
        <w:t>ארגון המדינה האסלאמית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הארגון</w:t>
      </w:r>
      <w:r>
        <w:rPr>
          <w:rtl w:val="true"/>
        </w:rPr>
        <w:t xml:space="preserve">) </w:t>
      </w:r>
      <w:r>
        <w:rPr>
          <w:rtl w:val="true"/>
        </w:rPr>
        <w:t>נמנה על ארגוני הטרור המרכזיים הפועלים בעולם ובין הקיצוניים ביותר שבהם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משנתו של הארגון דוגלת בתפיסת הג</w:t>
      </w:r>
      <w:r>
        <w:rPr>
          <w:rtl w:val="true"/>
        </w:rPr>
        <w:t>'</w:t>
      </w:r>
      <w:r>
        <w:rPr>
          <w:rtl w:val="true"/>
        </w:rPr>
        <w:t>יאהד</w:t>
      </w:r>
      <w:r>
        <w:rPr>
          <w:rtl w:val="true"/>
        </w:rPr>
        <w:t xml:space="preserve">, </w:t>
      </w:r>
      <w:r>
        <w:rPr>
          <w:rtl w:val="true"/>
        </w:rPr>
        <w:t>הקוראת לפגיעה במשטרים הנחשבים ל</w:t>
      </w:r>
      <w:r>
        <w:rPr>
          <w:rtl w:val="true"/>
        </w:rPr>
        <w:t>"</w:t>
      </w:r>
      <w:r>
        <w:rPr>
          <w:rtl w:val="true"/>
        </w:rPr>
        <w:t>כופרים</w:t>
      </w:r>
      <w:r>
        <w:rPr>
          <w:rtl w:val="true"/>
        </w:rPr>
        <w:t xml:space="preserve">" </w:t>
      </w:r>
      <w:r>
        <w:rPr>
          <w:rtl w:val="true"/>
        </w:rPr>
        <w:t>משאינם צועדים בדרך דת האסלאם כפי שהיא נתפסת בעיניו</w:t>
      </w:r>
      <w:r>
        <w:rPr>
          <w:rtl w:val="true"/>
        </w:rPr>
        <w:t xml:space="preserve">. </w:t>
      </w:r>
      <w:r>
        <w:rPr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כחלק מ</w:t>
      </w:r>
      <w:r>
        <w:rPr>
          <w:rtl w:val="true"/>
        </w:rPr>
        <w:t>"</w:t>
      </w:r>
      <w:r>
        <w:rPr>
          <w:rtl w:val="true"/>
        </w:rPr>
        <w:t>כופרים</w:t>
      </w:r>
      <w:r>
        <w:rPr>
          <w:rtl w:val="true"/>
        </w:rPr>
        <w:t xml:space="preserve">"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מהווה יעד לחימה מובהק מבחינת ארגון דעא</w:t>
      </w:r>
      <w:r>
        <w:rPr>
          <w:rtl w:val="true"/>
        </w:rPr>
        <w:t>"</w:t>
      </w:r>
      <w:r>
        <w:rPr>
          <w:rtl w:val="true"/>
        </w:rPr>
        <w:t>ש השואף לפגוע במוסדותיה ובאזרחיה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3.9.2014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",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28.10.2015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"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 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1948</w:t>
      </w:r>
      <w:r>
        <w:rPr>
          <w:rtl w:val="true"/>
        </w:rPr>
        <w:t xml:space="preserve">;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1.1.2016</w:t>
      </w:r>
      <w:r>
        <w:rPr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גילה במהלך השנים עניין הולך וגובר בארגון 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ופיתח הזדהות אידיאולוגית עם פעולותיו</w:t>
      </w:r>
      <w:r>
        <w:rPr>
          <w:rtl w:val="true"/>
        </w:rPr>
        <w:t xml:space="preserve">, </w:t>
      </w:r>
      <w:r>
        <w:rPr>
          <w:rtl w:val="true"/>
        </w:rPr>
        <w:t>ערכיו ומטרותיו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נהג להיכנס בתדירות גבוהה לאתרי אינטרנט המזוהים עם הארגון ולאתר האינטרנט הרשמי שמופעל על ידו בשם</w:t>
      </w:r>
      <w:r>
        <w:rPr>
          <w:rtl w:val="true"/>
        </w:rPr>
        <w:t xml:space="preserve">: </w:t>
      </w:r>
      <w:r>
        <w:rPr>
          <w:rFonts w:ascii="Century" w:hAnsi="Century" w:cs="Times New Roman"/>
          <w:b/>
          <w:b/>
          <w:spacing w:val="0"/>
          <w:sz w:val="22"/>
          <w:sz w:val="22"/>
          <w:rtl w:val="true"/>
          <w:lang w:bidi="ar-SA"/>
        </w:rPr>
        <w:t>أخبار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  <w:lang w:bidi="ar-SA"/>
        </w:rPr>
        <w:t xml:space="preserve"> </w:t>
      </w:r>
      <w:r>
        <w:rPr>
          <w:rFonts w:ascii="Century" w:hAnsi="Century" w:cs="Times New Roman"/>
          <w:b/>
          <w:b/>
          <w:spacing w:val="0"/>
          <w:sz w:val="22"/>
          <w:sz w:val="22"/>
          <w:rtl w:val="true"/>
          <w:lang w:bidi="ar-SA"/>
        </w:rPr>
        <w:t>المسلمين</w:t>
      </w:r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אח</w:t>
      </w:r>
      <w:r>
        <w:rPr>
          <w:rtl w:val="true"/>
        </w:rPr>
        <w:t>'</w:t>
      </w:r>
      <w:r>
        <w:rPr>
          <w:rtl w:val="true"/>
        </w:rPr>
        <w:t>אבר אלמוסלמין</w:t>
      </w:r>
      <w:r>
        <w:rPr>
          <w:rtl w:val="true"/>
        </w:rPr>
        <w:t>"</w:t>
      </w:r>
      <w:r>
        <w:rPr>
          <w:rFonts w:cs="Times New Roman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לצפות דרך קבע בסרטונים של הארגון ושל גורמים המזוהים עמו</w:t>
      </w:r>
      <w:r>
        <w:rPr>
          <w:rtl w:val="true"/>
        </w:rPr>
        <w:t xml:space="preserve">, </w:t>
      </w:r>
      <w:r>
        <w:rPr>
          <w:rtl w:val="true"/>
        </w:rPr>
        <w:t>המתעדים בין היתר את פעילותו הצבאית</w:t>
      </w:r>
      <w:r>
        <w:rPr>
          <w:rtl w:val="true"/>
        </w:rPr>
        <w:t xml:space="preserve">; </w:t>
      </w:r>
      <w:r>
        <w:rPr>
          <w:rtl w:val="true"/>
        </w:rPr>
        <w:t>להתעדכן בחדשות ודיווחים הנוגעים לארגון ולאירועי לחימה בהם היה מעורב</w:t>
      </w:r>
      <w:r>
        <w:rPr>
          <w:rtl w:val="true"/>
        </w:rPr>
        <w:t xml:space="preserve">; </w:t>
      </w:r>
      <w:r>
        <w:rPr>
          <w:rtl w:val="true"/>
        </w:rPr>
        <w:t>ולשוחח עם אחרים אודות צדקת דרכו של הארגון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26.5.2017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24.6.2017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סעיד</w:t>
      </w:r>
      <w:r>
        <w:rPr>
          <w:rtl w:val="true"/>
        </w:rPr>
        <w:t xml:space="preserve">),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בשורותיו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"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ומסקנותיה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שהשתכנעו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שהידים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מביקוריו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במוסלמים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, </w:t>
      </w:r>
      <w:r>
        <w:rPr>
          <w:rtl w:val="true"/>
        </w:rPr>
        <w:t>כשהאקדחים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6.9.2017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במיוחס לו בכתב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ובהחלטתו מיום </w:t>
      </w:r>
      <w:r>
        <w:rPr/>
        <w:t>1.7.2018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המחוזי כי המערער ביצע עבירה של קשר לסייע לאויב במלחמה 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 להרשיע את המערער בדין</w:t>
      </w:r>
      <w:r>
        <w:rPr>
          <w:rtl w:val="true"/>
        </w:rPr>
        <w:t xml:space="preserve">, </w:t>
      </w:r>
      <w:r>
        <w:rPr>
          <w:rtl w:val="true"/>
        </w:rPr>
        <w:t>בשל היותו קטין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הורה בית המשפט המחוזי על הכנת תסקיר שירות מבחן לנוער בעניינו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מיום </w:t>
      </w:r>
      <w:r>
        <w:rPr/>
        <w:t>10.10.2018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 </w:t>
      </w:r>
      <w:r>
        <w:rPr>
          <w:rtl w:val="true"/>
        </w:rPr>
        <w:t xml:space="preserve">מנה שירות המבחן לנוער מספר </w:t>
      </w:r>
      <w:r>
        <w:rPr>
          <w:rtl w:val="true"/>
        </w:rPr>
        <w:t>"</w:t>
      </w:r>
      <w:r>
        <w:rPr>
          <w:rtl w:val="true"/>
        </w:rPr>
        <w:t>גורמי סיכון</w:t>
      </w:r>
      <w:r>
        <w:rPr>
          <w:rtl w:val="true"/>
        </w:rPr>
        <w:t xml:space="preserve">" </w:t>
      </w:r>
      <w:r>
        <w:rPr>
          <w:rtl w:val="true"/>
        </w:rPr>
        <w:t>ביחס למערער</w:t>
      </w:r>
      <w:r>
        <w:rPr>
          <w:rtl w:val="true"/>
        </w:rPr>
        <w:t xml:space="preserve">, </w:t>
      </w:r>
      <w:r>
        <w:rPr>
          <w:rtl w:val="true"/>
        </w:rPr>
        <w:t>ובכללם חומרת העבירה שביצע</w:t>
      </w:r>
      <w:r>
        <w:rPr>
          <w:rtl w:val="true"/>
        </w:rPr>
        <w:t xml:space="preserve">; </w:t>
      </w:r>
      <w:r>
        <w:rPr>
          <w:rtl w:val="true"/>
        </w:rPr>
        <w:t>משברים משפחתיים שלא טופלו</w:t>
      </w:r>
      <w:r>
        <w:rPr>
          <w:rtl w:val="true"/>
        </w:rPr>
        <w:t xml:space="preserve">; </w:t>
      </w:r>
      <w:r>
        <w:rPr>
          <w:rtl w:val="true"/>
        </w:rPr>
        <w:t>חסכיו הרגשיים שהובילו אותו לפתח תלות באחר עד כדי ביטול עצמי</w:t>
      </w:r>
      <w:r>
        <w:rPr>
          <w:rtl w:val="true"/>
        </w:rPr>
        <w:t xml:space="preserve">; </w:t>
      </w:r>
      <w:r>
        <w:rPr>
          <w:rtl w:val="true"/>
        </w:rPr>
        <w:t>אופיו הנעדר גבולות פנימיים וקשייו בוויסות ובהרגעה עצמית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הצביע התסקיר על </w:t>
      </w:r>
      <w:r>
        <w:rPr>
          <w:rtl w:val="true"/>
        </w:rPr>
        <w:t>"</w:t>
      </w:r>
      <w:r>
        <w:rPr>
          <w:rtl w:val="true"/>
        </w:rPr>
        <w:t>גורמי סיכוי</w:t>
      </w:r>
      <w:r>
        <w:rPr>
          <w:rtl w:val="true"/>
        </w:rPr>
        <w:t xml:space="preserve">" </w:t>
      </w:r>
      <w:r>
        <w:rPr>
          <w:rtl w:val="true"/>
        </w:rPr>
        <w:t>בכך שהמערער נעדר עבר פלילי</w:t>
      </w:r>
      <w:r>
        <w:rPr>
          <w:rtl w:val="true"/>
        </w:rPr>
        <w:t xml:space="preserve">; </w:t>
      </w:r>
      <w:r>
        <w:rPr>
          <w:rtl w:val="true"/>
        </w:rPr>
        <w:t>הודה במיוחס לו בכתב האישום המתוקן</w:t>
      </w:r>
      <w:r>
        <w:rPr>
          <w:rtl w:val="true"/>
        </w:rPr>
        <w:t xml:space="preserve">; </w:t>
      </w:r>
      <w:r>
        <w:rPr>
          <w:rtl w:val="true"/>
        </w:rPr>
        <w:t>נטל אחריות והביע חרטה על מעשיו</w:t>
      </w:r>
      <w:r>
        <w:rPr>
          <w:rtl w:val="true"/>
        </w:rPr>
        <w:t xml:space="preserve">; </w:t>
      </w:r>
      <w:r>
        <w:rPr>
          <w:rtl w:val="true"/>
        </w:rPr>
        <w:t>מגנה כיום כל פעולה של אלימות</w:t>
      </w:r>
      <w:r>
        <w:rPr>
          <w:rtl w:val="true"/>
        </w:rPr>
        <w:t xml:space="preserve">, </w:t>
      </w:r>
      <w:r>
        <w:rPr>
          <w:rtl w:val="true"/>
        </w:rPr>
        <w:t>ומגנה את ארגון 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; </w:t>
      </w:r>
      <w:r>
        <w:rPr>
          <w:rtl w:val="true"/>
        </w:rPr>
        <w:t>תפקד באופן תקין בלימודים</w:t>
      </w:r>
      <w:r>
        <w:rPr>
          <w:rtl w:val="true"/>
        </w:rPr>
        <w:t xml:space="preserve">; </w:t>
      </w:r>
      <w:r>
        <w:rPr>
          <w:rtl w:val="true"/>
        </w:rPr>
        <w:t>משתף פעולה עם שירות המבחן ומביע נכונות להשתתף בהליך טיפולי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>-</w:t>
      </w:r>
      <w:r>
        <w:rPr>
          <w:rtl w:val="true"/>
        </w:rPr>
        <w:t>ביתית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בהסכמת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ולאחר שהוגש תסקיר שירות המבחן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בעבירה המיוחסת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המשפט המחוזי על חומרתה הרבה של עבירת הסיוע לאויב במלחמה</w:t>
      </w:r>
      <w:r>
        <w:rPr>
          <w:rtl w:val="true"/>
        </w:rPr>
        <w:t xml:space="preserve">, </w:t>
      </w:r>
      <w:r>
        <w:rPr>
          <w:rtl w:val="true"/>
        </w:rPr>
        <w:t>לנוכח הסיכון שנשקף מביצועה לביטחון המדינה ולשלום הציבור</w:t>
      </w:r>
      <w:r>
        <w:rPr>
          <w:rtl w:val="true"/>
        </w:rPr>
        <w:t xml:space="preserve">. </w:t>
      </w:r>
      <w:r>
        <w:rPr>
          <w:rtl w:val="true"/>
        </w:rPr>
        <w:t>הודגש כי העונש המרבי שלצידה הוא מהחמורים ביותר</w:t>
      </w:r>
      <w:r>
        <w:rPr>
          <w:rtl w:val="true"/>
        </w:rPr>
        <w:t xml:space="preserve">, </w:t>
      </w:r>
      <w:r>
        <w:rPr>
          <w:rtl w:val="true"/>
        </w:rPr>
        <w:t>וכי הדבר ממחיש את חומרתה ואת החשיבות בהשתת ענישה הולמת בגין ביצועהּ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ובעיצובה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ובתסקיר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 xml:space="preserve">השית בית המשפט המחוזי על המערער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ולצדו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לבל יעבור עבירה לפי </w:t>
      </w:r>
      <w:hyperlink r:id="rId15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 ובדיון בעל</w:t>
      </w:r>
      <w:r>
        <w:rPr>
          <w:rtl w:val="true"/>
        </w:rPr>
        <w:t>-</w:t>
      </w:r>
      <w:r>
        <w:rPr>
          <w:rtl w:val="true"/>
        </w:rPr>
        <w:t>פה שנערך לפנינו טען בא</w:t>
      </w:r>
      <w:r>
        <w:rPr>
          <w:rtl w:val="true"/>
        </w:rPr>
        <w:t>-</w:t>
      </w:r>
      <w:r>
        <w:rPr>
          <w:rtl w:val="true"/>
        </w:rPr>
        <w:t>כוח המערער כי בית המשפט המחוזי החמיר בעונשו של המערער יתר על המידה ולא נתן משקל ראוי לנסיבותיו המקלות</w:t>
      </w:r>
      <w:r>
        <w:rPr>
          <w:rtl w:val="true"/>
        </w:rPr>
        <w:t xml:space="preserve">, </w:t>
      </w:r>
      <w:r>
        <w:rPr>
          <w:rtl w:val="true"/>
        </w:rPr>
        <w:t>ובכלל זה להיותו קטין בעת ביצוע העבירה</w:t>
      </w:r>
      <w:r>
        <w:rPr>
          <w:rtl w:val="true"/>
        </w:rPr>
        <w:t xml:space="preserve">; </w:t>
      </w:r>
      <w:r>
        <w:rPr>
          <w:rtl w:val="true"/>
        </w:rPr>
        <w:t>לכך שלא היה הדמות הדומיננטית בביצוע העבירה אלא נגרר אחר סעיד המבוגר ממנו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לחרטה הכנה והעקבית מצדו של המערער הנמשכת עד היום</w:t>
      </w:r>
      <w:r>
        <w:rPr>
          <w:rtl w:val="true"/>
        </w:rPr>
        <w:t xml:space="preserve">; </w:t>
      </w:r>
      <w:r>
        <w:rPr>
          <w:rtl w:val="true"/>
        </w:rPr>
        <w:t>ולנסיבות חייו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 xml:space="preserve">כוח המשיבה כי </w:t>
      </w:r>
      <w:r>
        <w:rPr>
          <w:rFonts w:ascii="Times New Roman" w:hAnsi="Times New Roman" w:cs="Times New Roman"/>
          <w:rtl w:val="true"/>
        </w:rPr>
        <w:t>דין הערעור להידחות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</w:t>
      </w:r>
      <w:r>
        <w:rPr>
          <w:rtl w:val="true"/>
        </w:rPr>
        <w:t>עונשו של המערער הולם את חומרת מעשיו ואת המסוכנות הרבה הנשקפת מהם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נסיבותיו המקלות נלקחו בחשבון על ידי בית המשפט המחוזי בעת גזירת דינו</w:t>
      </w:r>
      <w:r>
        <w:rPr>
          <w:rtl w:val="true"/>
        </w:rPr>
        <w:t xml:space="preserve">, </w:t>
      </w:r>
      <w:r>
        <w:rPr>
          <w:rtl w:val="true"/>
        </w:rPr>
        <w:t>ובפרט היותו קטין בעת ביצוע המעשים וחרטתו 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מהתסקיר המשלים אשר הוגש לנו ביום </w:t>
      </w:r>
      <w:r>
        <w:rPr/>
        <w:t>1.9.2019</w:t>
      </w:r>
      <w:r>
        <w:rPr>
          <w:rtl w:val="true"/>
        </w:rPr>
        <w:t xml:space="preserve">, </w:t>
      </w:r>
      <w:r>
        <w:rPr>
          <w:rtl w:val="true"/>
        </w:rPr>
        <w:t>עולה כי על פי התרשמותו של שירות המבחן המערער נו</w:t>
      </w:r>
      <w:r>
        <w:rPr>
          <w:rtl w:val="true"/>
        </w:rPr>
        <w:t>תר</w:t>
      </w:r>
      <w:r>
        <w:rPr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ומחזיק</w:t>
      </w:r>
      <w:r>
        <w:rPr>
          <w:rtl w:val="true"/>
        </w:rPr>
        <w:t xml:space="preserve"> </w:t>
      </w:r>
      <w:r>
        <w:rPr>
          <w:rtl w:val="true"/>
        </w:rPr>
        <w:t xml:space="preserve">גם כיום </w:t>
      </w:r>
      <w:r>
        <w:rPr>
          <w:rtl w:val="true"/>
        </w:rPr>
        <w:t>בעמדות</w:t>
      </w:r>
      <w:r>
        <w:rPr>
          <w:rtl w:val="true"/>
        </w:rPr>
        <w:t xml:space="preserve"> </w:t>
      </w:r>
      <w:r>
        <w:rPr>
          <w:rtl w:val="true"/>
        </w:rPr>
        <w:t>שליליות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לאידיאולוגיה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האמין</w:t>
      </w:r>
      <w:r>
        <w:rPr>
          <w:rtl w:val="true"/>
        </w:rPr>
        <w:t xml:space="preserve"> </w:t>
      </w:r>
      <w:r>
        <w:rPr>
          <w:rtl w:val="true"/>
        </w:rPr>
        <w:t>בתקופת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עולה כי הוא מתפקד כראוי בבית הסוהר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 </w:t>
      </w:r>
      <w:r>
        <w:rPr>
          <w:rtl w:val="true"/>
        </w:rPr>
        <w:t xml:space="preserve">המליץ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Times New Roman"/>
          <w:rtl w:val="true"/>
        </w:rPr>
        <w:t>דין הערעור להידחות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המקרה שלפנינו אינו נמנה עם המקרים שבהם תתערב ערכאת הערעור בעונש שהושת על ידי הערכאה הדיונית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 העונשית אליה הגיע בית המשפט המחוזי אינה סוטה ממדיניות הענישה המקובלת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הרשעה בעבירה של סיוע לאויב במלחמה מחייבת השתת עונשים כבדים וממשיים על המבצעים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וראו לדוגמא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8457/15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ווזווז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בפסקה </w:t>
      </w:r>
      <w:r>
        <w:rPr>
          <w:rFonts w:cs="Times New Roman" w:ascii="Times New Roman" w:hAnsi="Times New Roman"/>
        </w:rPr>
        <w:t>99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1.11.2018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5536/18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אלבייאע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בפסקה </w:t>
      </w:r>
      <w:r>
        <w:rPr>
          <w:rFonts w:cs="Times New Roman" w:ascii="Times New Roman" w:hAnsi="Times New Roman"/>
        </w:rPr>
        <w:t>39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13.6.2019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עלבייאע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בפסיקה כי יש לראות בחומרה סיוע לארגון דעא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 על מטרותיו ומעשיו האכזריים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וראו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3379/16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2.5.2016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25.5.2015</w:t>
      </w:r>
      <w:r>
        <w:rPr>
          <w:rtl w:val="true"/>
        </w:rPr>
        <w:t xml:space="preserve">)),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היהודית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דתית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11328/03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כיאניה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8.9.2005</w:t>
      </w:r>
      <w:r>
        <w:rPr>
          <w:rtl w:val="true"/>
        </w:rPr>
        <w:t xml:space="preserve">),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משתכנן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"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עלבייאע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עויסאת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7.3.2017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בפסקי הדין אליהם הפנה בא</w:t>
      </w:r>
      <w:r>
        <w:rPr>
          <w:rtl w:val="true"/>
        </w:rPr>
        <w:t>-</w:t>
      </w:r>
      <w:r>
        <w:rPr>
          <w:rtl w:val="true"/>
        </w:rPr>
        <w:t>כוח המערער כדי להביא למסקנה אחרת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6470/18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אלעומרי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7.4.2019</w:t>
      </w:r>
      <w:r>
        <w:rPr>
          <w:rtl w:val="true"/>
        </w:rPr>
        <w:t xml:space="preserve">), </w:t>
      </w:r>
      <w:r>
        <w:rPr>
          <w:rtl w:val="true"/>
        </w:rPr>
        <w:t>הקל אמנם בית משפט זה בעונשו של אדם שהורשע בעבירה של סיוע לאויב במלחמה ובעבירות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כך שהועמד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שנות מאסר</w:t>
      </w:r>
      <w:r>
        <w:rPr>
          <w:rtl w:val="true"/>
        </w:rPr>
        <w:t xml:space="preserve">, </w:t>
      </w:r>
      <w:r>
        <w:rPr>
          <w:rtl w:val="true"/>
        </w:rPr>
        <w:t>אך זאת לנוכח העובדה שהוא שכנע את שותפיו לנטוש את התכנית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כך שהתכנית </w:t>
      </w:r>
      <w:r>
        <w:rPr>
          <w:rtl w:val="true"/>
        </w:rPr>
        <w:t>"</w:t>
      </w:r>
      <w:r>
        <w:rPr>
          <w:rtl w:val="true"/>
        </w:rPr>
        <w:t>לא עברה את שלב הקשר</w:t>
      </w:r>
      <w:r>
        <w:rPr>
          <w:rtl w:val="true"/>
        </w:rPr>
        <w:t xml:space="preserve">" </w:t>
      </w:r>
      <w:r>
        <w:rPr>
          <w:rtl w:val="true"/>
        </w:rPr>
        <w:t xml:space="preserve">ולא הגיעה </w:t>
      </w:r>
      <w:r>
        <w:rPr>
          <w:rtl w:val="true"/>
        </w:rPr>
        <w:t>"</w:t>
      </w:r>
      <w:r>
        <w:rPr>
          <w:rtl w:val="true"/>
        </w:rPr>
        <w:t>לפסים מוחשיים ויצירת סכנה לציבור</w:t>
      </w:r>
      <w:r>
        <w:rPr>
          <w:rtl w:val="true"/>
        </w:rPr>
        <w:t xml:space="preserve">". </w:t>
      </w:r>
      <w:r>
        <w:rPr>
          <w:rtl w:val="true"/>
        </w:rPr>
        <w:t>בניגוד לכך</w:t>
      </w:r>
      <w:r>
        <w:rPr>
          <w:rtl w:val="true"/>
        </w:rPr>
        <w:t xml:space="preserve">, </w:t>
      </w:r>
      <w:r>
        <w:rPr>
          <w:rtl w:val="true"/>
        </w:rPr>
        <w:t>בערעור דנן המערער לא עצר את עצמו או את סעיד מלקדם את התוכנית</w:t>
      </w:r>
      <w:r>
        <w:rPr>
          <w:rtl w:val="true"/>
        </w:rPr>
        <w:t xml:space="preserve">, </w:t>
      </w:r>
      <w:r>
        <w:rPr>
          <w:rtl w:val="true"/>
        </w:rPr>
        <w:t>שהייתה מגובשת ומעוצבת לפרטי פרטים</w:t>
      </w:r>
      <w:r>
        <w:rPr>
          <w:rtl w:val="true"/>
        </w:rPr>
        <w:t xml:space="preserve">, </w:t>
      </w:r>
      <w:r>
        <w:rPr>
          <w:rtl w:val="true"/>
        </w:rPr>
        <w:t>ולמרבה המזל התכנית סוכלה בהתערבות כוחות הביטחון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30.7.2013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איני מקבל את הטענה כי בית המשפט המחוזי לא לקח בחשבון בעת גזירת העונש את נסיבותיו המקלות של המערער</w:t>
      </w:r>
      <w:r>
        <w:rPr>
          <w:rtl w:val="true"/>
        </w:rPr>
        <w:t xml:space="preserve">. </w:t>
      </w:r>
      <w:r>
        <w:rPr>
          <w:rtl w:val="true"/>
        </w:rPr>
        <w:t>גזר דינו של המערער כולל התייחסות מפורשת לעובדת היותו קטין בתקופת ביצוע העבירה</w:t>
      </w:r>
      <w:r>
        <w:rPr>
          <w:rtl w:val="true"/>
        </w:rPr>
        <w:t xml:space="preserve">; </w:t>
      </w:r>
      <w:r>
        <w:rPr>
          <w:rtl w:val="true"/>
        </w:rPr>
        <w:t>לנסיבות חייו</w:t>
      </w:r>
      <w:r>
        <w:rPr>
          <w:rtl w:val="true"/>
        </w:rPr>
        <w:t xml:space="preserve">; </w:t>
      </w:r>
      <w:r>
        <w:rPr>
          <w:rtl w:val="true"/>
        </w:rPr>
        <w:t>לנטילת האחריות מצדו</w:t>
      </w:r>
      <w:r>
        <w:rPr>
          <w:rtl w:val="true"/>
        </w:rPr>
        <w:t xml:space="preserve">; </w:t>
      </w:r>
      <w:r>
        <w:rPr>
          <w:rtl w:val="true"/>
        </w:rPr>
        <w:t>ולהבעת החרטה על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עובדת היותו של המערער קטין בעת ביצוע העבירה היא אכן נסיבה רלוונטית שראוי כי תילקח בחשבון בעת גזירת עונשו</w:t>
      </w:r>
      <w:r>
        <w:rPr>
          <w:rtl w:val="true"/>
        </w:rPr>
        <w:t xml:space="preserve">. </w:t>
      </w:r>
      <w:r>
        <w:rPr>
          <w:rtl w:val="true"/>
        </w:rPr>
        <w:t>ידוע ומוסכם כי יש להתחשב בשוני בין קטין לבגיר במסגרת השיקולים הנבחנים בעת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ולהעניק משקל נוסף לנסיבותיו האישיות ובכללן לסיכויי שיקומו </w:t>
      </w:r>
      <w:r>
        <w:rPr>
          <w:rtl w:val="true"/>
        </w:rPr>
        <w:t>(</w:t>
      </w:r>
      <w:r>
        <w:rPr>
          <w:rtl w:val="true"/>
        </w:rPr>
        <w:t xml:space="preserve">ראו לדוגמה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22.7.19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".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8164/02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6.6.2016</w:t>
      </w:r>
      <w:r>
        <w:rPr>
          <w:rFonts w:cs="Century" w:ascii="Century" w:hAnsi="Century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3702/14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28.9.2014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))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-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האינדיווידואליות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בשורותיו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הקדיש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 xml:space="preserve">; </w:t>
      </w:r>
      <w:r>
        <w:rPr>
          <w:rtl w:val="true"/>
        </w:rPr>
        <w:t>ולתזמנו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ולאור החומרה הרבה שיש לייחס הן לעבירה כשלעצמה והן לנסיבות החמורות שנלוו לביצוע המעשים במקרה דנן</w:t>
      </w:r>
      <w:r>
        <w:rPr>
          <w:rtl w:val="true"/>
        </w:rPr>
        <w:t xml:space="preserve">, </w:t>
      </w:r>
      <w:r>
        <w:rPr>
          <w:rtl w:val="true"/>
        </w:rPr>
        <w:t>אין מקום להקל בעונשו של המערער יותר משהקל עמו בית המשפט המחוזי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סיום אציין כי לא נעלם מעיניי התסקיר המשלים והחיובי שהוגש בעניינו של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לברך על הסתגלותו של המערער לבית המאסר ועל כך שמוסיף הוא להתחרט ולהכות על חטאו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לנוכח מסקנותיי בדבר חומרתה הרבה של העבירה והנסיבות הנלוות בערעור דנן</w:t>
      </w:r>
      <w:r>
        <w:rPr>
          <w:rtl w:val="true"/>
        </w:rPr>
        <w:t xml:space="preserve">, </w:t>
      </w:r>
      <w:r>
        <w:rPr>
          <w:rtl w:val="true"/>
        </w:rPr>
        <w:t>אין מקום להקל עמו עוד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240" w:after="0"/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15.9.2019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18090350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54678313-9035/18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9035/18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14177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92" TargetMode="External"/><Relationship Id="rId7" Type="http://schemas.openxmlformats.org/officeDocument/2006/relationships/hyperlink" Target="http://www.nevo.co.il/law/70301/99" TargetMode="External"/><Relationship Id="rId8" Type="http://schemas.openxmlformats.org/officeDocument/2006/relationships/hyperlink" Target="http://www.nevo.co.il/law/70301/gC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2515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70301/99" TargetMode="External"/><Relationship Id="rId13" Type="http://schemas.openxmlformats.org/officeDocument/2006/relationships/hyperlink" Target="http://www.nevo.co.il/law/70301/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g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787919" TargetMode="External"/><Relationship Id="rId18" Type="http://schemas.openxmlformats.org/officeDocument/2006/relationships/hyperlink" Target="http://www.nevo.co.il/case/24493262" TargetMode="External"/><Relationship Id="rId19" Type="http://schemas.openxmlformats.org/officeDocument/2006/relationships/hyperlink" Target="http://www.nevo.co.il/case/21477086" TargetMode="External"/><Relationship Id="rId20" Type="http://schemas.openxmlformats.org/officeDocument/2006/relationships/hyperlink" Target="http://www.nevo.co.il/case/13104258" TargetMode="External"/><Relationship Id="rId21" Type="http://schemas.openxmlformats.org/officeDocument/2006/relationships/hyperlink" Target="http://www.nevo.co.il/case/21476340" TargetMode="External"/><Relationship Id="rId22" Type="http://schemas.openxmlformats.org/officeDocument/2006/relationships/hyperlink" Target="http://www.nevo.co.il/case/5997536" TargetMode="External"/><Relationship Id="rId23" Type="http://schemas.openxmlformats.org/officeDocument/2006/relationships/hyperlink" Target="http://www.nevo.co.il/case/21472947" TargetMode="External"/><Relationship Id="rId24" Type="http://schemas.openxmlformats.org/officeDocument/2006/relationships/hyperlink" Target="http://www.nevo.co.il/case/24975726" TargetMode="External"/><Relationship Id="rId25" Type="http://schemas.openxmlformats.org/officeDocument/2006/relationships/hyperlink" Target="http://www.nevo.co.il/case/5594675" TargetMode="External"/><Relationship Id="rId26" Type="http://schemas.openxmlformats.org/officeDocument/2006/relationships/hyperlink" Target="http://www.nevo.co.il/case/2237972" TargetMode="External"/><Relationship Id="rId27" Type="http://schemas.openxmlformats.org/officeDocument/2006/relationships/hyperlink" Target="http://www.nevo.co.il/case/24263410" TargetMode="External"/><Relationship Id="rId28" Type="http://schemas.openxmlformats.org/officeDocument/2006/relationships/hyperlink" Target="http://www.nevo.co.il/case/6239005" TargetMode="External"/><Relationship Id="rId29" Type="http://schemas.openxmlformats.org/officeDocument/2006/relationships/hyperlink" Target="http://www.nevo.co.il/case/20911359" TargetMode="External"/><Relationship Id="rId30" Type="http://schemas.openxmlformats.org/officeDocument/2006/relationships/hyperlink" Target="http://www.nevo.co.il/case/18067750" TargetMode="External"/><Relationship Id="rId31" Type="http://schemas.openxmlformats.org/officeDocument/2006/relationships/hyperlink" Target="http://www.nevo.co.il/case/5849797" TargetMode="External"/><Relationship Id="rId32" Type="http://schemas.openxmlformats.org/officeDocument/2006/relationships/hyperlink" Target="http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2019-09-18T10:23:00Z</dcterms:created>
  <dc:creator>h4</dc:creator>
  <dc:description/>
  <cp:keywords/>
  <dc:language>en-IL</dc:language>
  <cp:lastModifiedBy>orly</cp:lastModifiedBy>
  <cp:lastPrinted>2019-09-15T13:32:00Z</cp:lastPrinted>
  <dcterms:modified xsi:type="dcterms:W3CDTF">2019-09-18T10:23:00Z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20787919;24493262;21477086;13104258;21476340;5997536;21472947;24975726;5594675;2237972;24263410;6239005;20911359;18067750;5849797</vt:lpwstr>
  </property>
  <property fmtid="{D5CDD505-2E9C-101B-9397-08002B2CF9AE}" pid="9" name="CITY">
    <vt:lpwstr/>
  </property>
  <property fmtid="{D5CDD505-2E9C-101B-9397-08002B2CF9AE}" pid="10" name="DATE">
    <vt:lpwstr>20190915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ברון;י' אלרון</vt:lpwstr>
  </property>
  <property fmtid="{D5CDD505-2E9C-101B-9397-08002B2CF9AE}" pid="14" name="LAWLISTTMP1">
    <vt:lpwstr>73729</vt:lpwstr>
  </property>
  <property fmtid="{D5CDD505-2E9C-101B-9397-08002B2CF9AE}" pid="15" name="LAWLISTTMP2">
    <vt:lpwstr>72515</vt:lpwstr>
  </property>
  <property fmtid="{D5CDD505-2E9C-101B-9397-08002B2CF9AE}" pid="16" name="LAWLISTTMP3">
    <vt:lpwstr>141771</vt:lpwstr>
  </property>
  <property fmtid="{D5CDD505-2E9C-101B-9397-08002B2CF9AE}" pid="17" name="LAWLISTTMP4">
    <vt:lpwstr>70301/099;092;gC</vt:lpwstr>
  </property>
  <property fmtid="{D5CDD505-2E9C-101B-9397-08002B2CF9AE}" pid="18" name="LAWYER">
    <vt:lpwstr>רוני זלושינסקי;רמזי קטילאת;עומר חימאיסי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עבירות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1446;1446;1446;1446;1443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 לחומרה</vt:lpwstr>
  </property>
  <property fmtid="{D5CDD505-2E9C-101B-9397-08002B2CF9AE}" pid="54" name="NOSE33">
    <vt:lpwstr>מדיניות ענישה: התערבות ערכאת ערעור</vt:lpwstr>
  </property>
  <property fmtid="{D5CDD505-2E9C-101B-9397-08002B2CF9AE}" pid="55" name="NOSE34">
    <vt:lpwstr>מדיניות ענישה: קטינים</vt:lpwstr>
  </property>
  <property fmtid="{D5CDD505-2E9C-101B-9397-08002B2CF9AE}" pid="56" name="NOSE35">
    <vt:lpwstr>סיוע לאויב במלחמה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8985;8995;8982;15724;8873</vt:lpwstr>
  </property>
  <property fmtid="{D5CDD505-2E9C-101B-9397-08002B2CF9AE}" pid="62" name="PADIDATE">
    <vt:lpwstr>20190918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9035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410120190915</vt:lpwstr>
  </property>
  <property fmtid="{D5CDD505-2E9C-101B-9397-08002B2CF9AE}" pid="72" name="TYPE_N_DATE">
    <vt:lpwstr>41020190915</vt:lpwstr>
  </property>
  <property fmtid="{D5CDD505-2E9C-101B-9397-08002B2CF9AE}" pid="73" name="VOLUME">
    <vt:lpwstr/>
  </property>
  <property fmtid="{D5CDD505-2E9C-101B-9397-08002B2CF9AE}" pid="74" name="WORDNUMPAGES">
    <vt:lpwstr>10</vt:lpwstr>
  </property>
</Properties>
</file>