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9045/16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אדנני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הכרעת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בבאר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שבע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15.6.2016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10.10.2016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7117-01-15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זלוצ</w:t>
            </w:r>
            <w:r>
              <w:rPr>
                <w:rFonts w:cs="Miriam"/>
                <w:sz w:val="28"/>
                <w:szCs w:val="24"/>
                <w:rtl w:val="true"/>
              </w:rPr>
              <w:t>'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ובר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רז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וש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</w:p>
        </w:tc>
      </w:tr>
    </w:tbl>
    <w:p>
      <w:pPr>
        <w:pStyle w:val="DocumentHead"/>
        <w:ind w:end="0"/>
        <w:jc w:val="center"/>
        <w:rPr>
          <w:bCs w:val="false"/>
          <w:u w:val="none"/>
        </w:rPr>
      </w:pPr>
      <w:r>
        <w:rPr>
          <w:bCs w:val="false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25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6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186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244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301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305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407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408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הדרוש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שפיות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ניסיון לרצח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אחריות פלילית – כשירות לעמוד לדין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החלטה להמית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במימצאים המבוססים על חוות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כניסה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והתפרצות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ושיבוש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8.5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תחולתו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אי־שפיות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הדרוש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לסבול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ממחלה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מליקוי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בכושרו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השכלי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בפעירתו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פטירתו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הפנימי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המעניקה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השפעת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גיבוש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נשללת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תחולתו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היסטוריה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נרחבת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ממחלה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העדפת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מומחים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נוגדת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מומחה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רשימה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הדגשה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תמעט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פסיכיאטריות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עריכת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מעמדו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המקצועי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המומחה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הטעונה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שהפסיכיאטריה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מדויק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להשקיף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בחשדנות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פסיכיאטרית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שמתיימרת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תשובה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נחרצת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התעלמות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מתזות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נוגדות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ומספקות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הלימה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מתיישבת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תידחה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להפריך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רצוף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בסממנים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המעידים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לפסול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הפסיכיאטריות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העדיף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המומחים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שסברו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אי־שפיות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התרחשות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תתגשם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5031/01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וספונטני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ומחושב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הדרוש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באכזריות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ליטול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לפטרו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תכנן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יוציא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מזימתו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וימלט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וחמיקה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אבחנתו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כחולה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בסכיזופרניה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ובהשפעה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>
          <w:sz w:val="32"/>
          <w:szCs w:val="32"/>
        </w:rPr>
      </w:pPr>
      <w:bookmarkStart w:id="14" w:name="PsakDin"/>
      <w:bookmarkStart w:id="15" w:name="LawTable_End"/>
      <w:bookmarkEnd w:id="14"/>
      <w:bookmarkEnd w:id="15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bookmarkStart w:id="21" w:name="_GoBack"/>
      <w:bookmarkEnd w:id="21"/>
      <w:r>
        <w:rPr>
          <w:rtl w:val="true"/>
        </w:rPr>
        <w:t>עניינו של הערעור שלפנינו בתחולתו של סייג אי־שפיות הדעת על אדם אשר שיסף את גרונו של אחר בעקבות פיטוריו מהעבודה</w:t>
      </w:r>
      <w:r>
        <w:rPr>
          <w:rtl w:val="true"/>
        </w:rPr>
        <w:t xml:space="preserve">, </w:t>
      </w:r>
      <w:r>
        <w:rPr>
          <w:rtl w:val="true"/>
        </w:rPr>
        <w:t>ובשאלה האם מתקיים בו יסוד ה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 </w:t>
      </w:r>
      <w:r>
        <w:rPr>
          <w:rtl w:val="true"/>
        </w:rPr>
        <w:t>הדרוש לשם הרשעה בעבירת ניסיון לרצח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רקע מחלת הנפש בה לוקה מבצע העבירה</w:t>
      </w:r>
      <w:r>
        <w:rPr>
          <w:rtl w:val="true"/>
        </w:rPr>
        <w:t xml:space="preserve">, </w:t>
      </w:r>
      <w:r>
        <w:rPr>
          <w:rtl w:val="true"/>
        </w:rPr>
        <w:t>אשר אינה שנויה במחלוקת בין הצדדים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בהכרעת דינו ב</w:t>
      </w:r>
      <w:hyperlink r:id="rId1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7117-01-15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15.6.2016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פה אחד על ידי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פרידלנדר</w:t>
      </w:r>
      <w:r>
        <w:rPr>
          <w:rtl w:val="true"/>
        </w:rPr>
        <w:t xml:space="preserve">), </w:t>
      </w:r>
      <w:r>
        <w:rPr>
          <w:rtl w:val="true"/>
        </w:rPr>
        <w:t>לאחר ניהול הוכחות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 שבהן הורשע המערער הן עבירת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החזקת סכין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כניסה והתפרצות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בגזר דינו מיום </w:t>
      </w:r>
      <w:r>
        <w:rPr/>
        <w:t>10.10.2016</w:t>
      </w:r>
      <w:r>
        <w:rPr>
          <w:rtl w:val="true"/>
        </w:rPr>
        <w:t xml:space="preserve">, </w:t>
      </w:r>
      <w:r>
        <w:rPr>
          <w:rtl w:val="true"/>
        </w:rPr>
        <w:t>השית בית משפט קמא על המערער שמונה וחצי שנות מאסר בפועל</w:t>
      </w:r>
      <w:r>
        <w:rPr>
          <w:rtl w:val="true"/>
        </w:rPr>
        <w:t xml:space="preserve">; </w:t>
      </w:r>
      <w:r>
        <w:rPr>
          <w:rtl w:val="true"/>
        </w:rPr>
        <w:t>הפעלה במצטבר של ארבעה חודשי מאסר על תנאי</w:t>
      </w:r>
      <w:r>
        <w:rPr>
          <w:rtl w:val="true"/>
        </w:rPr>
        <w:t xml:space="preserve">, </w:t>
      </w:r>
      <w:r>
        <w:rPr>
          <w:rtl w:val="true"/>
        </w:rPr>
        <w:t>אשר הושתו עליו עקב הרשעה קודמת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שלא יעבור עבירת אלימות מסוג פשע</w:t>
      </w:r>
      <w:r>
        <w:rPr>
          <w:rtl w:val="true"/>
        </w:rPr>
        <w:t xml:space="preserve">; </w:t>
      </w:r>
      <w:r>
        <w:rPr>
          <w:rtl w:val="true"/>
        </w:rPr>
        <w:t xml:space="preserve">וחיוב בתשלום פיצוי בסך של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לטובת 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עבד המערער כמנהל עבודה במפעל עד לפיטוריו ביום </w:t>
      </w:r>
      <w:r>
        <w:rPr/>
        <w:t>16.12.2014</w:t>
      </w:r>
      <w:r>
        <w:rPr>
          <w:rtl w:val="true"/>
        </w:rPr>
        <w:t xml:space="preserve"> </w:t>
      </w:r>
      <w:r>
        <w:rPr>
          <w:rtl w:val="true"/>
        </w:rPr>
        <w:t>על ידי המתלונן</w:t>
      </w:r>
      <w:r>
        <w:rPr>
          <w:rtl w:val="true"/>
        </w:rPr>
        <w:t xml:space="preserve">. </w:t>
      </w:r>
      <w:r>
        <w:rPr>
          <w:rtl w:val="true"/>
        </w:rPr>
        <w:t>בשל כעסו של המערער על אודות פיטוריו</w:t>
      </w:r>
      <w:r>
        <w:rPr>
          <w:rtl w:val="true"/>
        </w:rPr>
        <w:t xml:space="preserve">, </w:t>
      </w:r>
      <w:r>
        <w:rPr>
          <w:rtl w:val="true"/>
        </w:rPr>
        <w:t>החליט בסמוך לכך לרצוח את המתלונן</w:t>
      </w:r>
      <w:r>
        <w:rPr>
          <w:rtl w:val="true"/>
        </w:rPr>
        <w:t xml:space="preserve">. </w:t>
      </w:r>
      <w:r>
        <w:rPr>
          <w:rtl w:val="true"/>
        </w:rPr>
        <w:t>לשם כך בחן את דרכי הכניסה האפשריות למפעל</w:t>
      </w:r>
      <w:r>
        <w:rPr>
          <w:rtl w:val="true"/>
        </w:rPr>
        <w:t xml:space="preserve">, </w:t>
      </w:r>
      <w:r>
        <w:rPr>
          <w:rtl w:val="true"/>
        </w:rPr>
        <w:t>ותכנן להיכנס אליו לשם רציחת המתלונן על ידי טיפוס מעל גדרותיו</w:t>
      </w:r>
      <w:r>
        <w:rPr>
          <w:rtl w:val="true"/>
        </w:rPr>
        <w:t xml:space="preserve">, </w:t>
      </w:r>
      <w:r>
        <w:rPr>
          <w:rtl w:val="true"/>
        </w:rPr>
        <w:t>להסתוות כאחד העובדים בעוד בבגדיו מוסתרת סכין</w:t>
      </w:r>
      <w:r>
        <w:rPr>
          <w:rtl w:val="true"/>
        </w:rPr>
        <w:t xml:space="preserve">, </w:t>
      </w:r>
      <w:r>
        <w:rPr>
          <w:rtl w:val="true"/>
        </w:rPr>
        <w:t>ולשסף את גרונו של המתלונן לאחר איתורו</w:t>
      </w:r>
      <w:r>
        <w:rPr>
          <w:rtl w:val="true"/>
        </w:rPr>
        <w:t xml:space="preserve">. </w:t>
      </w:r>
      <w:r>
        <w:rPr>
          <w:rtl w:val="true"/>
        </w:rPr>
        <w:t>כן החליט המערער לרכוש סכין יפנית לשם 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בה הצטייד ביום </w:t>
      </w:r>
      <w:r>
        <w:rPr/>
        <w:t>26.12.2014</w:t>
      </w:r>
      <w:r>
        <w:rPr>
          <w:rtl w:val="true"/>
        </w:rPr>
        <w:t xml:space="preserve"> </w:t>
      </w:r>
      <w:r>
        <w:rPr>
          <w:rtl w:val="true"/>
        </w:rPr>
        <w:t>או בסמוך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28.12.2014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8:30</w:t>
      </w:r>
      <w:r>
        <w:rPr>
          <w:rtl w:val="true"/>
        </w:rPr>
        <w:t xml:space="preserve">, </w:t>
      </w:r>
      <w:r>
        <w:rPr>
          <w:rtl w:val="true"/>
        </w:rPr>
        <w:t>הגיע המערער אל המפעל כשהוא מחזיק בבגדיו בסכין</w:t>
      </w:r>
      <w:r>
        <w:rPr>
          <w:rtl w:val="true"/>
        </w:rPr>
        <w:t xml:space="preserve">. </w:t>
      </w:r>
      <w:r>
        <w:rPr>
          <w:rtl w:val="true"/>
        </w:rPr>
        <w:t>הלה טיפס מעל גדרות המפעל כפי שתכנן</w:t>
      </w:r>
      <w:r>
        <w:rPr>
          <w:rtl w:val="true"/>
        </w:rPr>
        <w:t xml:space="preserve">, </w:t>
      </w:r>
      <w:r>
        <w:rPr>
          <w:rtl w:val="true"/>
        </w:rPr>
        <w:t>וניגש אל עמדת רישום הנוכחות של המפעל</w:t>
      </w:r>
      <w:r>
        <w:rPr>
          <w:rtl w:val="true"/>
        </w:rPr>
        <w:t xml:space="preserve">, </w:t>
      </w:r>
      <w:r>
        <w:rPr>
          <w:rtl w:val="true"/>
        </w:rPr>
        <w:t>אשר מופעלת באמצעות זיהוי טביעת אצבע</w:t>
      </w:r>
      <w:r>
        <w:rPr>
          <w:rtl w:val="true"/>
        </w:rPr>
        <w:t xml:space="preserve">. </w:t>
      </w:r>
      <w:r>
        <w:rPr>
          <w:rtl w:val="true"/>
        </w:rPr>
        <w:t>משהבחין כי החיישן אינו מזהה את טביעת אצבעו</w:t>
      </w:r>
      <w:r>
        <w:rPr>
          <w:rtl w:val="true"/>
        </w:rPr>
        <w:t xml:space="preserve">, </w:t>
      </w:r>
      <w:r>
        <w:rPr>
          <w:rtl w:val="true"/>
        </w:rPr>
        <w:t>שפך המערער דלי מים על המכשיר</w:t>
      </w:r>
      <w:r>
        <w:rPr>
          <w:rtl w:val="true"/>
        </w:rPr>
        <w:t xml:space="preserve">, </w:t>
      </w:r>
      <w:r>
        <w:rPr>
          <w:rtl w:val="true"/>
        </w:rPr>
        <w:t>על מנת לוודא שלא ייוותרו על גביו סימני טביעת אצבע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לבש המערער חלוק כיתר עובדי המפעל</w:t>
      </w:r>
      <w:r>
        <w:rPr>
          <w:rtl w:val="true"/>
        </w:rPr>
        <w:t xml:space="preserve">, </w:t>
      </w:r>
      <w:r>
        <w:rPr>
          <w:rtl w:val="true"/>
        </w:rPr>
        <w:t>במטרה להיטמע ביניהם עד למימוש תוכניתו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בסמוך לשעה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הבחין המתלונן במערער והורה לאחרון להמתין בחצר המפעל</w:t>
      </w:r>
      <w:r>
        <w:rPr>
          <w:rtl w:val="true"/>
        </w:rPr>
        <w:t xml:space="preserve">. </w:t>
      </w:r>
      <w:r>
        <w:rPr>
          <w:rtl w:val="true"/>
        </w:rPr>
        <w:t>השניים שוחחו בחצר</w:t>
      </w:r>
      <w:r>
        <w:rPr>
          <w:rtl w:val="true"/>
        </w:rPr>
        <w:t xml:space="preserve">, </w:t>
      </w:r>
      <w:r>
        <w:rPr>
          <w:rtl w:val="true"/>
        </w:rPr>
        <w:t>תוך שהמתלונן הבהיר למערער כי עבודתו במקום הסתיימה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ניגש המערער לשירותי המפעל</w:t>
      </w:r>
      <w:r>
        <w:rPr>
          <w:rtl w:val="true"/>
        </w:rPr>
        <w:t xml:space="preserve">, </w:t>
      </w:r>
      <w:r>
        <w:rPr>
          <w:rtl w:val="true"/>
        </w:rPr>
        <w:t>שם שלף את הסכין שבה הצטייד</w:t>
      </w:r>
      <w:r>
        <w:rPr>
          <w:rtl w:val="true"/>
        </w:rPr>
        <w:t xml:space="preserve">. </w:t>
      </w:r>
      <w:r>
        <w:rPr>
          <w:rtl w:val="true"/>
        </w:rPr>
        <w:t>המערער שב לחצר</w:t>
      </w:r>
      <w:r>
        <w:rPr>
          <w:rtl w:val="true"/>
        </w:rPr>
        <w:t xml:space="preserve">, </w:t>
      </w:r>
      <w:r>
        <w:rPr>
          <w:rtl w:val="true"/>
        </w:rPr>
        <w:t>בה נשאר המתלונן בעקבות שיחתם</w:t>
      </w:r>
      <w:r>
        <w:rPr>
          <w:rtl w:val="true"/>
        </w:rPr>
        <w:t xml:space="preserve">, </w:t>
      </w:r>
      <w:r>
        <w:rPr>
          <w:rtl w:val="true"/>
        </w:rPr>
        <w:t>ניגש אל האחרון כשגבו מופנה אליו</w:t>
      </w:r>
      <w:r>
        <w:rPr>
          <w:rtl w:val="true"/>
        </w:rPr>
        <w:t xml:space="preserve">, </w:t>
      </w:r>
      <w:r>
        <w:rPr>
          <w:rtl w:val="true"/>
        </w:rPr>
        <w:t>אחז בו מאחור בידו האחת ושיסף את גרונו בידו השנייה</w:t>
      </w:r>
      <w:r>
        <w:rPr>
          <w:rtl w:val="true"/>
        </w:rPr>
        <w:t xml:space="preserve">. </w:t>
      </w:r>
      <w:r>
        <w:rPr>
          <w:rtl w:val="true"/>
        </w:rPr>
        <w:t>בעוד המתלונן נופל על הארץ ואוחז בגרונו כדי לעצור את הדם הרב שניגר מפצעו</w:t>
      </w:r>
      <w:r>
        <w:rPr>
          <w:rtl w:val="true"/>
        </w:rPr>
        <w:t xml:space="preserve">, </w:t>
      </w:r>
      <w:r>
        <w:rPr>
          <w:rtl w:val="true"/>
        </w:rPr>
        <w:t>חמק המערער מעל לגדרות המפעל וברח לעבר תחנת האוטובוס הסמוכה</w:t>
      </w:r>
      <w:r>
        <w:rPr>
          <w:rtl w:val="true"/>
        </w:rPr>
        <w:t xml:space="preserve">. </w:t>
      </w:r>
      <w:r>
        <w:rPr>
          <w:rtl w:val="true"/>
        </w:rPr>
        <w:t>עובדי המפעל</w:t>
      </w:r>
      <w:r>
        <w:rPr>
          <w:rtl w:val="true"/>
        </w:rPr>
        <w:t xml:space="preserve">, </w:t>
      </w:r>
      <w:r>
        <w:rPr>
          <w:rtl w:val="true"/>
        </w:rPr>
        <w:t>אשר דלקו אחריו</w:t>
      </w:r>
      <w:r>
        <w:rPr>
          <w:rtl w:val="true"/>
        </w:rPr>
        <w:t xml:space="preserve">, </w:t>
      </w:r>
      <w:r>
        <w:rPr>
          <w:rtl w:val="true"/>
        </w:rPr>
        <w:t>הצליחו לאתרו בשטח המפעל ותפסוהו עד להגעת אנשי 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משריריו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ובווריד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בפתח הכרעת דינו הבהיר בית משפט קמא כי הצדדים אינם חלוקים ביחס לביצוע המעשים המתוארים בכתב האישום על ידי המערער</w:t>
      </w:r>
      <w:r>
        <w:rPr>
          <w:rtl w:val="true"/>
        </w:rPr>
        <w:t xml:space="preserve">, </w:t>
      </w:r>
      <w:r>
        <w:rPr>
          <w:rtl w:val="true"/>
        </w:rPr>
        <w:t>כמו גם בהתייחס לרקעו הרפואי</w:t>
      </w:r>
      <w:r>
        <w:rPr>
          <w:rtl w:val="true"/>
        </w:rPr>
        <w:t xml:space="preserve">, </w:t>
      </w:r>
      <w:r>
        <w:rPr>
          <w:rtl w:val="true"/>
        </w:rPr>
        <w:t>אשר כולל אבחון כחולה במחלת נפש</w:t>
      </w:r>
      <w:r>
        <w:rPr>
          <w:rtl w:val="true"/>
        </w:rPr>
        <w:t xml:space="preserve">. </w:t>
      </w:r>
      <w:r>
        <w:rPr>
          <w:rtl w:val="true"/>
        </w:rPr>
        <w:t>בית משפט קמא פנה אפוא לבחון את מצבו הנפשי של המערער בעת ביצוע העבירה ולהכריע במחלוקת בדבר תחולתו של סייג אי־שפיות הדעת</w:t>
      </w:r>
      <w:r>
        <w:rPr>
          <w:rtl w:val="true"/>
        </w:rPr>
        <w:t xml:space="preserve">, </w:t>
      </w:r>
      <w:r>
        <w:rPr>
          <w:rtl w:val="true"/>
        </w:rPr>
        <w:t xml:space="preserve">הקבוע </w:t>
      </w:r>
      <w:hyperlink r:id="rId2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שסקר את המסגרת הנורמטיבית הצריכה לעניין</w:t>
      </w:r>
      <w:r>
        <w:rPr>
          <w:rtl w:val="true"/>
        </w:rPr>
        <w:t xml:space="preserve">, </w:t>
      </w:r>
      <w:r>
        <w:rPr>
          <w:rtl w:val="true"/>
        </w:rPr>
        <w:t>דן בית משפט קמא בהרחבה בחוות הדעת הפסיכיאטריות אשר הוגשו לעיונו</w:t>
      </w:r>
      <w:r>
        <w:rPr>
          <w:rtl w:val="true"/>
        </w:rPr>
        <w:t xml:space="preserve">, </w:t>
      </w:r>
      <w:r>
        <w:rPr>
          <w:rtl w:val="true"/>
        </w:rPr>
        <w:t>תוך שניתח את ממצאיהן ועמד על מהימנותן ומקצועיותן</w:t>
      </w:r>
      <w:r>
        <w:rPr>
          <w:rtl w:val="true"/>
        </w:rPr>
        <w:t xml:space="preserve">. </w:t>
      </w:r>
      <w:r>
        <w:rPr>
          <w:rtl w:val="true"/>
        </w:rPr>
        <w:t>הגם שהוצגו בפניו דעות חולקות בהתייחס למצבו הנפשי של הנאשם</w:t>
      </w:r>
      <w:r>
        <w:rPr>
          <w:rtl w:val="true"/>
        </w:rPr>
        <w:t xml:space="preserve">, </w:t>
      </w:r>
      <w:r>
        <w:rPr>
          <w:rtl w:val="true"/>
        </w:rPr>
        <w:t>קבע בית משפט קמא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>כי המערער לא היה במצב פסיכוטי בעת ביצוע העבירה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 xml:space="preserve">הטעים כי אף אם היה מניח לטובת המערער כי אכן סבל בעת מעשיו ממחלת נפש פעילה </w:t>
      </w:r>
      <w:r>
        <w:rPr>
          <w:rtl w:val="true"/>
        </w:rPr>
        <w:t>–</w:t>
      </w:r>
      <w:r>
        <w:rPr>
          <w:rtl w:val="true"/>
        </w:rPr>
        <w:t xml:space="preserve"> לא הוכח בפניו די הצורך כי מחלה זו היא שהביאה אותו לבצע את המעשים המתוארים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את מסקנותיו אלו השתית בית משפט קמא על הניתוח שערך לחוות הדעת הפסיכיאטריות</w:t>
      </w:r>
      <w:r>
        <w:rPr>
          <w:rtl w:val="true"/>
        </w:rPr>
        <w:t xml:space="preserve">, </w:t>
      </w:r>
      <w:r>
        <w:rPr>
          <w:rtl w:val="true"/>
        </w:rPr>
        <w:t>ובכלל זאת הפגמים שנמצאו בחוות הדעת שהוגשה מטעם ההגנה</w:t>
      </w:r>
      <w:r>
        <w:rPr>
          <w:rtl w:val="true"/>
        </w:rPr>
        <w:t xml:space="preserve">; </w:t>
      </w:r>
      <w:r>
        <w:rPr>
          <w:rtl w:val="true"/>
        </w:rPr>
        <w:t>על מארג הראיות ביחס לנסיבות האירוע ולהתנהגות המערער</w:t>
      </w:r>
      <w:r>
        <w:rPr>
          <w:rtl w:val="true"/>
        </w:rPr>
        <w:t xml:space="preserve">, </w:t>
      </w:r>
      <w:r>
        <w:rPr>
          <w:rtl w:val="true"/>
        </w:rPr>
        <w:t>אשר הצביעו על כשירות לשאת באחריות פלילית</w:t>
      </w:r>
      <w:r>
        <w:rPr>
          <w:rtl w:val="true"/>
        </w:rPr>
        <w:t xml:space="preserve">; </w:t>
      </w:r>
      <w:r>
        <w:rPr>
          <w:rtl w:val="true"/>
        </w:rPr>
        <w:t>וכן על סירובו של המערער להעיד בבית המשפט</w:t>
      </w:r>
      <w:r>
        <w:rPr>
          <w:rtl w:val="true"/>
        </w:rPr>
        <w:t xml:space="preserve">, </w:t>
      </w:r>
      <w:r>
        <w:rPr>
          <w:rtl w:val="true"/>
        </w:rPr>
        <w:t>בו היה כדי לחזק את ראיות התביעה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פסק בית משפט קמא כי לא עומד למערער סייג אי־שפיות הדעת</w:t>
      </w:r>
      <w:r>
        <w:rPr>
          <w:rtl w:val="true"/>
        </w:rPr>
        <w:t xml:space="preserve">, </w:t>
      </w:r>
      <w:r>
        <w:rPr>
          <w:rtl w:val="true"/>
        </w:rPr>
        <w:t>והרשיע אותו בביצוע העבירות שבהן הואשם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בגזר דינו עמד בית משפט קמא על הערכים החברתיים אשר נפגעו כתוצאה מביצוע העבירות שבהן הורשע המערער</w:t>
      </w:r>
      <w:r>
        <w:rPr>
          <w:rtl w:val="true"/>
        </w:rPr>
        <w:t xml:space="preserve">, </w:t>
      </w:r>
      <w:r>
        <w:rPr>
          <w:rtl w:val="true"/>
        </w:rPr>
        <w:t>ובהם קדושת החיים וזכותו של המתלונן לביטחון ולשלמות הגוף</w:t>
      </w:r>
      <w:r>
        <w:rPr>
          <w:rtl w:val="true"/>
        </w:rPr>
        <w:t xml:space="preserve">; </w:t>
      </w:r>
      <w:r>
        <w:rPr>
          <w:rtl w:val="true"/>
        </w:rPr>
        <w:t>התייחס לנסיבות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ובכללן ההכנות המקדימות להן והנזק החמור אשר נגרם למתלונן בעטיין</w:t>
      </w:r>
      <w:r>
        <w:rPr>
          <w:rtl w:val="true"/>
        </w:rPr>
        <w:t xml:space="preserve">; </w:t>
      </w:r>
      <w:r>
        <w:rPr>
          <w:rtl w:val="true"/>
        </w:rPr>
        <w:t>וסקר את מדיניות הענישה הנוהגת בעבירת הניסיון לרצח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מצא בית משפט קמא להתחשב</w:t>
      </w:r>
      <w:r>
        <w:rPr>
          <w:rtl w:val="true"/>
        </w:rPr>
        <w:t xml:space="preserve">, </w:t>
      </w:r>
      <w:r>
        <w:rPr>
          <w:rtl w:val="true"/>
        </w:rPr>
        <w:t>בעת קביעת מתחם הענישה</w:t>
      </w:r>
      <w:r>
        <w:rPr>
          <w:rtl w:val="true"/>
        </w:rPr>
        <w:t xml:space="preserve">, </w:t>
      </w:r>
      <w:r>
        <w:rPr>
          <w:rtl w:val="true"/>
        </w:rPr>
        <w:t>במצבו הנפשי של המערער ובקרבתו לסייג אי־שפיות הדעת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30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מתחם ענישה הנע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לריצוי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העונש המתאים למערער בתוך המתחם</w:t>
      </w:r>
      <w:r>
        <w:rPr>
          <w:rtl w:val="true"/>
        </w:rPr>
        <w:t xml:space="preserve">, </w:t>
      </w:r>
      <w:r>
        <w:rPr>
          <w:rtl w:val="true"/>
        </w:rPr>
        <w:t>נתן בית משפט קמא את דעתו</w:t>
      </w:r>
      <w:r>
        <w:rPr>
          <w:rtl w:val="true"/>
        </w:rPr>
        <w:t xml:space="preserve">, </w:t>
      </w:r>
      <w:r>
        <w:rPr>
          <w:rtl w:val="true"/>
        </w:rPr>
        <w:t>כשיקולים לקולה</w:t>
      </w:r>
      <w:r>
        <w:rPr>
          <w:rtl w:val="true"/>
        </w:rPr>
        <w:t xml:space="preserve">, </w:t>
      </w:r>
      <w:r>
        <w:rPr>
          <w:rtl w:val="true"/>
        </w:rPr>
        <w:t>לנסיבותיו האישיות והמשפחתיות הקשות</w:t>
      </w:r>
      <w:r>
        <w:rPr>
          <w:rtl w:val="true"/>
        </w:rPr>
        <w:t xml:space="preserve">; </w:t>
      </w:r>
      <w:r>
        <w:rPr>
          <w:rtl w:val="true"/>
        </w:rPr>
        <w:t>להודאתו בביצוע המעשים</w:t>
      </w:r>
      <w:r>
        <w:rPr>
          <w:rtl w:val="true"/>
        </w:rPr>
        <w:t xml:space="preserve">, </w:t>
      </w:r>
      <w:r>
        <w:rPr>
          <w:rtl w:val="true"/>
        </w:rPr>
        <w:t>שבעטיה התמקד ההליך המשפטי בהכרעה בדבר מצבו הנפשי</w:t>
      </w:r>
      <w:r>
        <w:rPr>
          <w:rtl w:val="true"/>
        </w:rPr>
        <w:t xml:space="preserve">; </w:t>
      </w:r>
      <w:r>
        <w:rPr>
          <w:rtl w:val="true"/>
        </w:rPr>
        <w:t>ולחרטה שהביע על 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 כשיקול לחומרה את הרשעתו הקודמת של המערער</w:t>
      </w:r>
      <w:r>
        <w:rPr>
          <w:rtl w:val="true"/>
        </w:rPr>
        <w:t xml:space="preserve">, </w:t>
      </w:r>
      <w:r>
        <w:rPr>
          <w:rtl w:val="true"/>
        </w:rPr>
        <w:t>בגינה ריצה עונש מאסר בפועל ונידון לעונש מאסר על תנאי</w:t>
      </w:r>
      <w:r>
        <w:rPr>
          <w:rtl w:val="true"/>
        </w:rPr>
        <w:t xml:space="preserve">, </w:t>
      </w:r>
      <w:r>
        <w:rPr>
          <w:rtl w:val="true"/>
        </w:rPr>
        <w:t>אשר היה בר</w:t>
      </w:r>
      <w:r>
        <w:rPr>
          <w:rtl w:val="true"/>
        </w:rPr>
        <w:t>-</w:t>
      </w:r>
      <w:r>
        <w:rPr>
          <w:rtl w:val="true"/>
        </w:rPr>
        <w:t>הפעלה בהליך זה</w:t>
      </w:r>
      <w:r>
        <w:rPr>
          <w:rtl w:val="true"/>
        </w:rPr>
        <w:t xml:space="preserve">. </w:t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גזר בית משפט קמא על המערער את העונשים שפורטו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בערעורו כלפי הכרעת דינו המרשיעה של בית משפט קמא</w:t>
      </w:r>
      <w:r>
        <w:rPr>
          <w:rtl w:val="true"/>
        </w:rPr>
        <w:t xml:space="preserve">, </w:t>
      </w:r>
      <w:r>
        <w:rPr>
          <w:rtl w:val="true"/>
        </w:rPr>
        <w:t>משיג המערער על דחיית טענתו לתחולתו של סייג אי־שפיות הדעת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עלה בידו להניח תשתית ראייתית מספקת כדי לקבוע כי אכן היה שרוי במצב פסיכוטי בעת ביצוע העבירות</w:t>
      </w:r>
      <w:r>
        <w:rPr>
          <w:rtl w:val="true"/>
        </w:rPr>
        <w:t xml:space="preserve">, </w:t>
      </w:r>
      <w:r>
        <w:rPr>
          <w:rtl w:val="true"/>
        </w:rPr>
        <w:t>וכי מצבו זה הוא שהוביל אותו למעשים שתוארו בכתב האישום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מצביע על הקביעות המנויות לאורכן של חוות הדעת הפסיכיאטריות אשר הוגשו בעניינו</w:t>
      </w:r>
      <w:r>
        <w:rPr>
          <w:rtl w:val="true"/>
        </w:rPr>
        <w:t xml:space="preserve">, </w:t>
      </w:r>
      <w:r>
        <w:rPr>
          <w:rtl w:val="true"/>
        </w:rPr>
        <w:t>בהן יש כדי לתמוך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במסקנה זו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 המערער כי בית משפט קמא ייחס משקל יתר לממצאי בדיקתו על ידי מתמחה בפסיכיאטריה במיון במרכז לבריאות הנפש בסמוך לאחר האירוע</w:t>
      </w:r>
      <w:r>
        <w:rPr>
          <w:rtl w:val="true"/>
        </w:rPr>
        <w:t xml:space="preserve">, </w:t>
      </w:r>
      <w:r>
        <w:rPr>
          <w:rtl w:val="true"/>
        </w:rPr>
        <w:t>בהדגישו את משכה הקצר של בדיקה זו</w:t>
      </w:r>
      <w:r>
        <w:rPr>
          <w:rtl w:val="true"/>
        </w:rPr>
        <w:t xml:space="preserve">, </w:t>
      </w:r>
      <w:r>
        <w:rPr>
          <w:rtl w:val="true"/>
        </w:rPr>
        <w:t>את חוסר היכרותה של המתמחה עם חומרי החקירה</w:t>
      </w:r>
      <w:r>
        <w:rPr>
          <w:rtl w:val="true"/>
        </w:rPr>
        <w:t xml:space="preserve">, </w:t>
      </w:r>
      <w:r>
        <w:rPr>
          <w:rtl w:val="true"/>
        </w:rPr>
        <w:t>ואת ניסיונה המקצועי המוגבל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מפנה המערער לעברו הפסיכיאטרי ולאשפוזיו הקודמים</w:t>
      </w:r>
      <w:r>
        <w:rPr>
          <w:rtl w:val="true"/>
        </w:rPr>
        <w:t xml:space="preserve">, </w:t>
      </w:r>
      <w:r>
        <w:rPr>
          <w:rtl w:val="true"/>
        </w:rPr>
        <w:t>בהם יש כדי לבסס לדידו את לקותו בפסיכוזה בדמות מחשבות שווא של רדיפה בעת ביצוע העבירות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 חולק על קביעת בית משפט קמא</w:t>
      </w:r>
      <w:r>
        <w:rPr>
          <w:rtl w:val="true"/>
        </w:rPr>
        <w:t xml:space="preserve">, </w:t>
      </w:r>
      <w:r>
        <w:rPr>
          <w:rtl w:val="true"/>
        </w:rPr>
        <w:t>שלפיה מלמד האופן המתוכנן והמדוקדק בו ביצע את מעשיו על כך שהבין את הפסול שבמעשיו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מנוגדת גישה זו לפסיקת בית משפט זה</w:t>
      </w:r>
      <w:r>
        <w:rPr>
          <w:rtl w:val="true"/>
        </w:rPr>
        <w:t xml:space="preserve">, </w:t>
      </w:r>
      <w:r>
        <w:rPr>
          <w:rtl w:val="true"/>
        </w:rPr>
        <w:t>לא כל שכן מאחר שהתכנון המקדים למעשיו התרחש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במהלך אותו יום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סבור המערער כי יש לזכותו מביצוע עבירת ניסיון לרצח בשל היעדרו של יסוד נפשי מתאים להוכחתה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שולל מצבו הנפשי את התגבשות רכיב ה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", </w:t>
      </w:r>
      <w:r>
        <w:rPr>
          <w:rtl w:val="true"/>
        </w:rPr>
        <w:t>אשר הכרחי לשם הרשעה בעבירה זו</w:t>
      </w:r>
      <w:r>
        <w:rPr>
          <w:rtl w:val="true"/>
        </w:rPr>
        <w:t xml:space="preserve">. </w:t>
      </w:r>
      <w:r>
        <w:rPr>
          <w:rtl w:val="true"/>
        </w:rPr>
        <w:t>את עמדתו מבקש המערער לתמוך בפסיקתו של בית משפט זה 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5031/01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פלונית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5031/01</w:t>
      </w:r>
      <w:r>
        <w:rPr>
          <w:rtl w:val="true"/>
        </w:rPr>
        <w:t xml:space="preserve">), </w:t>
      </w:r>
      <w:r>
        <w:rPr>
          <w:rtl w:val="true"/>
        </w:rPr>
        <w:t>בו זוכתה המערערת מעבירת הרצח מטעמים דומים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; </w:t>
      </w:r>
      <w:r>
        <w:rPr>
          <w:rtl w:val="true"/>
        </w:rPr>
        <w:t>וכן בנימוקי 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אשר הכיר בקרבתו לסייג אי־שפיות הדעת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טוען המערער כי לא ניתן די משקל למצבו הנפשי בעת קביעת מתחם הענישה</w:t>
      </w:r>
      <w:r>
        <w:rPr>
          <w:rtl w:val="true"/>
        </w:rPr>
        <w:t xml:space="preserve">. </w:t>
      </w:r>
      <w:r>
        <w:rPr>
          <w:rtl w:val="true"/>
        </w:rPr>
        <w:t>לפיכך מבקש המערער</w:t>
      </w:r>
      <w:r>
        <w:rPr>
          <w:rtl w:val="true"/>
        </w:rPr>
        <w:t xml:space="preserve">, </w:t>
      </w:r>
      <w:r>
        <w:rPr>
          <w:rtl w:val="true"/>
        </w:rPr>
        <w:t>היה ותיוותר הרשעתו על כנה</w:t>
      </w:r>
      <w:r>
        <w:rPr>
          <w:rtl w:val="true"/>
        </w:rPr>
        <w:t xml:space="preserve">, </w:t>
      </w:r>
      <w:r>
        <w:rPr>
          <w:rtl w:val="true"/>
        </w:rPr>
        <w:t>להפחית את עונשו לשש וחצי 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סבורה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. </w:t>
      </w:r>
      <w:r>
        <w:rPr>
          <w:rtl w:val="true"/>
        </w:rPr>
        <w:t>המשיבה חולקת על עמדת המערער</w:t>
      </w:r>
      <w:r>
        <w:rPr>
          <w:rtl w:val="true"/>
        </w:rPr>
        <w:t xml:space="preserve">, </w:t>
      </w:r>
      <w:r>
        <w:rPr>
          <w:rtl w:val="true"/>
        </w:rPr>
        <w:t>שלפיה היה נתון במצב פסיכוטי בעת ביצוע המעשים</w:t>
      </w:r>
      <w:r>
        <w:rPr>
          <w:rtl w:val="true"/>
        </w:rPr>
        <w:t xml:space="preserve">. </w:t>
      </w:r>
      <w:r>
        <w:rPr>
          <w:rtl w:val="true"/>
        </w:rPr>
        <w:t>בהיבט זה</w:t>
      </w:r>
      <w:r>
        <w:rPr>
          <w:rtl w:val="true"/>
        </w:rPr>
        <w:t xml:space="preserve">, </w:t>
      </w:r>
      <w:r>
        <w:rPr>
          <w:rtl w:val="true"/>
        </w:rPr>
        <w:t xml:space="preserve">סומכת המשיבה את ידיה על קביעות בית משפט קמא ביחס לחוות הדעת החולקות </w:t>
      </w:r>
      <w:r>
        <w:rPr>
          <w:rtl w:val="true"/>
        </w:rPr>
        <w:t>–</w:t>
      </w:r>
      <w:r>
        <w:rPr>
          <w:rtl w:val="true"/>
        </w:rPr>
        <w:t xml:space="preserve"> ובפרט ביחס לחוות דעתה של המתמחה בפסיכיאטריה אשר בדקה את המערער לראשונה </w:t>
      </w:r>
      <w:r>
        <w:rPr>
          <w:rtl w:val="true"/>
        </w:rPr>
        <w:t>–</w:t>
      </w:r>
      <w:r>
        <w:rPr>
          <w:rtl w:val="true"/>
        </w:rPr>
        <w:t xml:space="preserve"> קביעות שבהן אין זה מדרכה של ערכאת הערעור להתערב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המשיבה מדגישה כי על מנת לחסות תחת הסייג הקבוע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 די בכך שאדם סובל ממחלת נפש</w:t>
      </w:r>
      <w:r>
        <w:rPr>
          <w:rtl w:val="true"/>
        </w:rPr>
        <w:t xml:space="preserve">, </w:t>
      </w:r>
      <w:r>
        <w:rPr>
          <w:rtl w:val="true"/>
        </w:rPr>
        <w:t>אלא עליו להוכיח כי מחלה זו שללה ממנו את היכולת להבין את הפסול במעשיו או להימנע מביצועם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לא עמד המערער בנטל זה</w:t>
      </w:r>
      <w:r>
        <w:rPr>
          <w:rtl w:val="true"/>
        </w:rPr>
        <w:t xml:space="preserve">. </w:t>
      </w:r>
      <w:r>
        <w:rPr>
          <w:rtl w:val="true"/>
        </w:rPr>
        <w:t>המשיבה מציינת כי עמדתה נתמכת בחוות דעתו של הפסיכיאטר המחוזי</w:t>
      </w:r>
      <w:r>
        <w:rPr>
          <w:rtl w:val="true"/>
        </w:rPr>
        <w:t xml:space="preserve">, </w:t>
      </w:r>
      <w:r>
        <w:rPr>
          <w:rtl w:val="true"/>
        </w:rPr>
        <w:t>כמו גם בהתנהלותו הסדורה של המערער</w:t>
      </w:r>
      <w:r>
        <w:rPr>
          <w:rtl w:val="true"/>
        </w:rPr>
        <w:t xml:space="preserve">. </w:t>
      </w:r>
      <w:r>
        <w:rPr>
          <w:rtl w:val="true"/>
        </w:rPr>
        <w:t>המשיבה טוענת כי בדין נדחתה חוות הדעת שהוגשה מטעם ההגנה</w:t>
      </w:r>
      <w:r>
        <w:rPr>
          <w:rtl w:val="true"/>
        </w:rPr>
        <w:t xml:space="preserve">, </w:t>
      </w:r>
      <w:r>
        <w:rPr>
          <w:rtl w:val="true"/>
        </w:rPr>
        <w:t>בה לא היה כדי להסביר את התנהגותו של המערער ואת גרסתו המתפתחת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 דוחה המשיבה את טענת המערער ביחס ליסוד הנפשי הדרוש לשם הרשעה בעבירת ניסיון לרצח</w:t>
      </w:r>
      <w:r>
        <w:rPr>
          <w:rtl w:val="true"/>
        </w:rPr>
        <w:t xml:space="preserve">, </w:t>
      </w:r>
      <w:r>
        <w:rPr>
          <w:rtl w:val="true"/>
        </w:rPr>
        <w:t>בהגדירה את המקרה דנן כ</w:t>
      </w:r>
      <w:r>
        <w:rPr>
          <w:rtl w:val="true"/>
        </w:rPr>
        <w:t>"</w:t>
      </w:r>
      <w:r>
        <w:rPr>
          <w:rtl w:val="true"/>
        </w:rPr>
        <w:t xml:space="preserve">מקרה מובהק וברור של </w:t>
      </w:r>
      <w:r>
        <w:rPr>
          <w:rtl w:val="true"/>
        </w:rPr>
        <w:t>'</w:t>
      </w:r>
      <w:r>
        <w:rPr>
          <w:rtl w:val="true"/>
        </w:rPr>
        <w:t>כוונה תחילה</w:t>
      </w:r>
      <w:r>
        <w:rPr>
          <w:rtl w:val="true"/>
        </w:rPr>
        <w:t xml:space="preserve">' </w:t>
      </w:r>
      <w:r>
        <w:rPr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>לתמיכה בגישתה</w:t>
      </w:r>
      <w:r>
        <w:rPr>
          <w:rtl w:val="true"/>
        </w:rPr>
        <w:t xml:space="preserve">, </w:t>
      </w:r>
      <w:r>
        <w:rPr>
          <w:rtl w:val="true"/>
        </w:rPr>
        <w:t>מפנה המשיבה לאמירות שונות שהשמיע המערער במהלך חקירותיו</w:t>
      </w:r>
      <w:r>
        <w:rPr>
          <w:rtl w:val="true"/>
        </w:rPr>
        <w:t xml:space="preserve">, </w:t>
      </w:r>
      <w:r>
        <w:rPr>
          <w:rtl w:val="true"/>
        </w:rPr>
        <w:t>מהן נשקפת לכאורה החלטתו להמית את המתלונן</w:t>
      </w:r>
      <w:r>
        <w:rPr>
          <w:rtl w:val="true"/>
        </w:rPr>
        <w:t xml:space="preserve">. </w:t>
      </w:r>
      <w:r>
        <w:rPr>
          <w:rtl w:val="true"/>
        </w:rPr>
        <w:t>עוד עומדת המשיבה על ההבחנות בין נסיבותיו של המערער לבין הנסיבות שבגדרן מצא בית משפט זה לזכות אישה מעבירת רצח על רקע מחלת הנפש בה לקתה</w:t>
      </w:r>
      <w:r>
        <w:rPr>
          <w:rtl w:val="true"/>
        </w:rPr>
        <w:t xml:space="preserve">. </w:t>
      </w: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מציינת המשיבה כי טענה זו לא הועלתה בפני בית משפט קמא</w:t>
      </w:r>
      <w:r>
        <w:rPr>
          <w:rtl w:val="true"/>
        </w:rPr>
        <w:t xml:space="preserve">, </w:t>
      </w:r>
      <w:r>
        <w:rPr>
          <w:rtl w:val="true"/>
        </w:rPr>
        <w:t>וכי קיים קושי רב לקבלה בשל הימנעות המערער ממתן עדות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סבורה המשיבה כי לא קמה עילה להתערב בעונש שהוטל על המערער בבית משפט קמא</w:t>
      </w:r>
      <w:r>
        <w:rPr>
          <w:rtl w:val="true"/>
        </w:rPr>
        <w:t xml:space="preserve">. </w:t>
      </w:r>
      <w:r>
        <w:rPr>
          <w:rtl w:val="true"/>
        </w:rPr>
        <w:t>המשיבה עומדת על חומרתן הרבה של נסיבות המקרה</w:t>
      </w:r>
      <w:r>
        <w:rPr>
          <w:rtl w:val="true"/>
        </w:rPr>
        <w:t xml:space="preserve">; </w:t>
      </w:r>
      <w:r>
        <w:rPr>
          <w:rtl w:val="true"/>
        </w:rPr>
        <w:t>על הנזק הקשה אשר נגרם למתלונן בעקבות מעשיו של המערער</w:t>
      </w:r>
      <w:r>
        <w:rPr>
          <w:rtl w:val="true"/>
        </w:rPr>
        <w:t xml:space="preserve">; </w:t>
      </w:r>
      <w:r>
        <w:rPr>
          <w:rtl w:val="true"/>
        </w:rPr>
        <w:t>על הימנעותו מבקשת תסקיר מטעם שירות המבחן</w:t>
      </w:r>
      <w:r>
        <w:rPr>
          <w:rtl w:val="true"/>
        </w:rPr>
        <w:t xml:space="preserve">; </w:t>
      </w:r>
      <w:r>
        <w:rPr>
          <w:rtl w:val="true"/>
        </w:rPr>
        <w:t>על כך שטרם החל בתשלום הפיצויים למתלונן</w:t>
      </w:r>
      <w:r>
        <w:rPr>
          <w:rtl w:val="true"/>
        </w:rPr>
        <w:t xml:space="preserve">; </w:t>
      </w:r>
      <w:r>
        <w:rPr>
          <w:rtl w:val="true"/>
        </w:rPr>
        <w:t>ועל הרשעותיו הקודמות</w:t>
      </w:r>
      <w:r>
        <w:rPr>
          <w:rtl w:val="true"/>
        </w:rPr>
        <w:t xml:space="preserve">. </w:t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ומאחר שמחלתו הנפשית של המערער נשקלה זה מכבר כשיקול לקולה בידי בית משפט קמא </w:t>
      </w:r>
      <w:r>
        <w:rPr>
          <w:rtl w:val="true"/>
        </w:rPr>
        <w:t>–</w:t>
      </w:r>
      <w:r>
        <w:rPr>
          <w:rtl w:val="true"/>
        </w:rPr>
        <w:t xml:space="preserve"> עמדת המשיבה היא כי דין הערעור על גזר הדין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שמיעת טענות הצדדים ועיון בנימוקיהם בכתב</w:t>
      </w:r>
      <w:r>
        <w:rPr>
          <w:rtl w:val="true"/>
        </w:rPr>
        <w:t xml:space="preserve">, </w:t>
      </w:r>
      <w:r>
        <w:rPr>
          <w:rtl w:val="true"/>
        </w:rPr>
        <w:t>כמו גם בחומר הראיות שהוגש לעיוננו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בדין הורשע המערער בעבירות אשר יוחסו לו בכתב האישום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 אינני סבור כי נפל פגם בגזר דינו של בית משפט קמא שיש בו כדי להצדיק את התערבותנו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אעמוד להלן על נימוקיי למסקנות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r>
        <w:rPr>
          <w:rtl w:val="true"/>
        </w:rPr>
        <w:t>שתיים הן השגותיו של המערער כלפי הכרעת דינו המרשיעה של בית משפט קמא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טענת המערער לתחולתו של סייג אי־שפיות הדעת</w:t>
      </w:r>
      <w:r>
        <w:rPr>
          <w:rtl w:val="true"/>
        </w:rPr>
        <w:t xml:space="preserve">, </w:t>
      </w:r>
      <w:r>
        <w:rPr>
          <w:rtl w:val="true"/>
        </w:rPr>
        <w:t xml:space="preserve">אשר קבוע </w:t>
      </w:r>
      <w:hyperlink r:id="rId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עקב מחלת הנפש בה הוא לוקה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סברתו של המערער כי לא התקיים בו היסוד הנפשי הדרוש להרשעה בעבירת ניסיון לרצח</w:t>
      </w:r>
      <w:r>
        <w:rPr>
          <w:rtl w:val="true"/>
        </w:rPr>
        <w:t xml:space="preserve">, </w:t>
      </w:r>
      <w:r>
        <w:rPr>
          <w:rtl w:val="true"/>
        </w:rPr>
        <w:t>ובפרט רכיב ה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", </w:t>
      </w:r>
      <w:r>
        <w:rPr>
          <w:rtl w:val="true"/>
        </w:rPr>
        <w:t>אף זאת על רקע מצבו הנפשי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כסדרן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תחולת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אי־שפיות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בבוחנו את תחולת הסייג</w:t>
      </w:r>
      <w:r>
        <w:rPr>
          <w:rtl w:val="true"/>
        </w:rPr>
        <w:t xml:space="preserve">, </w:t>
      </w:r>
      <w:r>
        <w:rPr>
          <w:rtl w:val="true"/>
        </w:rPr>
        <w:t>נדרש בית משפט קמא בהרחבה לשורת חוות הדעת הפסיכיאטריות אשר חוברו ביחס למצבו הנפשי של המערער בעת ניסיון הרצח</w:t>
      </w:r>
      <w:r>
        <w:rPr>
          <w:rtl w:val="true"/>
        </w:rPr>
        <w:t xml:space="preserve">. </w:t>
      </w:r>
      <w:r>
        <w:rPr>
          <w:rtl w:val="true"/>
        </w:rPr>
        <w:t>מאחר שסוגיה זו ניצבת במוקד טענותיו בהליך שלפנינו</w:t>
      </w:r>
      <w:r>
        <w:rPr>
          <w:rtl w:val="true"/>
        </w:rPr>
        <w:t xml:space="preserve">, </w:t>
      </w:r>
      <w:r>
        <w:rPr>
          <w:rtl w:val="true"/>
        </w:rPr>
        <w:t>אבקש לסקור תחילה את חוות הדעת השונות ולעמוד על טיבן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אפנה להכריע בטענת המערער לתחולתו של הסייג</w:t>
      </w:r>
      <w:r>
        <w:rPr>
          <w:rtl w:val="true"/>
        </w:rPr>
        <w:t xml:space="preserve">, </w:t>
      </w:r>
      <w:r>
        <w:rPr>
          <w:rtl w:val="true"/>
        </w:rPr>
        <w:t>תוך שאתן דעתי למשקלן של חוות הדעת ולמחלוקות שנתגלעו בין המומחים השונים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הפסיכיאטריות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קודקייב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כחוליה ראשונה בשרשרת חוות הדעת הפסיכיאטריות ניצב סיכום הבדיקה שנערכה למערער בידי ד</w:t>
      </w:r>
      <w:r>
        <w:rPr>
          <w:rtl w:val="true"/>
        </w:rPr>
        <w:t>"</w:t>
      </w:r>
      <w:r>
        <w:rPr>
          <w:rtl w:val="true"/>
        </w:rPr>
        <w:t xml:space="preserve">ר נטליה קודקייב זמן קצר לאחר האירוע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קודקייב קלטה את המערער בשעה </w:t>
      </w:r>
      <w:r>
        <w:rPr/>
        <w:t>21:55</w:t>
      </w:r>
      <w:r>
        <w:rPr>
          <w:rtl w:val="true"/>
        </w:rPr>
        <w:t xml:space="preserve"> </w:t>
      </w:r>
      <w:r>
        <w:rPr>
          <w:rtl w:val="true"/>
        </w:rPr>
        <w:t xml:space="preserve">של יום </w:t>
      </w:r>
      <w:r>
        <w:rPr/>
        <w:t>28.12.2014</w:t>
      </w:r>
      <w:r>
        <w:rPr>
          <w:rtl w:val="true"/>
        </w:rPr>
        <w:t xml:space="preserve">, </w:t>
      </w:r>
      <w:r>
        <w:rPr>
          <w:rtl w:val="true"/>
        </w:rPr>
        <w:t>קרי 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שעות לאחר מועד האירועים המתוארים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בהיותה </w:t>
      </w:r>
      <w:r>
        <w:rPr>
          <w:rtl w:val="true"/>
        </w:rPr>
        <w:t>תורנית</w:t>
      </w:r>
      <w:r>
        <w:rPr>
          <w:rtl w:val="true"/>
        </w:rPr>
        <w:t xml:space="preserve"> </w:t>
      </w:r>
      <w:r>
        <w:rPr>
          <w:rtl w:val="true"/>
        </w:rPr>
        <w:t>במיון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לבריאות</w:t>
      </w:r>
      <w:r>
        <w:rPr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בחוות דעתה כותבת ד</w:t>
      </w:r>
      <w:r>
        <w:rPr>
          <w:rtl w:val="true"/>
        </w:rPr>
        <w:t>"</w:t>
      </w:r>
      <w:r>
        <w:rPr>
          <w:rtl w:val="true"/>
        </w:rPr>
        <w:t xml:space="preserve">ר קודקייב כי המערער </w:t>
      </w:r>
      <w:r>
        <w:rPr>
          <w:rtl w:val="true"/>
        </w:rPr>
        <w:t>"</w:t>
      </w:r>
      <w:r>
        <w:rPr>
          <w:rtl w:val="true"/>
        </w:rPr>
        <w:t>מוכר היטב</w:t>
      </w:r>
      <w:r>
        <w:rPr>
          <w:rtl w:val="true"/>
        </w:rPr>
        <w:t xml:space="preserve">" </w:t>
      </w:r>
      <w:r>
        <w:rPr>
          <w:rtl w:val="true"/>
        </w:rPr>
        <w:t>למערכת הפסיכיאטרית</w:t>
      </w:r>
      <w:r>
        <w:rPr>
          <w:rtl w:val="true"/>
        </w:rPr>
        <w:t xml:space="preserve">, </w:t>
      </w:r>
      <w:r>
        <w:rPr>
          <w:rtl w:val="true"/>
        </w:rPr>
        <w:t>משאובחן בעבר כלוקה בסכיזופרניה</w:t>
      </w:r>
      <w:r>
        <w:rPr>
          <w:rtl w:val="true"/>
        </w:rPr>
        <w:t xml:space="preserve">, </w:t>
      </w:r>
      <w:r>
        <w:rPr>
          <w:rtl w:val="true"/>
        </w:rPr>
        <w:t xml:space="preserve">וכי הוא מצוי במעקב מסודר במרכז </w:t>
      </w:r>
      <w:r>
        <w:rPr>
          <w:rtl w:val="true"/>
        </w:rPr>
        <w:t>לבריאות</w:t>
      </w:r>
      <w:r>
        <w:rPr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מעירה ד</w:t>
      </w:r>
      <w:r>
        <w:rPr>
          <w:rtl w:val="true"/>
        </w:rPr>
        <w:t>"</w:t>
      </w:r>
      <w:r>
        <w:rPr>
          <w:rtl w:val="true"/>
        </w:rPr>
        <w:t>ר קודקייב כי עיון בתיקו הרפואי מלמד על מצב נפשי יציב בעת האחרונה</w:t>
      </w:r>
      <w:r>
        <w:rPr>
          <w:rtl w:val="true"/>
        </w:rPr>
        <w:t xml:space="preserve">, </w:t>
      </w:r>
      <w:r>
        <w:rPr>
          <w:rtl w:val="true"/>
        </w:rPr>
        <w:t>ומציינת כי אף המערער עצמו אישר זאת בדיווחו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עוד מביאה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קודקייב מתיאורו של המערער את שהתרחש באותו היום ואת ההכנות אשר קדמו לכך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פי תיאור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חווה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לחץ ועצבנות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עקב פיטוריו מהמפעל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שבעטיים החליט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לנקום במנהל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ולשם כך תכנן משך מספר ימים את המעשה והצטייד בסכין יפנית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קודקייב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אביאם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בבדיקתו</w:t>
      </w:r>
      <w:r>
        <w:rPr>
          <w:rtl w:val="true"/>
        </w:rPr>
        <w:t xml:space="preserve">: </w:t>
      </w:r>
      <w:r>
        <w:rPr>
          <w:rtl w:val="true"/>
        </w:rPr>
        <w:t>בהכרה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התמצאות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המובנים</w:t>
      </w:r>
      <w:r>
        <w:rPr>
          <w:rtl w:val="true"/>
        </w:rPr>
        <w:t xml:space="preserve">. </w:t>
      </w:r>
      <w:r>
        <w:rPr>
          <w:rtl w:val="true"/>
        </w:rPr>
        <w:t>מסודר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החיצונית</w:t>
      </w:r>
      <w:r>
        <w:rPr>
          <w:rtl w:val="true"/>
        </w:rPr>
        <w:t xml:space="preserve">. </w:t>
      </w:r>
      <w:r>
        <w:rPr>
          <w:rtl w:val="true"/>
        </w:rPr>
        <w:t>חובש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כיפה</w:t>
      </w:r>
      <w:r>
        <w:rPr>
          <w:rtl w:val="true"/>
        </w:rPr>
        <w:t xml:space="preserve">.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tl w:val="true"/>
        </w:rPr>
        <w:t xml:space="preserve">. </w:t>
      </w:r>
      <w:r>
        <w:rPr>
          <w:rtl w:val="true"/>
        </w:rPr>
        <w:t>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בסדר</w:t>
      </w:r>
      <w:r>
        <w:rPr>
          <w:rtl w:val="true"/>
        </w:rPr>
        <w:t xml:space="preserve">'. </w:t>
      </w:r>
      <w:r>
        <w:rPr>
          <w:rtl w:val="true"/>
        </w:rPr>
        <w:t>אפקט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אוטימי</w:t>
      </w:r>
      <w:r>
        <w:rPr>
          <w:rtl w:val="true"/>
        </w:rPr>
        <w:t xml:space="preserve">,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תואם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חשיבתו</w:t>
      </w:r>
      <w:r>
        <w:rPr>
          <w:rtl w:val="true"/>
        </w:rPr>
        <w:t xml:space="preserve">. </w:t>
      </w:r>
      <w:r>
        <w:rPr>
          <w:rtl w:val="true"/>
        </w:rPr>
        <w:t>בתוכן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מתמצא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>."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לנוכח אבחנה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סיכמה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קודקייב את חוות דעתה בכך שהמערער נעדר סימנים פסיכוטיים פעילים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סברה כי אין בנמצא נימוקים להתערבות פסיכיאטרית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בתום הבדיקה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שוחרר המערער להמשך הליכים משפטיים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קודקייב הופיעה בבית משפט קמא ונחקרה על חוות הדעת האמורה</w:t>
      </w:r>
      <w:r>
        <w:rPr>
          <w:rtl w:val="true"/>
        </w:rPr>
        <w:t xml:space="preserve">, </w:t>
      </w:r>
      <w:r>
        <w:rPr>
          <w:rtl w:val="true"/>
        </w:rPr>
        <w:t>תוך שעמדה על אבחנתה</w:t>
      </w:r>
      <w:r>
        <w:rPr>
          <w:rtl w:val="true"/>
        </w:rPr>
        <w:t xml:space="preserve">, </w:t>
      </w:r>
      <w:r>
        <w:rPr>
          <w:rtl w:val="true"/>
        </w:rPr>
        <w:t xml:space="preserve">לפיה בעת הבדיקה לא זוהתה אצל המערער מחלת נפש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פעילה</w:t>
      </w:r>
      <w:r>
        <w:rPr>
          <w:rtl w:val="true"/>
        </w:rPr>
        <w:t xml:space="preserve">. </w:t>
      </w:r>
      <w:r>
        <w:rPr>
          <w:rtl w:val="true"/>
        </w:rPr>
        <w:t xml:space="preserve">עוד ניתן היה ללמוד מחקירה זו </w:t>
      </w:r>
      <w:r>
        <w:rPr>
          <w:rFonts w:ascii="Century" w:hAnsi="Century" w:cs="Century"/>
          <w:sz w:val="22"/>
          <w:sz w:val="22"/>
          <w:rtl w:val="true"/>
        </w:rPr>
        <w:t>כי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קודקייב שימשה באותה העת רופאה מתמחה בפסיכיאטריה</w:t>
      </w:r>
      <w:r>
        <w:rPr>
          <w:rtl w:val="true"/>
        </w:rPr>
        <w:t xml:space="preserve">; </w:t>
      </w:r>
      <w:r>
        <w:rPr>
          <w:rtl w:val="true"/>
        </w:rPr>
        <w:t>כי הבדיקה ארכה חצי שעה ונועדה לשם בחינת היזקקותו של המערער להתערבות פסיכיאטרית דחופה</w:t>
      </w:r>
      <w:r>
        <w:rPr>
          <w:rtl w:val="true"/>
        </w:rPr>
        <w:t xml:space="preserve">; </w:t>
      </w:r>
      <w:r>
        <w:rPr>
          <w:rtl w:val="true"/>
        </w:rPr>
        <w:t>וכי מטרת הבדיקה לא הייתה כתיבת חוות דעת משפטית</w:t>
      </w:r>
      <w:r>
        <w:rPr>
          <w:rtl w:val="true"/>
        </w:rPr>
        <w:t xml:space="preserve">, </w:t>
      </w:r>
      <w:r>
        <w:rPr>
          <w:rtl w:val="true"/>
        </w:rPr>
        <w:t>ובהתאם לא נחשפה ד</w:t>
      </w:r>
      <w:r>
        <w:rPr>
          <w:rtl w:val="true"/>
        </w:rPr>
        <w:t>"</w:t>
      </w:r>
      <w:r>
        <w:rPr>
          <w:rtl w:val="true"/>
        </w:rPr>
        <w:t xml:space="preserve">ר קודקייב לחומרי החקירה </w:t>
      </w:r>
      <w:r>
        <w:rPr>
          <w:rtl w:val="true"/>
        </w:rPr>
        <w:t>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16-12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שרף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11.1.2015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14.1.2015</w:t>
      </w:r>
      <w:r>
        <w:rPr>
          <w:rtl w:val="true"/>
        </w:rPr>
        <w:t xml:space="preserve">, </w:t>
      </w:r>
      <w:r>
        <w:rPr>
          <w:rtl w:val="true"/>
        </w:rPr>
        <w:t>כשבועיים לאחר מועד האירוע וזמן בדיקת המערער על ידי ד</w:t>
      </w:r>
      <w:r>
        <w:rPr>
          <w:rtl w:val="true"/>
        </w:rPr>
        <w:t>"</w:t>
      </w:r>
      <w:r>
        <w:rPr>
          <w:rtl w:val="true"/>
        </w:rPr>
        <w:t>ר קודקייב</w:t>
      </w:r>
      <w:r>
        <w:rPr>
          <w:rtl w:val="true"/>
        </w:rPr>
        <w:t xml:space="preserve">, </w:t>
      </w:r>
      <w:r>
        <w:rPr>
          <w:rtl w:val="true"/>
        </w:rPr>
        <w:t>נבדק המערער בידי ד</w:t>
      </w:r>
      <w:r>
        <w:rPr>
          <w:rtl w:val="true"/>
        </w:rPr>
        <w:t>"</w:t>
      </w:r>
      <w:r>
        <w:rPr>
          <w:rtl w:val="true"/>
        </w:rPr>
        <w:t>ר רוני שרף</w:t>
      </w:r>
      <w:r>
        <w:rPr>
          <w:rtl w:val="true"/>
        </w:rPr>
        <w:t xml:space="preserve">, </w:t>
      </w:r>
      <w:r>
        <w:rPr>
          <w:rtl w:val="true"/>
        </w:rPr>
        <w:t>אשר משמש פסיכיאטר מחוזי במחוז דרום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19.1.2015</w:t>
      </w:r>
      <w:r>
        <w:rPr>
          <w:rtl w:val="true"/>
        </w:rPr>
        <w:t xml:space="preserve"> </w:t>
      </w:r>
      <w:r>
        <w:rPr>
          <w:rtl w:val="true"/>
        </w:rPr>
        <w:t>הגיש ד</w:t>
      </w:r>
      <w:r>
        <w:rPr>
          <w:rtl w:val="true"/>
        </w:rPr>
        <w:t>"</w:t>
      </w:r>
      <w:r>
        <w:rPr>
          <w:rtl w:val="true"/>
        </w:rPr>
        <w:t xml:space="preserve">ר שרף לבית משפט קמא את חוות דעתו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), </w:t>
      </w:r>
      <w:r>
        <w:rPr>
          <w:rtl w:val="true"/>
        </w:rPr>
        <w:t>אשר התבססה על בדיקות אלו</w:t>
      </w:r>
      <w:r>
        <w:rPr>
          <w:rtl w:val="true"/>
        </w:rPr>
        <w:t xml:space="preserve">, </w:t>
      </w:r>
      <w:r>
        <w:rPr>
          <w:rtl w:val="true"/>
        </w:rPr>
        <w:t>כמו גם על תיקו הרפואי של המערער ועל חומר משפטי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בחוות דעתו עמד ד</w:t>
      </w:r>
      <w:r>
        <w:rPr>
          <w:rtl w:val="true"/>
        </w:rPr>
        <w:t>"</w:t>
      </w:r>
      <w:r>
        <w:rPr>
          <w:rtl w:val="true"/>
        </w:rPr>
        <w:t>ר שרף על היסטוריית האבחונים הפסיכיאטריים של המערער</w:t>
      </w:r>
      <w:r>
        <w:rPr>
          <w:rtl w:val="true"/>
        </w:rPr>
        <w:t xml:space="preserve">, </w:t>
      </w:r>
      <w:r>
        <w:rPr>
          <w:rtl w:val="true"/>
        </w:rPr>
        <w:t>לרבות זה של ד</w:t>
      </w:r>
      <w:r>
        <w:rPr>
          <w:rtl w:val="true"/>
        </w:rPr>
        <w:t>"</w:t>
      </w:r>
      <w:r>
        <w:rPr>
          <w:rtl w:val="true"/>
        </w:rPr>
        <w:t>ר קודקייב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פירט את ממצאיו על סמך צמד הבדיקות שערך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בסיכום דבריו</w:t>
      </w:r>
      <w:r>
        <w:rPr>
          <w:rtl w:val="true"/>
        </w:rPr>
        <w:t xml:space="preserve">, </w:t>
      </w:r>
      <w:r>
        <w:rPr>
          <w:rtl w:val="true"/>
        </w:rPr>
        <w:t>ציין ד</w:t>
      </w:r>
      <w:r>
        <w:rPr>
          <w:rtl w:val="true"/>
        </w:rPr>
        <w:t>"</w:t>
      </w:r>
      <w:r>
        <w:rPr>
          <w:rtl w:val="true"/>
        </w:rPr>
        <w:t>ר שרף כי נכון למועד הבדיקה</w:t>
      </w:r>
      <w:r>
        <w:rPr>
          <w:rtl w:val="true"/>
        </w:rPr>
        <w:t xml:space="preserve">, </w:t>
      </w:r>
      <w:r>
        <w:rPr>
          <w:rtl w:val="true"/>
        </w:rPr>
        <w:t xml:space="preserve">נמצא המערער </w:t>
      </w:r>
      <w:r>
        <w:rPr>
          <w:rtl w:val="true"/>
        </w:rPr>
        <w:t>"</w:t>
      </w:r>
      <w:r>
        <w:rPr>
          <w:rtl w:val="true"/>
        </w:rPr>
        <w:t>שרוי במצב פסיכוטי מאני המתבטא באפקט מרומם</w:t>
      </w:r>
      <w:r>
        <w:rPr>
          <w:rtl w:val="true"/>
        </w:rPr>
        <w:t xml:space="preserve">, </w:t>
      </w:r>
      <w:r>
        <w:rPr>
          <w:rtl w:val="true"/>
        </w:rPr>
        <w:t>התנהגות חסרת גבולות</w:t>
      </w:r>
      <w:r>
        <w:rPr>
          <w:rtl w:val="true"/>
        </w:rPr>
        <w:t xml:space="preserve">, </w:t>
      </w:r>
      <w:r>
        <w:rPr>
          <w:rtl w:val="true"/>
        </w:rPr>
        <w:t>מחשבות שווא ארוטומניות ומגלומניות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שרף קבע כי המערער כשיר לעמוד לדין</w:t>
      </w:r>
      <w:r>
        <w:rPr>
          <w:rtl w:val="true"/>
        </w:rPr>
        <w:t xml:space="preserve">, </w:t>
      </w:r>
      <w:r>
        <w:rPr>
          <w:rtl w:val="true"/>
        </w:rPr>
        <w:t>משום שלשיטתו לא היה במחשבות השווא כדי לפגום ביכולתו לעקוב אחר ההליכים המשפטיים המתנהלים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לכשירותו לשאת באחריות פלילית</w:t>
      </w:r>
      <w:r>
        <w:rPr>
          <w:rtl w:val="true"/>
        </w:rPr>
        <w:t xml:space="preserve">, </w:t>
      </w:r>
      <w:r>
        <w:rPr>
          <w:rtl w:val="true"/>
        </w:rPr>
        <w:t>התייחס ד</w:t>
      </w:r>
      <w:r>
        <w:rPr>
          <w:rtl w:val="true"/>
        </w:rPr>
        <w:t>"</w:t>
      </w:r>
      <w:r>
        <w:rPr>
          <w:rtl w:val="true"/>
        </w:rPr>
        <w:t>ר שרף לפער בין אבחנתו כי המערער שרוי במצב פסיכוטי לבין אבחנתה הנוגדת של ד</w:t>
      </w:r>
      <w:r>
        <w:rPr>
          <w:rtl w:val="true"/>
        </w:rPr>
        <w:t>"</w:t>
      </w:r>
      <w:r>
        <w:rPr>
          <w:rtl w:val="true"/>
        </w:rPr>
        <w:t>ר קודקייב</w:t>
      </w:r>
      <w:r>
        <w:rPr>
          <w:rtl w:val="true"/>
        </w:rPr>
        <w:t xml:space="preserve">, </w:t>
      </w:r>
      <w:r>
        <w:rPr>
          <w:rtl w:val="true"/>
        </w:rPr>
        <w:t>והציע לו שני נימוקים חלופיים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כי חלה החמרה במצבו הנפשי של המערער למן הבדיקה הראשונה</w:t>
      </w:r>
      <w:r>
        <w:rPr>
          <w:rtl w:val="true"/>
        </w:rPr>
        <w:t xml:space="preserve">, </w:t>
      </w:r>
      <w:r>
        <w:rPr>
          <w:rtl w:val="true"/>
        </w:rPr>
        <w:t>בשל תנאי מעצרו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 לא שיתף פעולה עם הבדיקה במיון</w:t>
      </w:r>
      <w:r>
        <w:rPr>
          <w:rtl w:val="true"/>
        </w:rPr>
        <w:t xml:space="preserve">, </w:t>
      </w:r>
      <w:r>
        <w:rPr>
          <w:rtl w:val="true"/>
        </w:rPr>
        <w:t>בין בשל חשש מאשפוז ובין בשל משכה הקצר</w:t>
      </w:r>
      <w:r>
        <w:rPr>
          <w:rtl w:val="true"/>
        </w:rPr>
        <w:t xml:space="preserve">. </w:t>
      </w:r>
      <w:r>
        <w:rPr>
          <w:rtl w:val="true"/>
        </w:rPr>
        <w:t>מבין שני נימוקים אלה</w:t>
      </w:r>
      <w:r>
        <w:rPr>
          <w:rtl w:val="true"/>
        </w:rPr>
        <w:t xml:space="preserve">, </w:t>
      </w:r>
      <w:r>
        <w:rPr>
          <w:rtl w:val="true"/>
        </w:rPr>
        <w:t>מצא ד</w:t>
      </w:r>
      <w:r>
        <w:rPr>
          <w:rtl w:val="true"/>
        </w:rPr>
        <w:t>"</w:t>
      </w:r>
      <w:r>
        <w:rPr>
          <w:rtl w:val="true"/>
        </w:rPr>
        <w:t>ר שרף להעדיף את השני מן הטעמים שלהלן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.)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כשנשאל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'...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ומאוהב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'".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בעדותו בבית משפט קמא הבהיר ד</w:t>
      </w:r>
      <w:r>
        <w:rPr>
          <w:rtl w:val="true"/>
        </w:rPr>
        <w:t>"</w:t>
      </w:r>
      <w:r>
        <w:rPr>
          <w:rtl w:val="true"/>
        </w:rPr>
        <w:t>ר שרף כי לעמדתו</w:t>
      </w:r>
      <w:r>
        <w:rPr>
          <w:rtl w:val="true"/>
        </w:rPr>
        <w:t xml:space="preserve">, </w:t>
      </w:r>
      <w:r>
        <w:rPr>
          <w:rtl w:val="true"/>
        </w:rPr>
        <w:t>מרב הסיכויים הם שהמערער כלל לא היה מצוי במצב פסיכוטי במועד האירוע</w:t>
      </w:r>
      <w:r>
        <w:rPr>
          <w:rtl w:val="true"/>
        </w:rPr>
        <w:t xml:space="preserve">, </w:t>
      </w:r>
      <w:r>
        <w:rPr>
          <w:rtl w:val="true"/>
        </w:rPr>
        <w:t>וכי הוא משוכנע בכך שביום האירוע היה המערער מצוי במצב פסיכוטי חמור פחות ביחס למועד עריכת חוות הדעת</w:t>
      </w:r>
      <w:r>
        <w:rPr>
          <w:rtl w:val="true"/>
        </w:rPr>
        <w:t xml:space="preserve">. </w:t>
      </w:r>
      <w:r>
        <w:rPr>
          <w:rtl w:val="true"/>
        </w:rPr>
        <w:t>המומחה הדגיש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היה נכון לייחס למערער פסיכוזה בשעת מעשה אך מחמת הספק </w:t>
      </w:r>
      <w:r>
        <w:rPr>
          <w:rtl w:val="true"/>
        </w:rPr>
        <w:t>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22-21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פוקס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חוות הדעת הפסיכיאטרית השלישית נערכה ביום </w:t>
      </w:r>
      <w:r>
        <w:rPr/>
        <w:t>21.5.2015</w:t>
      </w:r>
      <w:r>
        <w:rPr>
          <w:rtl w:val="true"/>
        </w:rPr>
        <w:t xml:space="preserve"> </w:t>
      </w:r>
      <w:r>
        <w:rPr>
          <w:rtl w:val="true"/>
        </w:rPr>
        <w:t>על ידי ד</w:t>
      </w:r>
      <w:r>
        <w:rPr>
          <w:rtl w:val="true"/>
        </w:rPr>
        <w:t>"</w:t>
      </w:r>
      <w:r>
        <w:rPr>
          <w:rtl w:val="true"/>
        </w:rPr>
        <w:t>ר מנדל פוקס</w:t>
      </w:r>
      <w:r>
        <w:rPr>
          <w:rtl w:val="true"/>
        </w:rPr>
        <w:t xml:space="preserve">, </w:t>
      </w:r>
      <w:r>
        <w:rPr>
          <w:rtl w:val="true"/>
        </w:rPr>
        <w:t xml:space="preserve">פסיכיאטר מומחה מטעם ההגנה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חוות דעתו של ד</w:t>
      </w:r>
      <w:r>
        <w:rPr>
          <w:rtl w:val="true"/>
        </w:rPr>
        <w:t>"</w:t>
      </w:r>
      <w:r>
        <w:rPr>
          <w:rtl w:val="true"/>
        </w:rPr>
        <w:t xml:space="preserve">ר פוקס נסמכה על בדיקה שערך למערער בבית המעצר ביום </w:t>
      </w:r>
      <w:r>
        <w:rPr/>
        <w:t>27.4.2015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קרי כארבעה חודשים לאחר האירוע </w:t>
      </w:r>
      <w:r>
        <w:rPr>
          <w:rtl w:val="true"/>
        </w:rPr>
        <w:t>–</w:t>
      </w:r>
      <w:r>
        <w:rPr>
          <w:rtl w:val="true"/>
        </w:rPr>
        <w:t xml:space="preserve"> וכן על מסמכים רפואיים ומשפטיים שבהם עיין</w:t>
      </w:r>
      <w:r>
        <w:rPr>
          <w:rtl w:val="true"/>
        </w:rPr>
        <w:t xml:space="preserve">. </w:t>
      </w:r>
      <w:r>
        <w:rPr>
          <w:rtl w:val="true"/>
        </w:rPr>
        <w:t>בסיכום חוות דעתו</w:t>
      </w:r>
      <w:r>
        <w:rPr>
          <w:rtl w:val="true"/>
        </w:rPr>
        <w:t xml:space="preserve">, </w:t>
      </w:r>
      <w:r>
        <w:rPr>
          <w:rtl w:val="true"/>
        </w:rPr>
        <w:t>קבע ד</w:t>
      </w:r>
      <w:r>
        <w:rPr>
          <w:rtl w:val="true"/>
        </w:rPr>
        <w:t>"</w:t>
      </w:r>
      <w:r>
        <w:rPr>
          <w:rtl w:val="true"/>
        </w:rPr>
        <w:t xml:space="preserve">ר פוקס כי המערער </w:t>
      </w:r>
      <w:r>
        <w:rPr>
          <w:rtl w:val="true"/>
        </w:rPr>
        <w:t>"</w:t>
      </w:r>
      <w:r>
        <w:rPr>
          <w:rtl w:val="true"/>
        </w:rPr>
        <w:t>לוקה</w:t>
      </w:r>
      <w:r>
        <w:rPr>
          <w:rtl w:val="true"/>
        </w:rPr>
        <w:t xml:space="preserve"> </w:t>
      </w:r>
      <w:r>
        <w:rPr>
          <w:rtl w:val="true"/>
        </w:rPr>
        <w:t>במחלת</w:t>
      </w:r>
      <w:r>
        <w:rPr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 </w:t>
      </w:r>
      <w:r>
        <w:rPr>
          <w:rtl w:val="true"/>
        </w:rPr>
        <w:t>הממלאת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 </w:t>
      </w:r>
      <w:r>
        <w:rPr>
          <w:rtl w:val="true"/>
        </w:rPr>
        <w:t>הדרושים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/>
        <w:t>DSM4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DSM5</w:t>
      </w:r>
      <w:r>
        <w:rPr>
          <w:rtl w:val="true"/>
        </w:rPr>
        <w:t xml:space="preserve"> </w:t>
      </w:r>
      <w:r>
        <w:rPr>
          <w:rtl w:val="true"/>
        </w:rPr>
        <w:t>לאבחנה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סכיזופרניה</w:t>
      </w:r>
      <w:r>
        <w:rPr>
          <w:rtl w:val="true"/>
        </w:rPr>
        <w:t xml:space="preserve"> </w:t>
      </w:r>
      <w:r>
        <w:rPr>
          <w:rtl w:val="true"/>
        </w:rPr>
        <w:t>רדיפתית</w:t>
      </w:r>
      <w:r>
        <w:rPr>
          <w:rtl w:val="true"/>
        </w:rPr>
        <w:t xml:space="preserve"> </w:t>
      </w:r>
      <w:r>
        <w:rPr>
          <w:rtl w:val="true"/>
        </w:rPr>
        <w:t>וסכיזופרניה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מחלה</w:t>
      </w:r>
      <w:r>
        <w:rPr>
          <w:rtl w:val="true"/>
        </w:rPr>
        <w:t xml:space="preserve"> </w:t>
      </w:r>
      <w:r>
        <w:rPr>
          <w:rtl w:val="true"/>
        </w:rPr>
        <w:t>סכיזואפקטיבית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 xml:space="preserve">בבדיקתו מצא כי הנאשם מבטא </w:t>
      </w:r>
      <w:r>
        <w:rPr>
          <w:rtl w:val="true"/>
        </w:rPr>
        <w:t>"</w:t>
      </w:r>
      <w:r>
        <w:rPr>
          <w:rtl w:val="true"/>
        </w:rPr>
        <w:t xml:space="preserve">גישה השלכתית </w:t>
      </w:r>
      <w:r>
        <w:rPr>
          <w:rtl w:val="true"/>
        </w:rPr>
        <w:t>(</w:t>
      </w:r>
      <w:r>
        <w:rPr>
          <w:rtl w:val="true"/>
        </w:rPr>
        <w:t>רדיפתית</w:t>
      </w:r>
      <w:r>
        <w:rPr>
          <w:rtl w:val="true"/>
        </w:rPr>
        <w:t xml:space="preserve">)" </w:t>
      </w:r>
      <w:r>
        <w:rPr>
          <w:rtl w:val="true"/>
        </w:rPr>
        <w:t>ביחס למתלונן</w:t>
      </w:r>
      <w:r>
        <w:rPr>
          <w:rtl w:val="true"/>
        </w:rPr>
        <w:t xml:space="preserve">, </w:t>
      </w:r>
      <w:r>
        <w:rPr>
          <w:rtl w:val="true"/>
        </w:rPr>
        <w:t>על סמך אמירתו כי הלה פיטר אותו בכוונה להרוס את חייו</w:t>
      </w:r>
      <w:r>
        <w:rPr>
          <w:rtl w:val="true"/>
        </w:rPr>
        <w:t xml:space="preserve">, </w:t>
      </w:r>
      <w:r>
        <w:rPr>
          <w:rtl w:val="true"/>
        </w:rPr>
        <w:t>בעוד עובדים אחרים לא פוטרו על אף שביצעו טעויות רבות יותר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פוקס הוסיף אפוא כי אין ביכולתו לשלול קיומן של מחשבות שווא במהלך ניסיון הרצח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מצבו הפסיכוטי הפעיל של המערער</w:t>
      </w:r>
      <w:r>
        <w:rPr>
          <w:rtl w:val="true"/>
        </w:rPr>
        <w:t xml:space="preserve">, </w:t>
      </w:r>
      <w:r>
        <w:rPr>
          <w:rtl w:val="true"/>
        </w:rPr>
        <w:t>כפי שמצא לאבחן</w:t>
      </w:r>
      <w:r>
        <w:rPr>
          <w:rtl w:val="true"/>
        </w:rPr>
        <w:t xml:space="preserve">, </w:t>
      </w:r>
      <w:r>
        <w:rPr>
          <w:rtl w:val="true"/>
        </w:rPr>
        <w:t>הגיע ד</w:t>
      </w:r>
      <w:r>
        <w:rPr>
          <w:rtl w:val="true"/>
        </w:rPr>
        <w:t>"</w:t>
      </w:r>
      <w:r>
        <w:rPr>
          <w:rtl w:val="true"/>
        </w:rPr>
        <w:t>ר פוקס למסקנה שלפיה לא הבין המערער את הפסול שבמעשיו והיה משוכנע שהדרך שבה פעל הייתה נכונה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בעדותו בבית משפט קמא ציין ד</w:t>
      </w:r>
      <w:r>
        <w:rPr>
          <w:rtl w:val="true"/>
        </w:rPr>
        <w:t>"</w:t>
      </w:r>
      <w:r>
        <w:rPr>
          <w:rtl w:val="true"/>
        </w:rPr>
        <w:t>ר פוקס כי בדק את המערער במשך כשעה</w:t>
      </w:r>
      <w:r>
        <w:rPr>
          <w:rtl w:val="true"/>
        </w:rPr>
        <w:t xml:space="preserve">. </w:t>
      </w:r>
      <w:r>
        <w:rPr>
          <w:rtl w:val="true"/>
        </w:rPr>
        <w:t>במהלך עדותו נשאל מדוע ראה ביחסו של המערער למתלונן משום מחשבת שווא רדיפתית</w:t>
      </w:r>
      <w:r>
        <w:rPr>
          <w:rtl w:val="true"/>
        </w:rPr>
        <w:t xml:space="preserve">, </w:t>
      </w:r>
      <w:r>
        <w:rPr>
          <w:rtl w:val="true"/>
        </w:rPr>
        <w:t>לעומת מחשבה מציאותית בעקבות פיטוריו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פוקס נימק את אבחנתו על רקע ההיסטוריה הבריאותית של המערער</w:t>
      </w:r>
      <w:r>
        <w:rPr>
          <w:rtl w:val="true"/>
        </w:rPr>
        <w:t xml:space="preserve">, </w:t>
      </w:r>
      <w:r>
        <w:rPr>
          <w:rtl w:val="true"/>
        </w:rPr>
        <w:t>אשר כללה אשפוזים מרובים בשל מחשבות שווא</w:t>
      </w:r>
      <w:r>
        <w:rPr>
          <w:rtl w:val="true"/>
        </w:rPr>
        <w:t xml:space="preserve">, </w:t>
      </w:r>
      <w:r>
        <w:rPr>
          <w:rtl w:val="true"/>
        </w:rPr>
        <w:t>כמו גם על רקע בדיקתו של ד</w:t>
      </w:r>
      <w:r>
        <w:rPr>
          <w:rtl w:val="true"/>
        </w:rPr>
        <w:t>"</w:t>
      </w:r>
      <w:r>
        <w:rPr>
          <w:rtl w:val="true"/>
        </w:rPr>
        <w:t>ר שרף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, "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שבן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מחריף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...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מניח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9-8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במענה לחוות דעת זו</w:t>
      </w:r>
      <w:r>
        <w:rPr>
          <w:rtl w:val="true"/>
        </w:rPr>
        <w:t xml:space="preserve">, </w:t>
      </w:r>
      <w:r>
        <w:rPr>
          <w:rtl w:val="true"/>
        </w:rPr>
        <w:t>הכין ד</w:t>
      </w:r>
      <w:r>
        <w:rPr>
          <w:rtl w:val="true"/>
        </w:rPr>
        <w:t>"</w:t>
      </w:r>
      <w:r>
        <w:rPr>
          <w:rtl w:val="true"/>
        </w:rPr>
        <w:t>ר שרף חוות דעת פסיכיאטרית משלימה</w:t>
      </w:r>
      <w:r>
        <w:rPr>
          <w:rtl w:val="true"/>
        </w:rPr>
        <w:t xml:space="preserve">, </w:t>
      </w:r>
      <w:r>
        <w:rPr>
          <w:rtl w:val="true"/>
        </w:rPr>
        <w:t xml:space="preserve">אשר הוגשה לבית משפט קמא ביום </w:t>
      </w:r>
      <w:r>
        <w:rPr/>
        <w:t>13.9.2015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 xml:space="preserve">), </w:t>
      </w:r>
      <w:r>
        <w:rPr>
          <w:rtl w:val="true"/>
        </w:rPr>
        <w:t>ובה ביקורת על חוות דעתו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מצא ד</w:t>
      </w:r>
      <w:r>
        <w:rPr>
          <w:rtl w:val="true"/>
        </w:rPr>
        <w:t>"</w:t>
      </w:r>
      <w:r>
        <w:rPr>
          <w:rtl w:val="true"/>
        </w:rPr>
        <w:t xml:space="preserve">ר שרף להבהיר כי לא די בקיומה של </w:t>
      </w:r>
      <w:r>
        <w:rPr>
          <w:rtl w:val="true"/>
        </w:rPr>
        <w:t>"</w:t>
      </w:r>
      <w:r>
        <w:rPr>
          <w:rtl w:val="true"/>
        </w:rPr>
        <w:t>גישה רדיפתית השלכתית</w:t>
      </w:r>
      <w:r>
        <w:rPr>
          <w:rtl w:val="true"/>
        </w:rPr>
        <w:t xml:space="preserve">" </w:t>
      </w:r>
      <w:r>
        <w:rPr>
          <w:rtl w:val="true"/>
        </w:rPr>
        <w:t>כדי לבסס פסיכוזה שיש בה כדי לפטור את המערער מאחריות פלילית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כי לא היה מקום לאבחון זה ביחס למערער</w:t>
      </w:r>
      <w:r>
        <w:rPr>
          <w:rtl w:val="true"/>
        </w:rPr>
        <w:t xml:space="preserve">, </w:t>
      </w:r>
      <w:r>
        <w:rPr>
          <w:rtl w:val="true"/>
        </w:rPr>
        <w:t xml:space="preserve">משלא הפגין </w:t>
      </w:r>
      <w:r>
        <w:rPr>
          <w:rtl w:val="true"/>
        </w:rPr>
        <w:t>"</w:t>
      </w:r>
      <w:r>
        <w:rPr>
          <w:rtl w:val="true"/>
        </w:rPr>
        <w:t>אפילו לא שמץ של גישה השלכתית</w:t>
      </w:r>
      <w:r>
        <w:rPr>
          <w:rtl w:val="true"/>
        </w:rPr>
        <w:t xml:space="preserve">",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כלפי 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המנוגדות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לעיתים מזומנות נדרשות הערכאות הדיוניות לדון בכשירותו של נאשם לשאת באחריות פלילית תוך שמונחות בפניהן חוות דעת פסיכיאטריות מנוגדות</w:t>
      </w:r>
      <w:r>
        <w:rPr>
          <w:rtl w:val="true"/>
        </w:rPr>
        <w:t xml:space="preserve">. </w:t>
      </w:r>
      <w:r>
        <w:rPr>
          <w:rtl w:val="true"/>
        </w:rPr>
        <w:t>על אף חיוניותם של גורמי המקצוע בליבון סוגיה הרת גורל זו</w:t>
      </w:r>
      <w:r>
        <w:rPr>
          <w:rtl w:val="true"/>
        </w:rPr>
        <w:t xml:space="preserve">, </w:t>
      </w:r>
      <w:r>
        <w:rPr>
          <w:rtl w:val="true"/>
        </w:rPr>
        <w:t>בסופו של יום המותב היושב בדין הוא שנושא באחריות לקבוע את משקלן של חוות הדעת השונות ולהכריע בדבר התקיימות סייג אי־שפיות הדעת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עליו להסתייע בכלים שונים המצויים בתחום מומחיותו השיפוטית</w:t>
      </w:r>
      <w:r>
        <w:rPr>
          <w:rtl w:val="true"/>
        </w:rPr>
        <w:t xml:space="preserve">, </w:t>
      </w:r>
      <w:r>
        <w:rPr>
          <w:rtl w:val="true"/>
        </w:rPr>
        <w:t>ובהם היכרותו עם מארג הראיות</w:t>
      </w:r>
      <w:r>
        <w:rPr>
          <w:rtl w:val="true"/>
        </w:rPr>
        <w:t xml:space="preserve">; </w:t>
      </w:r>
      <w:r>
        <w:rPr>
          <w:rtl w:val="true"/>
        </w:rPr>
        <w:t xml:space="preserve">יכולתו להבחין בסתירות בדברי המומחים </w:t>
      </w:r>
      <w:r>
        <w:rPr>
          <w:rtl w:val="true"/>
        </w:rPr>
        <w:t>–</w:t>
      </w:r>
      <w:r>
        <w:rPr>
          <w:rtl w:val="true"/>
        </w:rPr>
        <w:t xml:space="preserve"> יהיו אלה סתירות פנימיות או סתירות ביחס לחומר הראיות</w:t>
      </w:r>
      <w:r>
        <w:rPr>
          <w:rtl w:val="true"/>
        </w:rPr>
        <w:t xml:space="preserve">; </w:t>
      </w:r>
      <w:r>
        <w:rPr>
          <w:rtl w:val="true"/>
        </w:rPr>
        <w:t xml:space="preserve">והבנתו את הוראות הדין בסוגיית אחריותו הפלילית של נאשם </w:t>
      </w:r>
      <w:r>
        <w:rPr>
          <w:rtl w:val="true"/>
        </w:rPr>
        <w:t>(</w:t>
      </w:r>
      <w:r>
        <w:rPr>
          <w:rtl w:val="true"/>
        </w:rPr>
        <w:t>להרחבה ראו רשימתי</w:t>
      </w:r>
      <w:r>
        <w:rPr>
          <w:rtl w:val="true"/>
        </w:rPr>
        <w:t xml:space="preserve">: </w:t>
      </w:r>
      <w:r>
        <w:rPr>
          <w:rtl w:val="true"/>
        </w:rPr>
        <w:t xml:space="preserve">יוסף אלרון </w:t>
      </w:r>
      <w:r>
        <w:rPr>
          <w:rtl w:val="true"/>
        </w:rPr>
        <w:t>"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 </w:t>
      </w:r>
      <w:r>
        <w:rPr>
          <w:rtl w:val="true"/>
        </w:rPr>
        <w:t>מנוגדות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שבבסיס</w:t>
      </w:r>
      <w:r>
        <w:rPr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יישומיות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בפסיכולוגיה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/>
        <w:t>181</w:t>
      </w:r>
      <w:r>
        <w:rPr>
          <w:rtl w:val="true"/>
        </w:rPr>
        <w:t xml:space="preserve"> (</w:t>
      </w:r>
      <w:r>
        <w:rPr>
          <w:rtl w:val="true"/>
        </w:rPr>
        <w:t>דוד יגיל ומשה זכי עורכים</w:t>
      </w:r>
      <w:r>
        <w:rPr>
          <w:rtl w:val="true"/>
        </w:rPr>
        <w:t xml:space="preserve">, </w:t>
      </w:r>
      <w:r>
        <w:rPr/>
        <w:t>2011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שעיינתי בקפידה בחוות הדעת השונות</w:t>
      </w:r>
      <w:r>
        <w:rPr>
          <w:rtl w:val="true"/>
        </w:rPr>
        <w:t xml:space="preserve">, </w:t>
      </w:r>
      <w:r>
        <w:rPr>
          <w:rtl w:val="true"/>
        </w:rPr>
        <w:t>כמו גם בהכרעת דינו המקיפה של בית משפט קמא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לא נפל דופי בדרך הילוכו ובמסקנה שאליה הגיע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בדין מצא בית משפט קמא לקבוע כי לא מתקיים במערער סייג אי־שפיות הדעת</w:t>
      </w:r>
      <w:r>
        <w:rPr>
          <w:rtl w:val="true"/>
        </w:rPr>
        <w:t>, "</w:t>
      </w:r>
      <w:r>
        <w:rPr>
          <w:rtl w:val="true"/>
        </w:rPr>
        <w:t>משלא הצליח לעורר ספק סביר באשר לתחולתו של סייג אי השפיות</w:t>
      </w:r>
      <w:r>
        <w:rPr>
          <w:rtl w:val="true"/>
        </w:rPr>
        <w:t xml:space="preserve">". </w:t>
      </w:r>
      <w:r>
        <w:rPr>
          <w:rtl w:val="true"/>
        </w:rPr>
        <w:t>לפיכך דעתי</w:t>
      </w:r>
      <w:r>
        <w:rPr>
          <w:rtl w:val="true"/>
        </w:rPr>
        <w:t xml:space="preserve">, </w:t>
      </w:r>
      <w:r>
        <w:rPr>
          <w:rtl w:val="true"/>
        </w:rPr>
        <w:t>כדעתו</w:t>
      </w:r>
      <w:r>
        <w:rPr>
          <w:rtl w:val="true"/>
        </w:rPr>
        <w:t xml:space="preserve">, </w:t>
      </w:r>
      <w:r>
        <w:rPr>
          <w:rtl w:val="true"/>
        </w:rPr>
        <w:t>כי המערער כשיר לשאת באחריות פלילית בגין המעשים שביצע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אבאר להלן את טעמיי למסקנתי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תחילה </w:t>
      </w:r>
      <w:r>
        <w:rPr>
          <w:rtl w:val="true"/>
        </w:rPr>
        <w:t>–</w:t>
      </w:r>
      <w:r>
        <w:rPr>
          <w:rtl w:val="true"/>
        </w:rPr>
        <w:t xml:space="preserve"> ללשונו של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מורה כדלקמן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34</w:t>
      </w:r>
      <w:r>
        <w:rPr>
          <w:rtl w:val="true"/>
        </w:rPr>
        <w:t>ח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; </w:t>
      </w:r>
      <w:r>
        <w:rPr>
          <w:rtl w:val="true"/>
        </w:rPr>
        <w:t>או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  <w:r>
        <w:rPr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(</w:t>
      </w:r>
      <w:r>
        <w:rPr/>
        <w:t>22.2.2018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הברה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7876/15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30.8.2017</w:t>
      </w:r>
      <w:r>
        <w:rPr>
          <w:rtl w:val="true"/>
        </w:rPr>
        <w:t xml:space="preserve">)).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3770-10-10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עאסלה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5.3.2012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לשיטת בית משפט קמא</w:t>
      </w:r>
      <w:r>
        <w:rPr>
          <w:rtl w:val="true"/>
        </w:rPr>
        <w:t xml:space="preserve">, </w:t>
      </w:r>
      <w:r>
        <w:rPr>
          <w:rtl w:val="true"/>
        </w:rPr>
        <w:t>די היה בתנאי הראשון לשם דחיית טענת חוסר השפיות של המערער</w:t>
      </w:r>
      <w:r>
        <w:rPr>
          <w:rtl w:val="true"/>
        </w:rPr>
        <w:t xml:space="preserve">, </w:t>
      </w:r>
      <w:r>
        <w:rPr>
          <w:rtl w:val="true"/>
        </w:rPr>
        <w:t>משלא נמצא כי הלה סבל ממחלה נפשית פעילה בעת ביצוע העבירה</w:t>
      </w:r>
      <w:r>
        <w:rPr>
          <w:rtl w:val="true"/>
        </w:rPr>
        <w:t xml:space="preserve">. </w:t>
      </w:r>
      <w:r>
        <w:rPr>
          <w:rtl w:val="true"/>
        </w:rPr>
        <w:t>על סמך סקירת חוות הדעת שלעיל</w:t>
      </w:r>
      <w:r>
        <w:rPr>
          <w:rtl w:val="true"/>
        </w:rPr>
        <w:t xml:space="preserve">, </w:t>
      </w:r>
      <w:r>
        <w:rPr>
          <w:rtl w:val="true"/>
        </w:rPr>
        <w:t>ניתן להיווכח כי בהיבט זה הציג כל אחד משלושת המומחים הערכה שונה באופן מהותי</w:t>
      </w:r>
      <w:r>
        <w:rPr>
          <w:rtl w:val="true"/>
        </w:rPr>
        <w:t xml:space="preserve">: </w:t>
      </w:r>
      <w:r>
        <w:rPr>
          <w:rtl w:val="true"/>
        </w:rPr>
        <w:t>בעוד ד</w:t>
      </w:r>
      <w:r>
        <w:rPr>
          <w:rtl w:val="true"/>
        </w:rPr>
        <w:t>"</w:t>
      </w:r>
      <w:r>
        <w:rPr>
          <w:rtl w:val="true"/>
        </w:rPr>
        <w:t>ר קודקייב הייתה נכונה לקבוע כי המערער נעדר סימנים פסיכוטיים פעילים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שרף סבר כי האפשרות למחלת נפש פעילה מצויה בגדר הספק הסביר</w:t>
      </w:r>
      <w:r>
        <w:rPr>
          <w:rtl w:val="true"/>
        </w:rPr>
        <w:t xml:space="preserve">, </w:t>
      </w:r>
      <w:r>
        <w:rPr>
          <w:rtl w:val="true"/>
        </w:rPr>
        <w:t>ולעומתם העריך ד</w:t>
      </w:r>
      <w:r>
        <w:rPr>
          <w:rtl w:val="true"/>
        </w:rPr>
        <w:t>"</w:t>
      </w:r>
      <w:r>
        <w:rPr>
          <w:rtl w:val="true"/>
        </w:rPr>
        <w:t>ר פוקס כי המערער אכן היה במצב פסיכוטי בעת ביצוע 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פוקס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קיימת חוסר הסכמה מקצועית בין שלושת המומחים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 די במחלוקת זו כשלעצמה על מנת להצמיח ספק סביר שממנו יוכל המערער ליהנות</w:t>
      </w:r>
      <w:r>
        <w:rPr>
          <w:rtl w:val="true"/>
        </w:rPr>
        <w:t xml:space="preserve">. </w:t>
      </w:r>
      <w:r>
        <w:rPr>
          <w:rtl w:val="true"/>
        </w:rPr>
        <w:t xml:space="preserve">עמד על כך בשעתו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 </w:t>
      </w:r>
      <w:r>
        <w:rPr>
          <w:rtl w:val="true"/>
        </w:rPr>
        <w:t>פועל</w:t>
      </w:r>
      <w:r>
        <w:rPr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מומחים</w:t>
      </w:r>
      <w:r>
        <w:rPr>
          <w:rtl w:val="true"/>
        </w:rPr>
        <w:t xml:space="preserve"> </w:t>
      </w:r>
      <w:r>
        <w:rPr>
          <w:rtl w:val="true"/>
        </w:rPr>
        <w:t>החלוקים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מותירים</w:t>
      </w:r>
      <w:r>
        <w:rPr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224/88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איזראלוב</w:t>
        </w:r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‎</w:t>
        </w:r>
        <w:r>
          <w:rPr>
            <w:rStyle w:val="Hyperlink"/>
            <w:color w:val="0000FF"/>
            <w:u w:val="single"/>
          </w:rPr>
          <w:t xml:space="preserve"> ‎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661</w:t>
      </w:r>
      <w:r>
        <w:rPr>
          <w:rtl w:val="true"/>
        </w:rPr>
        <w:t xml:space="preserve">, </w:t>
      </w:r>
      <w:r>
        <w:rPr/>
        <w:t>671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)). </w:t>
      </w:r>
      <w:r>
        <w:rPr>
          <w:rtl w:val="true"/>
        </w:rPr>
        <w:t>אפנה אפוא להכריע בין עמדותיהם החולקות של המומחים</w:t>
      </w:r>
      <w:r>
        <w:rPr>
          <w:rtl w:val="true"/>
        </w:rPr>
        <w:t xml:space="preserve">, </w:t>
      </w:r>
      <w:r>
        <w:rPr>
          <w:rtl w:val="true"/>
        </w:rPr>
        <w:t>על יסוד רשימה בלתי ממצה של אמות מידה אשר עוגנו במרוצת השנים בפסיקת בית משפט זה</w:t>
      </w:r>
      <w:r>
        <w:rPr>
          <w:rtl w:val="true"/>
        </w:rPr>
        <w:t xml:space="preserve">. </w:t>
      </w:r>
      <w:r>
        <w:rPr>
          <w:rtl w:val="true"/>
        </w:rPr>
        <w:t>כפי שיתבהר להלן</w:t>
      </w:r>
      <w:r>
        <w:rPr>
          <w:rtl w:val="true"/>
        </w:rPr>
        <w:t xml:space="preserve">, </w:t>
      </w:r>
      <w:r>
        <w:rPr>
          <w:rtl w:val="true"/>
        </w:rPr>
        <w:t>אמות מידה אלו מטות את הכף</w:t>
      </w:r>
      <w:r>
        <w:rPr>
          <w:rtl w:val="true"/>
        </w:rPr>
        <w:t xml:space="preserve">, </w:t>
      </w:r>
      <w:r>
        <w:rPr>
          <w:rtl w:val="true"/>
        </w:rPr>
        <w:t>ברובן המכריע</w:t>
      </w:r>
      <w:r>
        <w:rPr>
          <w:rtl w:val="true"/>
        </w:rPr>
        <w:t xml:space="preserve">, </w:t>
      </w:r>
      <w:r>
        <w:rPr>
          <w:rtl w:val="true"/>
        </w:rPr>
        <w:t>לעבר דחיית טענת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כהערה מקדימה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כי כפי שנפסק זה מכבר</w:t>
      </w:r>
      <w:r>
        <w:rPr>
          <w:rtl w:val="true"/>
        </w:rPr>
        <w:t xml:space="preserve">, </w:t>
      </w:r>
      <w:r>
        <w:rPr>
          <w:rtl w:val="true"/>
        </w:rPr>
        <w:t xml:space="preserve">הכלל המושרש שלפיו ערכאת הערעור תמעט להתערב </w:t>
      </w:r>
      <w:r>
        <w:rPr>
          <w:rtl w:val="true"/>
        </w:rPr>
        <w:t>בממצאי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 </w:t>
      </w:r>
      <w:r>
        <w:rPr>
          <w:rtl w:val="true"/>
        </w:rPr>
        <w:t xml:space="preserve">שנקבעו בידי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–</w:t>
      </w:r>
      <w:r>
        <w:rPr>
          <w:rtl w:val="true"/>
        </w:rPr>
        <w:t xml:space="preserve"> אינו פוסח על הערכתן של חוות דעת פסיכיאטריות</w:t>
      </w:r>
      <w:r>
        <w:rPr>
          <w:rtl w:val="true"/>
        </w:rPr>
        <w:t xml:space="preserve">. </w:t>
      </w:r>
      <w:r>
        <w:rPr>
          <w:rtl w:val="true"/>
        </w:rPr>
        <w:t xml:space="preserve">על הטעמים לכך עמדה 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11.11.2010</w:t>
      </w:r>
      <w:r>
        <w:rPr>
          <w:rtl w:val="true"/>
        </w:rPr>
        <w:t xml:space="preserve">), </w:t>
      </w:r>
      <w:r>
        <w:rPr>
          <w:rtl w:val="true"/>
        </w:rPr>
        <w:t>בציינה כדלקמן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[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עמדתם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מהמומחים</w:t>
      </w:r>
      <w:r>
        <w:rPr>
          <w:rtl w:val="true"/>
        </w:rPr>
        <w:t xml:space="preserve">, </w:t>
      </w:r>
      <w:r>
        <w:rPr>
          <w:rtl w:val="true"/>
        </w:rPr>
        <w:t>התייחסותם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שבפניהם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מסקנותיהם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שברפואה</w:t>
      </w:r>
      <w:r>
        <w:rPr>
          <w:rtl w:val="true"/>
        </w:rPr>
        <w:t xml:space="preserve">, </w:t>
      </w:r>
      <w:r>
        <w:rPr>
          <w:rtl w:val="true"/>
        </w:rPr>
        <w:t>תימנע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קודקייב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מושכלת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המנוגדות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עריכת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תחילה</w:t>
      </w:r>
      <w:r>
        <w:rPr>
          <w:rtl w:val="true"/>
        </w:rPr>
        <w:t xml:space="preserve">, </w:t>
      </w:r>
      <w:r>
        <w:rPr>
          <w:rtl w:val="true"/>
        </w:rPr>
        <w:t>יש לתת את הדעת ליחס בין מועדי הבדיקות שערכו המומחים השונים לבין מועד ביצוע העבירה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קודקייב ערכה למערער בדיקה בשעות הלילה של יום </w:t>
      </w:r>
      <w:r>
        <w:rPr/>
        <w:t>28.12.2014</w:t>
      </w:r>
      <w:r>
        <w:rPr>
          <w:rtl w:val="true"/>
        </w:rPr>
        <w:t xml:space="preserve">, </w:t>
      </w:r>
      <w:r>
        <w:rPr>
          <w:rtl w:val="true"/>
        </w:rPr>
        <w:t>בו בוצעה העבירה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שרף בחן את המערער בחלוף כחודש ומחצה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11.1.2015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14.1.2015</w:t>
      </w:r>
      <w:r>
        <w:rPr>
          <w:rtl w:val="true"/>
        </w:rPr>
        <w:t xml:space="preserve">;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 פוקס פגש במערער אך כעבור כארבעה חודשים ממועד ניסיון הרצח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27.4.2015</w:t>
      </w:r>
      <w:r>
        <w:rPr>
          <w:rtl w:val="true"/>
        </w:rPr>
        <w:t xml:space="preserve">. </w:t>
      </w:r>
      <w:r>
        <w:rPr>
          <w:rtl w:val="true"/>
        </w:rPr>
        <w:t>מאחר שעסקינן בהערכת מצבו הנפשי של המערער בשעת מעשה</w:t>
      </w:r>
      <w:r>
        <w:rPr>
          <w:rtl w:val="true"/>
        </w:rPr>
        <w:t xml:space="preserve">, </w:t>
      </w:r>
      <w:r>
        <w:rPr>
          <w:rtl w:val="true"/>
        </w:rPr>
        <w:t xml:space="preserve">טבעם של דברים הוא כי למומחה המתרשם ממנו בתכוף לשעה זו יתרון ניכר על פני חוות דעת מאוחרות יותר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8287/05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(</w:t>
      </w:r>
      <w:r>
        <w:rPr/>
        <w:t>11.8.2011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אלה זוכים למשנה תוקף בנסיבות ענייננו</w:t>
      </w:r>
      <w:r>
        <w:rPr>
          <w:rtl w:val="true"/>
        </w:rPr>
        <w:t xml:space="preserve">, </w:t>
      </w:r>
      <w:r>
        <w:rPr>
          <w:rtl w:val="true"/>
        </w:rPr>
        <w:t>בו היה המערער נתון במעצר לאחר ביצוע העבירה</w:t>
      </w:r>
      <w:r>
        <w:rPr>
          <w:rtl w:val="true"/>
        </w:rPr>
        <w:t xml:space="preserve">, </w:t>
      </w:r>
      <w:r>
        <w:rPr>
          <w:rtl w:val="true"/>
        </w:rPr>
        <w:t>ולפיכך ייתכן כי ממצאי בדיקתם של המומחים המאוחרים הושפעו מתנאי המעצר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שרף עצמו העלה אפשרות זו בחוות דעתו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הלה מצא להטיל ספק במהימנות בדיקתו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, </w:t>
      </w:r>
      <w:r>
        <w:rPr>
          <w:rtl w:val="true"/>
        </w:rPr>
        <w:t xml:space="preserve">מאחר שזו נערכה בבית המעצר </w:t>
      </w:r>
      <w:r>
        <w:rPr>
          <w:rtl w:val="true"/>
        </w:rPr>
        <w:t>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10-9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המקצועי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המומחה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מטבעם של דברים</w:t>
      </w:r>
      <w:r>
        <w:rPr>
          <w:rtl w:val="true"/>
        </w:rPr>
        <w:t xml:space="preserve">, </w:t>
      </w:r>
      <w:r>
        <w:rPr>
          <w:rtl w:val="true"/>
        </w:rPr>
        <w:t>יונקת חוות הדעת את כוח השכנוע שלה מזהותו וממעמדו של המומחה אשר ניצב מאחוריה</w:t>
      </w:r>
      <w:r>
        <w:rPr>
          <w:rtl w:val="true"/>
        </w:rPr>
        <w:t xml:space="preserve">. </w:t>
      </w:r>
      <w:r>
        <w:rPr>
          <w:rtl w:val="true"/>
        </w:rPr>
        <w:t>מטעם זה צוין זה מכבר בפסיקת בית משפט זה</w:t>
      </w:r>
      <w:r>
        <w:rPr>
          <w:rtl w:val="true"/>
        </w:rPr>
        <w:t xml:space="preserve">, </w:t>
      </w:r>
      <w:r>
        <w:rPr>
          <w:rtl w:val="true"/>
        </w:rPr>
        <w:t>כי לשם הכרעה בין חוות דעת חולקות יש לשקול את רמתם המקצועית של המומחים אשר חיברו אותן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טיב הכשרתם והיקף ניסיונם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1839/92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 xml:space="preserve"> (</w:t>
      </w:r>
      <w:r>
        <w:rPr/>
        <w:t>4.9.1994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 אדגיש</w:t>
      </w:r>
      <w:r>
        <w:rPr>
          <w:rtl w:val="true"/>
        </w:rPr>
        <w:t xml:space="preserve">, </w:t>
      </w:r>
      <w:r>
        <w:rPr>
          <w:rtl w:val="true"/>
        </w:rPr>
        <w:t xml:space="preserve">כי הערכת מקצועיותו של מומחה על בסיס התרשמות </w:t>
      </w:r>
      <w:r>
        <w:rPr>
          <w:rtl w:val="true"/>
        </w:rPr>
        <w:t>"</w:t>
      </w:r>
      <w:r>
        <w:rPr>
          <w:rtl w:val="true"/>
        </w:rPr>
        <w:t>יבשה</w:t>
      </w:r>
      <w:r>
        <w:rPr>
          <w:rtl w:val="true"/>
        </w:rPr>
        <w:t xml:space="preserve">" </w:t>
      </w:r>
      <w:r>
        <w:rPr>
          <w:rtl w:val="true"/>
        </w:rPr>
        <w:t>מקורות חייו ומהישגיו המקצועיים היא אך בבחינת נקודת מוצא</w:t>
      </w:r>
      <w:r>
        <w:rPr>
          <w:rtl w:val="true"/>
        </w:rPr>
        <w:t xml:space="preserve">, </w:t>
      </w:r>
      <w:r>
        <w:rPr>
          <w:rtl w:val="true"/>
        </w:rPr>
        <w:t>ומשום הנחה הניתנת לסתירה</w:t>
      </w:r>
      <w:r>
        <w:rPr>
          <w:rtl w:val="true"/>
        </w:rPr>
        <w:t xml:space="preserve">, </w:t>
      </w:r>
      <w:r>
        <w:rPr>
          <w:rtl w:val="true"/>
        </w:rPr>
        <w:t>אשר לעד תיסוג מפני התרשמותה הישירה והבלתי אמצעית של הערכאה הדיונית ממהימנות עמדת המומחה בהקשר המסוים הטעון הכרעה</w:t>
      </w:r>
      <w:r>
        <w:rPr>
          <w:rtl w:val="true"/>
        </w:rPr>
        <w:t xml:space="preserve">. </w:t>
      </w:r>
      <w:r>
        <w:rPr>
          <w:rtl w:val="true"/>
        </w:rPr>
        <w:t>להערה זו חשיבות לא מבוטלת במישור השוויון בין נאשמים שונים ובינם לבין רשויות החקירה</w:t>
      </w:r>
      <w:r>
        <w:rPr>
          <w:rtl w:val="true"/>
        </w:rPr>
        <w:t xml:space="preserve">, </w:t>
      </w:r>
      <w:r>
        <w:rPr>
          <w:rtl w:val="true"/>
        </w:rPr>
        <w:t>שהרי ייחוס משקל מכריע למעמדו המקצועי של מומחה יכרוך בחובו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פגיעה באלה שאין ידם משגת את שירותיהם של המומחים מן השורה הראשונה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קודקייב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בפסיכיאטריה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קודקייב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בפסיכיאטריה</w:t>
      </w:r>
      <w:r>
        <w:rPr>
          <w:rtl w:val="true"/>
        </w:rPr>
        <w:t xml:space="preserve">. </w:t>
      </w:r>
      <w:r>
        <w:rPr>
          <w:rtl w:val="true"/>
        </w:rPr>
        <w:t>משהתייצבו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קודקייב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במסגרת הערכת מהימנותן של חוות הדעת וקביעת משקלן</w:t>
      </w:r>
      <w:r>
        <w:rPr>
          <w:rtl w:val="true"/>
        </w:rPr>
        <w:t xml:space="preserve">, </w:t>
      </w:r>
      <w:r>
        <w:rPr>
          <w:rtl w:val="true"/>
        </w:rPr>
        <w:t>על בית המשפט לבחון את התשתית העובדתית המצויה ביסודן ואת מידת מקצועיותו של ההליך אשר הוביל לחיבורן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 בעבר כי ככלל</w:t>
      </w:r>
      <w:r>
        <w:rPr>
          <w:rtl w:val="true"/>
        </w:rPr>
        <w:t xml:space="preserve">, </w:t>
      </w:r>
      <w:r>
        <w:rPr>
          <w:rtl w:val="true"/>
        </w:rPr>
        <w:t>נדרש עורך חוות הדעת לעיין במכלול הנתונים הקיימים בעניינו של המערער</w:t>
      </w:r>
      <w:r>
        <w:rPr>
          <w:rtl w:val="true"/>
        </w:rPr>
        <w:t xml:space="preserve">, </w:t>
      </w:r>
      <w:r>
        <w:rPr>
          <w:rtl w:val="true"/>
        </w:rPr>
        <w:t>לרבות חומרי החקירה השונים</w:t>
      </w:r>
      <w:r>
        <w:rPr>
          <w:rtl w:val="true"/>
        </w:rPr>
        <w:t xml:space="preserve">. </w:t>
      </w:r>
      <w:r>
        <w:rPr>
          <w:rtl w:val="true"/>
        </w:rPr>
        <w:t>כפועל יוצא</w:t>
      </w:r>
      <w:r>
        <w:rPr>
          <w:rtl w:val="true"/>
        </w:rPr>
        <w:t xml:space="preserve">, </w:t>
      </w:r>
      <w:r>
        <w:rPr>
          <w:rtl w:val="true"/>
        </w:rPr>
        <w:t xml:space="preserve">חוות דעת אשר ניתנה על יסוד עובדות חלקיות </w:t>
      </w:r>
      <w:r>
        <w:rPr>
          <w:rtl w:val="true"/>
        </w:rPr>
        <w:t>–</w:t>
      </w:r>
      <w:r>
        <w:rPr>
          <w:rtl w:val="true"/>
        </w:rPr>
        <w:t xml:space="preserve"> או חלילה מוטעות </w:t>
      </w:r>
      <w:r>
        <w:rPr>
          <w:rtl w:val="true"/>
        </w:rPr>
        <w:t>–</w:t>
      </w:r>
      <w:r>
        <w:rPr>
          <w:rtl w:val="true"/>
        </w:rPr>
        <w:t xml:space="preserve"> תאומץ במשנה זהירות על ידי בית המשפט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8653/10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(</w:t>
      </w:r>
      <w:r>
        <w:rPr/>
        <w:t>28.7.2011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5037-08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(</w:t>
      </w:r>
      <w:r>
        <w:rPr/>
        <w:t>1.9.2009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בהיבט זה</w:t>
      </w:r>
      <w:r>
        <w:rPr>
          <w:rtl w:val="true"/>
        </w:rPr>
        <w:t xml:space="preserve">, </w:t>
      </w:r>
      <w:r>
        <w:rPr>
          <w:rtl w:val="true"/>
        </w:rPr>
        <w:t>איני מתעלם מחולשת חוות דעתה של ד</w:t>
      </w:r>
      <w:r>
        <w:rPr>
          <w:rtl w:val="true"/>
        </w:rPr>
        <w:t>"</w:t>
      </w:r>
      <w:r>
        <w:rPr>
          <w:rtl w:val="true"/>
        </w:rPr>
        <w:t>ר קודקייב</w:t>
      </w:r>
      <w:r>
        <w:rPr>
          <w:rtl w:val="true"/>
        </w:rPr>
        <w:t xml:space="preserve">, </w:t>
      </w:r>
      <w:r>
        <w:rPr>
          <w:rtl w:val="true"/>
        </w:rPr>
        <w:t>אשר הלכה למעשה אינה חוות דעת רפואית שלמה</w:t>
      </w:r>
      <w:r>
        <w:rPr>
          <w:rtl w:val="true"/>
        </w:rPr>
        <w:t xml:space="preserve">, </w:t>
      </w:r>
      <w:r>
        <w:rPr>
          <w:rtl w:val="true"/>
        </w:rPr>
        <w:t>כי אם סיכום של בדיקה קצרה בת חצי שעה שערכה למערער מבלי לעיין בחומרי החקירה</w:t>
      </w:r>
      <w:r>
        <w:rPr>
          <w:rtl w:val="true"/>
        </w:rPr>
        <w:t xml:space="preserve">, </w:t>
      </w:r>
      <w:r>
        <w:rPr>
          <w:rtl w:val="true"/>
        </w:rPr>
        <w:t xml:space="preserve">כפי שציינה המומחית בעדותה </w:t>
      </w:r>
      <w:r>
        <w:rPr>
          <w:rtl w:val="true"/>
        </w:rPr>
        <w:t>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16-12</w:t>
      </w:r>
      <w:r>
        <w:rPr>
          <w:rtl w:val="true"/>
        </w:rPr>
        <w:t xml:space="preserve">). </w:t>
      </w:r>
      <w:r>
        <w:rPr>
          <w:rtl w:val="true"/>
        </w:rPr>
        <w:t>חוות דעתם של ד</w:t>
      </w:r>
      <w:r>
        <w:rPr>
          <w:rtl w:val="true"/>
        </w:rPr>
        <w:t>"</w:t>
      </w:r>
      <w:r>
        <w:rPr>
          <w:rtl w:val="true"/>
        </w:rPr>
        <w:t>ר שרף וד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חוברו על סמך תשתית עובדתית דומה</w:t>
      </w:r>
      <w:r>
        <w:rPr>
          <w:rtl w:val="true"/>
        </w:rPr>
        <w:t xml:space="preserve">, </w:t>
      </w:r>
      <w:r>
        <w:rPr>
          <w:rtl w:val="true"/>
        </w:rPr>
        <w:t>אשר כללה הן את תיקו הרפואי של המערער</w:t>
      </w:r>
      <w:r>
        <w:rPr>
          <w:rtl w:val="true"/>
        </w:rPr>
        <w:t xml:space="preserve">, </w:t>
      </w:r>
      <w:r>
        <w:rPr>
          <w:rtl w:val="true"/>
        </w:rPr>
        <w:t>הן מסמכים מתוך ההליך המשפטי 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סוגיה משלימה אשר משליכה על המשקל שיש לייחס לחוות דעת היא המידה בה נשקפת ממנה גישה מאוזנת ביחס לשאלה הטעונה הכרעה</w:t>
      </w:r>
      <w:r>
        <w:rPr>
          <w:rtl w:val="true"/>
        </w:rPr>
        <w:t xml:space="preserve">.  </w:t>
      </w:r>
      <w:r>
        <w:rPr>
          <w:rtl w:val="true"/>
        </w:rPr>
        <w:t>כידוע</w:t>
      </w:r>
      <w:r>
        <w:rPr>
          <w:rtl w:val="true"/>
        </w:rPr>
        <w:t>, "</w:t>
      </w:r>
      <w:r>
        <w:rPr>
          <w:sz w:val="28"/>
          <w:sz w:val="28"/>
          <w:rtl w:val="true"/>
        </w:rPr>
        <w:t>הפסיכיאטריה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 הרפואה בכלל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אינה מדע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מדויק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אינה מתמטיקה ואינה באה בגדר פלט מחשב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נבכי נפש האדם בחלקם הניכר עודם תורת הנסתר</w:t>
      </w:r>
      <w:r>
        <w:rPr>
          <w:sz w:val="28"/>
          <w:rtl w:val="true"/>
        </w:rPr>
        <w:t>" (</w:t>
      </w:r>
      <w:hyperlink r:id="rId5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549/06</w:t>
        </w:r>
      </w:hyperlink>
      <w:r>
        <w:rPr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ב 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15.5.2006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יש להשקיף בחשדנות קמעה על חוות דעת פסיכיאטרית אשר מתיימרת להציג תשובה נחרצת וחד</w:t>
      </w:r>
      <w:r>
        <w:rPr>
          <w:rtl w:val="true"/>
        </w:rPr>
        <w:t>-</w:t>
      </w:r>
      <w:r>
        <w:rPr>
          <w:rtl w:val="true"/>
        </w:rPr>
        <w:t>ממדית</w:t>
      </w:r>
      <w:r>
        <w:rPr>
          <w:rtl w:val="true"/>
        </w:rPr>
        <w:t xml:space="preserve">, </w:t>
      </w:r>
      <w:r>
        <w:rPr>
          <w:rtl w:val="true"/>
        </w:rPr>
        <w:t xml:space="preserve">תוך התעלמות מתזות נוגדות ומספקות שטבעם להתעורר בעת התבוננות אל תוך נפש האדם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5007-08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אבשלומוב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38-34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3.5.2009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 דינו מצא בית משפט קמא להבחין בין חוות הדעת של ד</w:t>
      </w:r>
      <w:r>
        <w:rPr>
          <w:rtl w:val="true"/>
        </w:rPr>
        <w:t>"</w:t>
      </w:r>
      <w:r>
        <w:rPr>
          <w:rtl w:val="true"/>
        </w:rPr>
        <w:t>ר שרף לבין זו של ד</w:t>
      </w:r>
      <w:r>
        <w:rPr>
          <w:rtl w:val="true"/>
        </w:rPr>
        <w:t>"</w:t>
      </w:r>
      <w:r>
        <w:rPr>
          <w:rtl w:val="true"/>
        </w:rPr>
        <w:t>ר פוקס על יסוד זה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שרף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התייחס לנתונים אשר מחלישים את מסקנותיו ויישב אותם עם עמדתו</w:t>
      </w:r>
      <w:r>
        <w:rPr>
          <w:rtl w:val="true"/>
        </w:rPr>
        <w:t xml:space="preserve">, </w:t>
      </w:r>
      <w:r>
        <w:rPr>
          <w:rtl w:val="true"/>
        </w:rPr>
        <w:t>וכן הגיש חוות דעת משלימה בה התייחס לעמדתו הנוגדת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קיבל כפשוטה את אמירת המערער בפניו</w:t>
      </w:r>
      <w:r>
        <w:rPr>
          <w:rtl w:val="true"/>
        </w:rPr>
        <w:t xml:space="preserve">, </w:t>
      </w:r>
      <w:r>
        <w:rPr>
          <w:rtl w:val="true"/>
        </w:rPr>
        <w:t xml:space="preserve">שלפיה פוטר על ידי המתלונן </w:t>
      </w:r>
      <w:r>
        <w:rPr>
          <w:rtl w:val="true"/>
        </w:rPr>
        <w:t>"</w:t>
      </w:r>
      <w:r>
        <w:rPr>
          <w:rtl w:val="true"/>
        </w:rPr>
        <w:t>בכוונה להרוס את חייו</w:t>
      </w:r>
      <w:r>
        <w:rPr>
          <w:rtl w:val="true"/>
        </w:rPr>
        <w:t xml:space="preserve">", </w:t>
      </w:r>
      <w:r>
        <w:rPr>
          <w:rtl w:val="true"/>
        </w:rPr>
        <w:t>מבלי שדרש על אודות גרסותיו הקודמות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לא ביטאו תחושת רדיפה דומה </w:t>
      </w:r>
      <w:r>
        <w:rPr>
          <w:rtl w:val="true"/>
        </w:rPr>
        <w:t>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אני סבור כי בדין נסמך בית משפט קמא על שוני זה</w:t>
      </w:r>
      <w:r>
        <w:rPr>
          <w:rtl w:val="true"/>
        </w:rPr>
        <w:t xml:space="preserve">, </w:t>
      </w:r>
      <w:r>
        <w:rPr>
          <w:rtl w:val="true"/>
        </w:rPr>
        <w:t>בהעדיפו את חוות דעתו של ד</w:t>
      </w:r>
      <w:r>
        <w:rPr>
          <w:rtl w:val="true"/>
        </w:rPr>
        <w:t>"</w:t>
      </w:r>
      <w:r>
        <w:rPr>
          <w:rtl w:val="true"/>
        </w:rPr>
        <w:t>ר שרף על פני זו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. </w:t>
      </w:r>
      <w:r>
        <w:rPr>
          <w:rtl w:val="true"/>
        </w:rPr>
        <w:t>אף לשיטתי</w:t>
      </w:r>
      <w:r>
        <w:rPr>
          <w:rtl w:val="true"/>
        </w:rPr>
        <w:t xml:space="preserve">, </w:t>
      </w:r>
      <w:r>
        <w:rPr>
          <w:rtl w:val="true"/>
        </w:rPr>
        <w:t>אופיינה זו הראשונה בהערכה כנה ומאוזנת של כשירות המערער</w:t>
      </w:r>
      <w:r>
        <w:rPr>
          <w:rtl w:val="true"/>
        </w:rPr>
        <w:t xml:space="preserve">, </w:t>
      </w:r>
      <w:r>
        <w:rPr>
          <w:rtl w:val="true"/>
        </w:rPr>
        <w:t>אשר באה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בכך שנכון היה להניח לטובתו כי אכן סבל ממחלת נפש פעילה בעת 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לבסוף</w:t>
      </w:r>
      <w:r>
        <w:rPr>
          <w:rtl w:val="true"/>
        </w:rPr>
        <w:t xml:space="preserve">, </w:t>
      </w:r>
      <w:r>
        <w:rPr>
          <w:rtl w:val="true"/>
        </w:rPr>
        <w:t>אל לבית המשפט לתחום את בירורו בדבר מצבו הנפשי של הנאשם לד</w:t>
      </w:r>
      <w:r>
        <w:rPr>
          <w:rtl w:val="true"/>
        </w:rPr>
        <w:t xml:space="preserve">' </w:t>
      </w:r>
      <w:r>
        <w:rPr>
          <w:rtl w:val="true"/>
        </w:rPr>
        <w:t>אמותיהן של חוות הדעת הרפואיות</w:t>
      </w:r>
      <w:r>
        <w:rPr>
          <w:rtl w:val="true"/>
        </w:rPr>
        <w:t xml:space="preserve">, </w:t>
      </w:r>
      <w:r>
        <w:rPr>
          <w:rtl w:val="true"/>
        </w:rPr>
        <w:t>ועליו לבחון באופן עצמאי</w:t>
      </w:r>
      <w:r>
        <w:rPr>
          <w:rtl w:val="true"/>
        </w:rPr>
        <w:t xml:space="preserve">, </w:t>
      </w:r>
      <w:r>
        <w:rPr>
          <w:rtl w:val="true"/>
        </w:rPr>
        <w:t>על סמך ניסיון החיים והשכל הישר</w:t>
      </w:r>
      <w:r>
        <w:rPr>
          <w:rtl w:val="true"/>
        </w:rPr>
        <w:t xml:space="preserve">, </w:t>
      </w:r>
      <w:r>
        <w:rPr>
          <w:rtl w:val="true"/>
        </w:rPr>
        <w:t>את מעשיו של מבצע העבירה ואת התנהגותו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ההכרעה בדבר כשירותו של נאשם לשאת באחריות פלילית אינה עניין מדעי</w:t>
      </w:r>
      <w:r>
        <w:rPr>
          <w:rtl w:val="true"/>
        </w:rPr>
        <w:t xml:space="preserve">, </w:t>
      </w:r>
      <w:r>
        <w:rPr>
          <w:rtl w:val="true"/>
        </w:rPr>
        <w:t>כי אם סוגיה שבמשפט</w:t>
      </w:r>
      <w:r>
        <w:rPr>
          <w:rtl w:val="true"/>
        </w:rPr>
        <w:t xml:space="preserve">, </w:t>
      </w:r>
      <w:r>
        <w:rPr>
          <w:rtl w:val="true"/>
        </w:rPr>
        <w:t xml:space="preserve">ומשום כך דינה של חוות דעת אשר אינה מתיישבת עם המארג הראייתי שנפרש בפני המותב היושב בדין </w:t>
      </w:r>
      <w:r>
        <w:rPr>
          <w:rtl w:val="true"/>
        </w:rPr>
        <w:t>–</w:t>
      </w:r>
      <w:r>
        <w:rPr>
          <w:rtl w:val="true"/>
        </w:rPr>
        <w:t xml:space="preserve"> להיוותר תלויה על בלימה</w:t>
      </w:r>
      <w:r>
        <w:rPr>
          <w:rtl w:val="true"/>
        </w:rPr>
        <w:t xml:space="preserve">, </w:t>
      </w:r>
      <w:r>
        <w:rPr>
          <w:rtl w:val="true"/>
        </w:rPr>
        <w:t xml:space="preserve">ולהידחות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דאני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במסגרת בחינה זו</w:t>
      </w:r>
      <w:r>
        <w:rPr>
          <w:rtl w:val="true"/>
        </w:rPr>
        <w:t xml:space="preserve">, </w:t>
      </w:r>
      <w:r>
        <w:rPr>
          <w:rtl w:val="true"/>
        </w:rPr>
        <w:t>נדרשו הערכאות השונות לא אחת לדון בעניינם של נאשמים אשר טענו להיעדר אחריות פלילית</w:t>
      </w:r>
      <w:r>
        <w:rPr>
          <w:rtl w:val="true"/>
        </w:rPr>
        <w:t xml:space="preserve">, </w:t>
      </w:r>
      <w:r>
        <w:rPr>
          <w:rtl w:val="true"/>
        </w:rPr>
        <w:t>על אף שמעשיהם שיקפו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התנהלות מחושבת ומאורגנת</w:t>
      </w:r>
      <w:r>
        <w:rPr>
          <w:rtl w:val="true"/>
        </w:rPr>
        <w:t xml:space="preserve">. </w:t>
      </w:r>
      <w:r>
        <w:rPr>
          <w:rtl w:val="true"/>
        </w:rPr>
        <w:t>בהיבט זה ידועה פסיקת בית משפט זה 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8220/02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ברוכים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724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), </w:t>
      </w:r>
      <w:r>
        <w:rPr>
          <w:rtl w:val="true"/>
        </w:rPr>
        <w:t>ממנה ביקש המערער להיבנות</w:t>
      </w:r>
      <w:r>
        <w:rPr>
          <w:rtl w:val="true"/>
        </w:rPr>
        <w:t xml:space="preserve">. </w:t>
      </w:r>
      <w:r>
        <w:rPr>
          <w:rtl w:val="true"/>
        </w:rPr>
        <w:t xml:space="preserve">באותו עניין קבע בית משפט זה כי עמדה למערער דשם הגנת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 אף שפעל באופן מתוכנן וקפדני</w:t>
      </w:r>
      <w:r>
        <w:rPr>
          <w:rtl w:val="true"/>
        </w:rPr>
        <w:t xml:space="preserve">, </w:t>
      </w:r>
      <w:r>
        <w:rPr>
          <w:rtl w:val="true"/>
        </w:rPr>
        <w:t xml:space="preserve">בהדגישו כי אין בהתנהלות מעין זו כדי לשלול </w:t>
      </w:r>
      <w:r>
        <w:rPr>
          <w:rtl w:val="true"/>
        </w:rPr>
        <w:t>"</w:t>
      </w:r>
      <w:r>
        <w:rPr>
          <w:rtl w:val="true"/>
        </w:rPr>
        <w:t>את האפשרות שאדם פעל תחת שליטה של דלוזיה חולנית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766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אני סבור כי אין להרחיק לכת ולבטל עדויות להתנהלות מחושבת במחי יד</w:t>
      </w:r>
      <w:r>
        <w:rPr>
          <w:rtl w:val="true"/>
        </w:rPr>
        <w:t xml:space="preserve">. </w:t>
      </w:r>
      <w:r>
        <w:rPr>
          <w:rtl w:val="true"/>
        </w:rPr>
        <w:t>כפי שנפסק לאחרונה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מקימה התנהלות מעין זו חזקה עובדתית לכך שהיה בכוחו של נאשם לשלוט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שאותה עליו להפריך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רצוף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28-27</w:t>
      </w:r>
      <w:r>
        <w:rPr>
          <w:rtl w:val="true"/>
        </w:rPr>
        <w:t xml:space="preserve">), </w:t>
      </w:r>
      <w:r>
        <w:rPr>
          <w:rtl w:val="true"/>
        </w:rPr>
        <w:t>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באזכורם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אגוז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ומאורגנת</w:t>
      </w:r>
      <w:r>
        <w:rPr>
          <w:rtl w:val="true"/>
        </w:rPr>
        <w:t xml:space="preserve">, </w:t>
      </w:r>
      <w:r>
        <w:rPr>
          <w:rtl w:val="true"/>
        </w:rPr>
        <w:t>המאפיינת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ופסולה</w:t>
      </w:r>
      <w:r>
        <w:rPr>
          <w:rtl w:val="true"/>
        </w:rPr>
        <w:t xml:space="preserve">. </w:t>
      </w:r>
      <w:r>
        <w:rPr>
          <w:rtl w:val="true"/>
        </w:rPr>
        <w:t>בתמונה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פוקס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מתחדדת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המצטיירת</w:t>
      </w:r>
      <w:r>
        <w:rPr>
          <w:rtl w:val="true"/>
        </w:rPr>
        <w:t xml:space="preserve">. </w:t>
      </w:r>
      <w:r>
        <w:rPr>
          <w:rtl w:val="true"/>
        </w:rPr>
        <w:t>משבחר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28.12.2011</w:t>
      </w:r>
      <w:r>
        <w:rPr>
          <w:rtl w:val="true"/>
        </w:rPr>
        <w:t xml:space="preserve">)).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תחולת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אי־שפיות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בחינת חוות הדעת הפסיכיאטריות על פי אמות המידה שהותוו לעיל מלמדת כי בדין מצא בית משפט קמא להעדיף את עמדתם של ד</w:t>
      </w:r>
      <w:r>
        <w:rPr>
          <w:rtl w:val="true"/>
        </w:rPr>
        <w:t>"</w:t>
      </w:r>
      <w:r>
        <w:rPr>
          <w:rtl w:val="true"/>
        </w:rPr>
        <w:t>ר קודקייב ושל ד</w:t>
      </w:r>
      <w:r>
        <w:rPr>
          <w:rtl w:val="true"/>
        </w:rPr>
        <w:t>"</w:t>
      </w:r>
      <w:r>
        <w:rPr>
          <w:rtl w:val="true"/>
        </w:rPr>
        <w:t xml:space="preserve">ר שרף </w:t>
      </w:r>
      <w:r>
        <w:rPr>
          <w:rtl w:val="true"/>
        </w:rPr>
        <w:t>–</w:t>
      </w:r>
      <w:r>
        <w:rPr>
          <w:rtl w:val="true"/>
        </w:rPr>
        <w:t xml:space="preserve"> אשר סברו</w:t>
      </w:r>
      <w:r>
        <w:rPr>
          <w:rtl w:val="true"/>
        </w:rPr>
        <w:t xml:space="preserve">, </w:t>
      </w:r>
      <w:r>
        <w:rPr>
          <w:rtl w:val="true"/>
        </w:rPr>
        <w:t>הגם שמטעמים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היה אחראי למעשיו </w:t>
      </w:r>
      <w:r>
        <w:rPr>
          <w:rtl w:val="true"/>
        </w:rPr>
        <w:t>–</w:t>
      </w:r>
      <w:r>
        <w:rPr>
          <w:rtl w:val="true"/>
        </w:rPr>
        <w:t xml:space="preserve"> על פני עמדתו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. </w:t>
      </w:r>
      <w:r>
        <w:rPr>
          <w:rtl w:val="true"/>
        </w:rPr>
        <w:t>כפי שניתן להיווכח</w:t>
      </w:r>
      <w:r>
        <w:rPr>
          <w:rtl w:val="true"/>
        </w:rPr>
        <w:t xml:space="preserve">, </w:t>
      </w:r>
      <w:r>
        <w:rPr>
          <w:rtl w:val="true"/>
        </w:rPr>
        <w:t>מעוגנת הכרעה זו היטב בהתרשמותו הבלתי אמצעית ממהימנותם וממקצועיותם של המומחים</w:t>
      </w:r>
      <w:r>
        <w:rPr>
          <w:rtl w:val="true"/>
        </w:rPr>
        <w:t xml:space="preserve">; </w:t>
      </w:r>
      <w:r>
        <w:rPr>
          <w:rtl w:val="true"/>
        </w:rPr>
        <w:t>ביתרונה של ד</w:t>
      </w:r>
      <w:r>
        <w:rPr>
          <w:rtl w:val="true"/>
        </w:rPr>
        <w:t>"</w:t>
      </w:r>
      <w:r>
        <w:rPr>
          <w:rtl w:val="true"/>
        </w:rPr>
        <w:t>ר קודקייב</w:t>
      </w:r>
      <w:r>
        <w:rPr>
          <w:rtl w:val="true"/>
        </w:rPr>
        <w:t xml:space="preserve">, </w:t>
      </w:r>
      <w:r>
        <w:rPr>
          <w:rtl w:val="true"/>
        </w:rPr>
        <w:t>אשר בדקה את המערער בסמוך לאחר מעשה</w:t>
      </w:r>
      <w:r>
        <w:rPr>
          <w:rtl w:val="true"/>
        </w:rPr>
        <w:t xml:space="preserve">, </w:t>
      </w:r>
      <w:r>
        <w:rPr>
          <w:rtl w:val="true"/>
        </w:rPr>
        <w:t>וזאת בשל סמיכות הזמנים שבין הבדיקה שערכה לבין ניסיון הרצח</w:t>
      </w:r>
      <w:r>
        <w:rPr>
          <w:rtl w:val="true"/>
        </w:rPr>
        <w:t xml:space="preserve">; </w:t>
      </w:r>
      <w:r>
        <w:rPr>
          <w:rtl w:val="true"/>
        </w:rPr>
        <w:t>בקשיים שנתגלעו בחוות דעתו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, </w:t>
      </w:r>
      <w:r>
        <w:rPr>
          <w:rtl w:val="true"/>
        </w:rPr>
        <w:t>אשר נמנעה מהתייחסות לגרסתו המתפתחת של המערער</w:t>
      </w:r>
      <w:r>
        <w:rPr>
          <w:rtl w:val="true"/>
        </w:rPr>
        <w:t xml:space="preserve">; </w:t>
      </w:r>
      <w:r>
        <w:rPr>
          <w:rtl w:val="true"/>
        </w:rPr>
        <w:t>ובעובדות המקרה</w:t>
      </w:r>
      <w:r>
        <w:rPr>
          <w:rtl w:val="true"/>
        </w:rPr>
        <w:t xml:space="preserve">, </w:t>
      </w:r>
      <w:r>
        <w:rPr>
          <w:rtl w:val="true"/>
        </w:rPr>
        <w:t>ובכללן התנהגותו של המערער</w:t>
      </w:r>
      <w:r>
        <w:rPr>
          <w:rtl w:val="true"/>
        </w:rPr>
        <w:t xml:space="preserve">, </w:t>
      </w:r>
      <w:r>
        <w:rPr>
          <w:rtl w:val="true"/>
        </w:rPr>
        <w:t>אשר אינה מרמזת על קושי מצידו להבין את הפסול שבמעשיו</w:t>
      </w:r>
      <w:r>
        <w:rPr>
          <w:rtl w:val="true"/>
        </w:rPr>
        <w:t xml:space="preserve">, </w:t>
      </w:r>
      <w:r>
        <w:rPr>
          <w:rtl w:val="true"/>
        </w:rPr>
        <w:t>בניגוד לסברתו של ד</w:t>
      </w:r>
      <w:r>
        <w:rPr>
          <w:rtl w:val="true"/>
        </w:rPr>
        <w:t>"</w:t>
      </w:r>
      <w:r>
        <w:rPr>
          <w:rtl w:val="true"/>
        </w:rPr>
        <w:t>ר פוקס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לא נותר בי ספק ביחס לכשירותו של המערער לשאת באחריות פלילית בשל מעשיו</w:t>
      </w:r>
      <w:r>
        <w:rPr>
          <w:rtl w:val="true"/>
        </w:rPr>
        <w:t xml:space="preserve">. </w:t>
      </w:r>
      <w:r>
        <w:rPr>
          <w:rtl w:val="true"/>
        </w:rPr>
        <w:t>כבית משפט קמא</w:t>
      </w:r>
      <w:r>
        <w:rPr>
          <w:rtl w:val="true"/>
        </w:rPr>
        <w:t xml:space="preserve">, </w:t>
      </w:r>
      <w:r>
        <w:rPr>
          <w:rtl w:val="true"/>
        </w:rPr>
        <w:t>אני סבור כי התבוננות בחומר הראיות בכללותו</w:t>
      </w:r>
      <w:r>
        <w:rPr>
          <w:rtl w:val="true"/>
        </w:rPr>
        <w:t xml:space="preserve">, </w:t>
      </w:r>
      <w:r>
        <w:rPr>
          <w:rtl w:val="true"/>
        </w:rPr>
        <w:t>לרבות חוות הדעת המקצועיות שהוגשו</w:t>
      </w:r>
      <w:r>
        <w:rPr>
          <w:rtl w:val="true"/>
        </w:rPr>
        <w:t xml:space="preserve">, </w:t>
      </w:r>
      <w:r>
        <w:rPr>
          <w:rtl w:val="true"/>
        </w:rPr>
        <w:t>אינו מוליך אלא למסקנה אחת</w:t>
      </w:r>
      <w:r>
        <w:rPr>
          <w:rtl w:val="true"/>
        </w:rPr>
        <w:t xml:space="preserve">, </w:t>
      </w:r>
      <w:r>
        <w:rPr>
          <w:rtl w:val="true"/>
        </w:rPr>
        <w:t>שלפיה הבין המערער את מעשיו ואת הפסול שבהם</w:t>
      </w:r>
      <w:r>
        <w:rPr>
          <w:rtl w:val="true"/>
        </w:rPr>
        <w:t xml:space="preserve">, </w:t>
      </w:r>
      <w:r>
        <w:rPr>
          <w:rtl w:val="true"/>
        </w:rPr>
        <w:t>ואף היה יכול להימנע מהם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אציע לדחות את טענתו לתחולת סייג אי־שפיות הדעת הקבוע </w:t>
      </w:r>
      <w:hyperlink r:id="rId5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התקיימות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הרשע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יסוד ה</w:t>
      </w:r>
      <w:r>
        <w:rPr>
          <w:rtl w:val="true"/>
        </w:rPr>
        <w:t>"</w:t>
      </w:r>
      <w:r>
        <w:rPr>
          <w:rtl w:val="true"/>
        </w:rPr>
        <w:t>כוונ</w:t>
      </w:r>
      <w:r>
        <w:rPr>
          <w:rtl w:val="true"/>
        </w:rPr>
        <w:t>ה תחילה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הוכחת</w:t>
      </w:r>
      <w:r>
        <w:rPr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עבירת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סיון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העונשין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65</w:t>
      </w:r>
      <w:r>
        <w:rPr>
          <w:rtl w:val="true"/>
        </w:rPr>
        <w:t xml:space="preserve"> (</w:t>
      </w:r>
      <w:r>
        <w:rPr/>
        <w:t>15.12.2015</w:t>
      </w:r>
      <w:r>
        <w:rPr>
          <w:rtl w:val="true"/>
        </w:rPr>
        <w:t xml:space="preserve">)). </w:t>
      </w:r>
      <w:r>
        <w:rPr>
          <w:rtl w:val="true"/>
        </w:rPr>
        <w:t>ליסוד ה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מרכיבים</w:t>
      </w:r>
      <w:r>
        <w:rPr>
          <w:rtl w:val="true"/>
        </w:rPr>
        <w:t xml:space="preserve">: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tl w:val="true"/>
        </w:rPr>
        <w:t xml:space="preserve"> </w:t>
      </w:r>
      <w:r>
        <w:rPr>
          <w:rtl w:val="true"/>
        </w:rPr>
        <w:t xml:space="preserve">קנטור </w:t>
      </w:r>
      <w:r>
        <w:rPr>
          <w:rtl w:val="true"/>
        </w:rPr>
        <w:t>ו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מאחר שהשגתו של המערער אינה מופנית כלפי מרכיבי היעדר הקנטור וההכנה</w:t>
      </w:r>
      <w:r>
        <w:rPr>
          <w:rtl w:val="true"/>
        </w:rPr>
        <w:t xml:space="preserve">, </w:t>
      </w:r>
      <w:r>
        <w:rPr>
          <w:rtl w:val="true"/>
        </w:rPr>
        <w:t>מתמצה חזית המחלוקת במרכיב ה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", </w:t>
      </w:r>
      <w:r>
        <w:rPr>
          <w:rtl w:val="true"/>
        </w:rPr>
        <w:t>המחייב הוכחה כי הנאשם צפה את התרחשות התוצאה הקטלנית</w:t>
      </w:r>
      <w:r>
        <w:rPr>
          <w:rtl w:val="true"/>
        </w:rPr>
        <w:t xml:space="preserve">, </w:t>
      </w:r>
      <w:r>
        <w:rPr>
          <w:rtl w:val="true"/>
        </w:rPr>
        <w:t xml:space="preserve">וכן רצה או שאף כי זו תתגשם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גריבוב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פסקות </w:t>
      </w:r>
      <w:r>
        <w:rPr/>
        <w:t>28-26</w:t>
      </w:r>
      <w:r>
        <w:rPr>
          <w:rtl w:val="true"/>
        </w:rPr>
        <w:t xml:space="preserve"> (</w:t>
      </w:r>
      <w:r>
        <w:rPr/>
        <w:t>3.10.2017</w:t>
      </w:r>
      <w:r>
        <w:rPr>
          <w:rtl w:val="true"/>
        </w:rPr>
        <w:t>)).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משליך המערער את יהבו על פסיקת בית משפט זה ב</w:t>
      </w:r>
      <w:hyperlink r:id="rId6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5031/01</w:t>
        </w:r>
      </w:hyperlink>
      <w:r>
        <w:rPr>
          <w:rtl w:val="true"/>
        </w:rPr>
        <w:t xml:space="preserve">. </w:t>
      </w:r>
      <w:r>
        <w:rPr>
          <w:rtl w:val="true"/>
        </w:rPr>
        <w:t>בפרשה זו</w:t>
      </w:r>
      <w:r>
        <w:rPr>
          <w:rtl w:val="true"/>
        </w:rPr>
        <w:t xml:space="preserve">, </w:t>
      </w:r>
      <w:r>
        <w:rPr>
          <w:rtl w:val="true"/>
        </w:rPr>
        <w:t>זוכתה מאשמת רצח אישה אשר סבלה ממחלת נפש</w:t>
      </w:r>
      <w:r>
        <w:rPr>
          <w:rtl w:val="true"/>
        </w:rPr>
        <w:t xml:space="preserve">, </w:t>
      </w:r>
      <w:r>
        <w:rPr>
          <w:rtl w:val="true"/>
        </w:rPr>
        <w:t>ותחתה הורשעה בעבירת הריגה</w:t>
      </w:r>
      <w:r>
        <w:rPr>
          <w:rtl w:val="true"/>
        </w:rPr>
        <w:t xml:space="preserve">, </w:t>
      </w:r>
      <w:r>
        <w:rPr>
          <w:rtl w:val="true"/>
        </w:rPr>
        <w:t xml:space="preserve">תוך שנקבע כי הלחץ הנפשי החריף בו הייתה נתונה מנע ממנה </w:t>
      </w:r>
      <w:r>
        <w:rPr>
          <w:rtl w:val="true"/>
        </w:rPr>
        <w:t>"</w:t>
      </w:r>
      <w:r>
        <w:rPr>
          <w:rtl w:val="true"/>
        </w:rPr>
        <w:t>גיבוש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 </w:t>
      </w:r>
      <w:r>
        <w:rPr>
          <w:rtl w:val="true"/>
        </w:rPr>
        <w:t>שקולה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646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אף שנקבע כי לא עמד לזכותה סייג אי־שפיות הדעת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לא מצאתי ממש בטענה זו</w:t>
      </w:r>
      <w:r>
        <w:rPr>
          <w:rtl w:val="true"/>
        </w:rPr>
        <w:t xml:space="preserve">, </w:t>
      </w:r>
      <w:r>
        <w:rPr>
          <w:rtl w:val="true"/>
        </w:rPr>
        <w:t>אף מבלי להידרש לקושי הטמון בהעלאתה לראשונה בערכאת הערעור</w:t>
      </w:r>
      <w:r>
        <w:rPr>
          <w:rtl w:val="true"/>
        </w:rPr>
        <w:t xml:space="preserve">, </w:t>
      </w:r>
      <w:r>
        <w:rPr>
          <w:rtl w:val="true"/>
        </w:rPr>
        <w:t>ובהיעדרה של עדות מטעם המערער המאפשרת את ביסוסה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שפסק בית משפט זה בפרשות קודמות שבהן נטען לתחולתה של ההלכה שנקבעה ב</w:t>
      </w:r>
      <w:hyperlink r:id="rId6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5031/01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להבחין בדקדוק רב בין נסיבותיו הפרטניות של כל מקרה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שהרי הזיכוי שעליו הורה בית משפט זה באותו עניין אינו אלא תולדה של נסיבות חריגות ביותר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5570/01</w:t>
        </w:r>
      </w:hyperlink>
      <w:r>
        <w:rPr>
          <w:rFonts w:cs="Century" w:ascii="Century" w:hAnsi="Century"/>
          <w:sz w:val="22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מיכאלי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עו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5.2.2007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מבהירה הבחנה זו היטב מדוע לא ניתן</w:t>
      </w:r>
      <w:r>
        <w:rPr>
          <w:rtl w:val="true"/>
        </w:rPr>
        <w:t xml:space="preserve">, </w:t>
      </w:r>
      <w:r>
        <w:rPr>
          <w:rtl w:val="true"/>
        </w:rPr>
        <w:t>בנסיבות המקרה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להקיש מפרשת </w:t>
      </w:r>
      <w:hyperlink r:id="rId6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5031/01</w:t>
        </w:r>
      </w:hyperlink>
      <w:r>
        <w:rPr>
          <w:rtl w:val="true"/>
        </w:rPr>
        <w:t xml:space="preserve"> </w:t>
      </w:r>
      <w:r>
        <w:rPr>
          <w:rtl w:val="true"/>
        </w:rPr>
        <w:t>ולזכות את המערער מהרשעתו בעבירת ניסיון לרצח</w:t>
      </w:r>
      <w:r>
        <w:rPr>
          <w:rtl w:val="true"/>
        </w:rPr>
        <w:t xml:space="preserve">. </w:t>
      </w:r>
      <w:r>
        <w:rPr>
          <w:rtl w:val="true"/>
        </w:rPr>
        <w:t>אבאר עמדה זו להלן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</w:t>
      </w:r>
      <w:hyperlink r:id="rId7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5031/01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נידון עניינה של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שה</w:t>
      </w:r>
      <w:r>
        <w:rPr>
          <w:rtl w:val="true"/>
        </w:rPr>
        <w:t xml:space="preserve"> </w:t>
      </w:r>
      <w:r>
        <w:rPr>
          <w:rtl w:val="true"/>
        </w:rPr>
        <w:t>אשר אובחנה כלוקה ב</w:t>
      </w:r>
      <w:r>
        <w:rPr>
          <w:rtl w:val="true"/>
        </w:rPr>
        <w:t>סכיזופרניה</w:t>
      </w:r>
      <w:r>
        <w:rPr>
          <w:rtl w:val="true"/>
        </w:rPr>
        <w:t xml:space="preserve"> </w:t>
      </w:r>
      <w:r>
        <w:rPr>
          <w:rtl w:val="true"/>
        </w:rPr>
        <w:t>פרנואידית</w:t>
      </w:r>
      <w:r>
        <w:rPr>
          <w:rtl w:val="true"/>
        </w:rPr>
        <w:t xml:space="preserve">, </w:t>
      </w:r>
      <w:r>
        <w:rPr>
          <w:rtl w:val="true"/>
        </w:rPr>
        <w:t xml:space="preserve">עברה אשפוזים </w:t>
      </w:r>
      <w:r>
        <w:rPr>
          <w:rtl w:val="true"/>
        </w:rPr>
        <w:t>פסיכיאטריים</w:t>
      </w:r>
      <w:r>
        <w:rPr>
          <w:rtl w:val="true"/>
        </w:rPr>
        <w:t xml:space="preserve"> </w:t>
      </w:r>
      <w:r>
        <w:rPr>
          <w:rtl w:val="true"/>
        </w:rPr>
        <w:t>חוזרים</w:t>
      </w:r>
      <w:r>
        <w:rPr>
          <w:rtl w:val="true"/>
        </w:rPr>
        <w:t xml:space="preserve">, </w:t>
      </w:r>
      <w:r>
        <w:rPr>
          <w:rtl w:val="true"/>
        </w:rPr>
        <w:t>וניסתה לא אחת לשלוח יד בנפשה</w:t>
      </w:r>
      <w:r>
        <w:rPr>
          <w:rtl w:val="true"/>
        </w:rPr>
        <w:t xml:space="preserve">. </w:t>
      </w:r>
      <w:r>
        <w:rPr>
          <w:rtl w:val="true"/>
        </w:rPr>
        <w:t>באחד הימים</w:t>
      </w:r>
      <w:r>
        <w:rPr>
          <w:rtl w:val="true"/>
        </w:rPr>
        <w:t xml:space="preserve">, </w:t>
      </w:r>
      <w:r>
        <w:rPr>
          <w:rtl w:val="true"/>
        </w:rPr>
        <w:t>עת הייתה נתונה בסערת רוח</w:t>
      </w:r>
      <w:r>
        <w:rPr>
          <w:rtl w:val="true"/>
        </w:rPr>
        <w:t xml:space="preserve">, </w:t>
      </w:r>
      <w:r>
        <w:rPr>
          <w:rtl w:val="true"/>
        </w:rPr>
        <w:t>המיתה את בנה התינוק על ידי השלכתו מהחלון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 </w:t>
      </w:r>
      <w:r>
        <w:rPr>
          <w:rtl w:val="true"/>
        </w:rPr>
        <w:t xml:space="preserve">אף השליכה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כלבה</w:t>
      </w:r>
      <w:r>
        <w:rPr>
          <w:rtl w:val="true"/>
        </w:rPr>
        <w:t xml:space="preserve"> </w:t>
      </w:r>
      <w:r>
        <w:rPr>
          <w:rtl w:val="true"/>
        </w:rPr>
        <w:t>ואת תרופותיה</w:t>
      </w:r>
      <w:r>
        <w:rPr>
          <w:rtl w:val="true"/>
        </w:rPr>
        <w:t xml:space="preserve">, </w:t>
      </w:r>
      <w:r>
        <w:rPr>
          <w:rtl w:val="true"/>
        </w:rPr>
        <w:t>ורצה</w:t>
      </w:r>
      <w:r>
        <w:rPr>
          <w:rtl w:val="true"/>
        </w:rPr>
        <w:t xml:space="preserve"> </w:t>
      </w:r>
      <w:r>
        <w:rPr>
          <w:rtl w:val="true"/>
        </w:rPr>
        <w:t xml:space="preserve">ברחוב </w:t>
      </w:r>
      <w:r>
        <w:rPr>
          <w:rtl w:val="true"/>
        </w:rPr>
        <w:t>כשהיא</w:t>
      </w:r>
      <w:r>
        <w:rPr>
          <w:rtl w:val="true"/>
        </w:rPr>
        <w:t xml:space="preserve"> </w:t>
      </w:r>
      <w:r>
        <w:rPr>
          <w:rtl w:val="true"/>
        </w:rPr>
        <w:t>עירומה</w:t>
      </w:r>
      <w:r>
        <w:rPr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במטרה להגיע אל בנה ולהורגו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לאורך הימים אשר קדמו לאירוע מחריד זה</w:t>
      </w:r>
      <w:r>
        <w:rPr>
          <w:rtl w:val="true"/>
        </w:rPr>
        <w:t xml:space="preserve">, </w:t>
      </w:r>
      <w:r>
        <w:rPr>
          <w:rtl w:val="true"/>
        </w:rPr>
        <w:t>וביום האירוע עצמו</w:t>
      </w:r>
      <w:r>
        <w:rPr>
          <w:rtl w:val="true"/>
        </w:rPr>
        <w:t xml:space="preserve">, </w:t>
      </w:r>
      <w:r>
        <w:rPr>
          <w:rtl w:val="true"/>
        </w:rPr>
        <w:t>הפגינה האישה סימני מצוקה חריגים</w:t>
      </w:r>
      <w:r>
        <w:rPr>
          <w:rtl w:val="true"/>
        </w:rPr>
        <w:t xml:space="preserve">, </w:t>
      </w:r>
      <w:r>
        <w:rPr>
          <w:rtl w:val="true"/>
        </w:rPr>
        <w:t>אשר הובילו לפניות הן מצידה עצמה</w:t>
      </w:r>
      <w:r>
        <w:rPr>
          <w:rtl w:val="true"/>
        </w:rPr>
        <w:t xml:space="preserve">, </w:t>
      </w:r>
      <w:r>
        <w:rPr>
          <w:rtl w:val="true"/>
        </w:rPr>
        <w:t>הן מצד קרוביה</w:t>
      </w:r>
      <w:r>
        <w:rPr>
          <w:rtl w:val="true"/>
        </w:rPr>
        <w:t xml:space="preserve">, </w:t>
      </w:r>
      <w:r>
        <w:rPr>
          <w:rtl w:val="true"/>
        </w:rPr>
        <w:t>במטרה להביא לאשפוזה</w:t>
      </w:r>
      <w:r>
        <w:rPr>
          <w:rtl w:val="true"/>
        </w:rPr>
        <w:t xml:space="preserve">. </w:t>
      </w:r>
      <w:r>
        <w:rPr>
          <w:rtl w:val="true"/>
        </w:rPr>
        <w:t>בית משפט זה מצא כי חוות הדעת הפסיכיאטריות שהוגשו בעניינה לא הציגו כל ממצא שיש בו כדי להסביר את רצונה לקטול את התינוק</w:t>
      </w:r>
      <w:r>
        <w:rPr>
          <w:rtl w:val="true"/>
        </w:rPr>
        <w:t xml:space="preserve">, </w:t>
      </w:r>
      <w:r>
        <w:rPr>
          <w:rtl w:val="true"/>
        </w:rPr>
        <w:t xml:space="preserve">ולפיכך קבע כי מעשיה משקפים </w:t>
      </w:r>
      <w:r>
        <w:rPr>
          <w:rtl w:val="true"/>
        </w:rPr>
        <w:t>"</w:t>
      </w:r>
      <w:r>
        <w:rPr>
          <w:rtl w:val="true"/>
        </w:rPr>
        <w:t>תגובה</w:t>
      </w:r>
      <w:r>
        <w:rPr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שקולה</w:t>
      </w:r>
      <w:r>
        <w:rPr>
          <w:rtl w:val="true"/>
        </w:rPr>
        <w:t xml:space="preserve">" </w:t>
      </w:r>
      <w:r>
        <w:rPr>
          <w:rtl w:val="true"/>
        </w:rPr>
        <w:t>למצב הנפשי בו הייתה נתונה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פוער ספק סביר בדבר התגבשותה של </w:t>
      </w:r>
      <w:r>
        <w:rPr>
          <w:rtl w:val="true"/>
        </w:rPr>
        <w:t>"</w:t>
      </w:r>
      <w:r>
        <w:rPr>
          <w:rtl w:val="true"/>
        </w:rPr>
        <w:t>החלטה להמית</w:t>
      </w:r>
      <w:r>
        <w:rPr>
          <w:rtl w:val="true"/>
        </w:rPr>
        <w:t xml:space="preserve">", </w:t>
      </w:r>
      <w:r>
        <w:rPr>
          <w:rtl w:val="true"/>
        </w:rPr>
        <w:t>כנדרש בעבירת הרצח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הגם שלמערער דכאן היסטוריה בלתי מבוטלת של לקויות נפשיות</w:t>
      </w:r>
      <w:r>
        <w:rPr>
          <w:rtl w:val="true"/>
        </w:rPr>
        <w:t xml:space="preserve">, </w:t>
      </w:r>
      <w:r>
        <w:rPr>
          <w:rtl w:val="true"/>
        </w:rPr>
        <w:t>אני סבור כי בכך מתמצים</w:t>
      </w:r>
      <w:r>
        <w:rPr>
          <w:rtl w:val="true"/>
        </w:rPr>
        <w:t xml:space="preserve">, </w:t>
      </w:r>
      <w:r>
        <w:rPr>
          <w:rtl w:val="true"/>
        </w:rPr>
        <w:t>בעיקרם</w:t>
      </w:r>
      <w:r>
        <w:rPr>
          <w:rtl w:val="true"/>
        </w:rPr>
        <w:t xml:space="preserve">, </w:t>
      </w:r>
      <w:r>
        <w:rPr>
          <w:rtl w:val="true"/>
        </w:rPr>
        <w:t>קווי הדמיון בין הפרשות</w:t>
      </w:r>
      <w:r>
        <w:rPr>
          <w:rtl w:val="true"/>
        </w:rPr>
        <w:t xml:space="preserve">. </w:t>
      </w:r>
      <w:r>
        <w:rPr>
          <w:rtl w:val="true"/>
        </w:rPr>
        <w:t>כפי שפורט בהרחבה לאורך הכרעת דינו של בית משפט קמא ולאורך חוות דעת זו</w:t>
      </w:r>
      <w:r>
        <w:rPr>
          <w:rtl w:val="true"/>
        </w:rPr>
        <w:t xml:space="preserve">, </w:t>
      </w:r>
      <w:r>
        <w:rPr>
          <w:rtl w:val="true"/>
        </w:rPr>
        <w:t>לוו מעשי האלימות הקשים של המערער בתכנון קפדני ומדוקדק מבעוד מועד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מעשים אלה הונחו מתוך מניע מעוגן היטב במציאות</w:t>
      </w:r>
      <w:r>
        <w:rPr>
          <w:rtl w:val="true"/>
        </w:rPr>
        <w:t xml:space="preserve">, </w:t>
      </w:r>
      <w:r>
        <w:rPr>
          <w:rtl w:val="true"/>
        </w:rPr>
        <w:t xml:space="preserve">בדמות תסכולו כתוצאה מפיטוריו על ידי המתלונן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אף דבריו של המערער עצמו</w:t>
      </w:r>
      <w:r>
        <w:rPr>
          <w:rtl w:val="true"/>
        </w:rPr>
        <w:t xml:space="preserve">, </w:t>
      </w:r>
      <w:r>
        <w:rPr>
          <w:rtl w:val="true"/>
        </w:rPr>
        <w:t>עת נחקר במשטרה</w:t>
      </w:r>
      <w:r>
        <w:rPr>
          <w:rtl w:val="true"/>
        </w:rPr>
        <w:t xml:space="preserve">, </w:t>
      </w:r>
      <w:r>
        <w:rPr>
          <w:rtl w:val="true"/>
        </w:rPr>
        <w:t>משקפים בבירור כי קיבל החלטה שקולה ומיושבת להביא את המתלונן למותו</w:t>
      </w:r>
      <w:r>
        <w:rPr>
          <w:rtl w:val="true"/>
        </w:rPr>
        <w:t xml:space="preserve">. </w:t>
      </w:r>
      <w:r>
        <w:rPr>
          <w:rtl w:val="true"/>
        </w:rPr>
        <w:t>כך ניכר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בחילופי הדברים שלהלן</w:t>
      </w:r>
      <w:r>
        <w:rPr>
          <w:rtl w:val="true"/>
        </w:rPr>
        <w:t xml:space="preserve">, </w:t>
      </w:r>
      <w:r>
        <w:rPr>
          <w:rtl w:val="true"/>
        </w:rPr>
        <w:t>המובאים מתוך חקירת המערער במשטרה</w:t>
      </w:r>
      <w:r>
        <w:rPr>
          <w:rtl w:val="true"/>
        </w:rPr>
        <w:t xml:space="preserve">, </w:t>
      </w:r>
      <w:r>
        <w:rPr>
          <w:rtl w:val="true"/>
        </w:rPr>
        <w:t>שעות ספורות לאחר האירוע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[...]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תכננתי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68-59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פעורה לשיטתי תהום של ממש בין התנהלותה הסוערת והספונטנית של המערערת ב</w:t>
      </w:r>
      <w:hyperlink r:id="rId7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5031/01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לבין דרך הילוכו השקולה והמחושבת של המערער דכאן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האמורות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אינני סבור כי מתעורר כל קושי לקבוע כי התקיים במערער היסוד הנפשי הדרוש לשם הרשעה בעבירת ניסיון לרצח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רכיב 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החלטה להמית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אציע אפוא לחבריי לדחות את טענת המערער במישור זה</w:t>
      </w:r>
      <w:r>
        <w:rPr>
          <w:rtl w:val="true"/>
        </w:rPr>
        <w:t xml:space="preserve">, </w:t>
      </w:r>
      <w:r>
        <w:rPr>
          <w:rtl w:val="true"/>
        </w:rPr>
        <w:t>ועימה לדחות את ערעורו כלפי הכרעת דינו המרשיעה של בית 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מתערבת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30</w:t>
      </w:r>
      <w:r>
        <w:rPr/>
        <w:t>.1</w:t>
      </w:r>
      <w:r>
        <w:rPr/>
        <w:t>1</w:t>
      </w:r>
      <w:r>
        <w:rPr/>
        <w:t>.2017</w:t>
      </w:r>
      <w:r>
        <w:rPr>
          <w:rtl w:val="true"/>
        </w:rPr>
        <w:t xml:space="preserve">)).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עניינו של המערער אינו נמנה עם אותם המקרים החריגים המצדיקים התערבות בערכאת הערעור</w:t>
      </w:r>
      <w:r>
        <w:rPr>
          <w:rtl w:val="true"/>
        </w:rPr>
        <w:t xml:space="preserve">, </w:t>
      </w:r>
      <w:r>
        <w:rPr>
          <w:rtl w:val="true"/>
        </w:rPr>
        <w:t>מן הטעמים שיפורטו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דומה כי אין צורך להכביר מילים על חומרתה המפליגה של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אשר מגלמת כוונה לפגוע ב</w:t>
      </w:r>
      <w:r>
        <w:rPr>
          <w:rtl w:val="true"/>
        </w:rPr>
        <w:t>ערך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קדושת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עמד בית משפט זה על ההכרח במדיניות ענישה מחמירה בגין הרשעה בעבירה זו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 xml:space="preserve">ר </w:t>
      </w:r>
      <w:r>
        <w:rPr>
          <w:rtl w:val="true"/>
        </w:rPr>
        <w:t>תבטא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מעמדו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כן הובהרה הבכורה הנתונה ל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גמול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בעבירה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שלאורם מתחייבת </w:t>
      </w:r>
      <w:r>
        <w:rPr>
          <w:rtl w:val="true"/>
        </w:rPr>
        <w:t>השתת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10025/16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(</w:t>
      </w:r>
      <w:r>
        <w:rPr/>
        <w:t>10.8.2017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פעל המערער באכזריות רבה על מנת ליטול את חייו של אדם חף מפשע</w:t>
      </w:r>
      <w:r>
        <w:rPr>
          <w:rtl w:val="true"/>
        </w:rPr>
        <w:t xml:space="preserve">, </w:t>
      </w:r>
      <w:r>
        <w:rPr>
          <w:rtl w:val="true"/>
        </w:rPr>
        <w:t>ולו רק בשל שהלה החליט לפטרו בשל טעות שביצע</w:t>
      </w:r>
      <w:r>
        <w:rPr>
          <w:rtl w:val="true"/>
        </w:rPr>
        <w:t xml:space="preserve">. </w:t>
      </w:r>
      <w:r>
        <w:rPr>
          <w:rtl w:val="true"/>
        </w:rPr>
        <w:t>חדור תחושת נקם עזה</w:t>
      </w:r>
      <w:r>
        <w:rPr>
          <w:rtl w:val="true"/>
        </w:rPr>
        <w:t xml:space="preserve">, </w:t>
      </w:r>
      <w:r>
        <w:rPr>
          <w:rtl w:val="true"/>
        </w:rPr>
        <w:t>תכנן המערער מבעוד מועד כיצד יוציא אל הפועל את מזימתו וימלט עצמו מזירת האירוע</w:t>
      </w:r>
      <w:r>
        <w:rPr>
          <w:rtl w:val="true"/>
        </w:rPr>
        <w:t xml:space="preserve">, </w:t>
      </w:r>
      <w:r>
        <w:rPr>
          <w:rtl w:val="true"/>
        </w:rPr>
        <w:t>תוך הפקרת המתלונן למותו וחמיקה מאחריות בשל מעשיו</w:t>
      </w:r>
      <w:r>
        <w:rPr>
          <w:rtl w:val="true"/>
        </w:rPr>
        <w:t xml:space="preserve">. </w:t>
      </w:r>
      <w:r>
        <w:rPr>
          <w:rtl w:val="true"/>
        </w:rPr>
        <w:t>קור רוח זה הוסיף ללוותו תוך כדי הביצוע בפועל</w:t>
      </w:r>
      <w:r>
        <w:rPr>
          <w:rtl w:val="true"/>
        </w:rPr>
        <w:t xml:space="preserve">, </w:t>
      </w:r>
      <w:r>
        <w:rPr>
          <w:rtl w:val="true"/>
        </w:rPr>
        <w:t>עת ניסה לטשטש את עקבותיו ולהסתוות לאחד מעובדי המפעל</w:t>
      </w:r>
      <w:r>
        <w:rPr>
          <w:rtl w:val="true"/>
        </w:rPr>
        <w:t xml:space="preserve">. </w:t>
      </w:r>
      <w:r>
        <w:rPr>
          <w:rtl w:val="true"/>
        </w:rPr>
        <w:t>בזיהויו על ידי המתלונן לא היה כדי להניאו מהגשמת המטרה השפלה ששם לעצמו</w:t>
      </w:r>
      <w:r>
        <w:rPr>
          <w:rtl w:val="true"/>
        </w:rPr>
        <w:t xml:space="preserve">, </w:t>
      </w:r>
      <w:r>
        <w:rPr>
          <w:rtl w:val="true"/>
        </w:rPr>
        <w:t>ולאחר שהתרחק מאזור החצר שב אליה כדי לשסף את גרונו של קורבנו המיועד</w:t>
      </w:r>
      <w:r>
        <w:rPr>
          <w:rtl w:val="true"/>
        </w:rPr>
        <w:t xml:space="preserve">. </w:t>
      </w:r>
      <w:r>
        <w:rPr>
          <w:rtl w:val="true"/>
        </w:rPr>
        <w:t>אף לאחר שנוכח בתוצאה החמורה שגרם</w:t>
      </w:r>
      <w:r>
        <w:rPr>
          <w:rtl w:val="true"/>
        </w:rPr>
        <w:t xml:space="preserve">, </w:t>
      </w:r>
      <w:r>
        <w:rPr>
          <w:rtl w:val="true"/>
        </w:rPr>
        <w:t>לא איבד המערער את עשתונותיו ולא נתקף תחושת חרטה</w:t>
      </w:r>
      <w:r>
        <w:rPr>
          <w:rtl w:val="true"/>
        </w:rPr>
        <w:t xml:space="preserve">, </w:t>
      </w:r>
      <w:r>
        <w:rPr>
          <w:rtl w:val="true"/>
        </w:rPr>
        <w:t>אלא מילט עצמו מזירת האירוע</w:t>
      </w:r>
      <w:r>
        <w:rPr>
          <w:rtl w:val="true"/>
        </w:rPr>
        <w:t xml:space="preserve">. </w:t>
      </w:r>
      <w:r>
        <w:rPr>
          <w:rtl w:val="true"/>
        </w:rPr>
        <w:t>כפי שניתן ללמוד מתסקיר נפגע העבירה</w:t>
      </w:r>
      <w:r>
        <w:rPr>
          <w:rtl w:val="true"/>
        </w:rPr>
        <w:t xml:space="preserve">, </w:t>
      </w:r>
      <w:r>
        <w:rPr>
          <w:rtl w:val="true"/>
        </w:rPr>
        <w:t>חייו של המתלונן לא ישובו למסלולם עובר לתקיפה האכזרית שחווה</w:t>
      </w:r>
      <w:r>
        <w:rPr>
          <w:rtl w:val="true"/>
        </w:rPr>
        <w:t xml:space="preserve">, </w:t>
      </w:r>
      <w:r>
        <w:rPr>
          <w:rtl w:val="true"/>
        </w:rPr>
        <w:t>והוא ממשיך לסבול משיתוק במחצית מפניו ומתסמונת פוסט טראומתית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הנסיבות המתוארות לעיל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לחלוק על כך שעונש המאסר בפועל אשר הוטל על המערער </w:t>
      </w:r>
      <w:r>
        <w:rPr>
          <w:rtl w:val="true"/>
        </w:rPr>
        <w:t>–</w:t>
      </w:r>
      <w:r>
        <w:rPr>
          <w:rtl w:val="true"/>
        </w:rPr>
        <w:t xml:space="preserve"> מקל הוא באופן ממשי</w:t>
      </w:r>
      <w:r>
        <w:rPr>
          <w:rtl w:val="true"/>
        </w:rPr>
        <w:t xml:space="preserve">. </w:t>
      </w:r>
      <w:r>
        <w:rPr>
          <w:rtl w:val="true"/>
        </w:rPr>
        <w:t>הטעם לתוצאה שאליה בית משפט קמא נעוץ אפוא באבחנתו של המערער כחולה בסכיזופרניה</w:t>
      </w:r>
      <w:r>
        <w:rPr>
          <w:rtl w:val="true"/>
        </w:rPr>
        <w:t xml:space="preserve">, </w:t>
      </w:r>
      <w:r>
        <w:rPr>
          <w:rtl w:val="true"/>
        </w:rPr>
        <w:t>ובהשפעה הנודעת לה על יכולתו להימנע מביצוע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כמצוות המחוקק </w:t>
      </w:r>
      <w:hyperlink r:id="rId7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נתן בית משפט קמא דעתו לנסיבותיו הנפשיות החריגות של המערער</w:t>
      </w:r>
      <w:r>
        <w:rPr>
          <w:rtl w:val="true"/>
        </w:rPr>
        <w:t xml:space="preserve">, </w:t>
      </w:r>
      <w:r>
        <w:rPr>
          <w:rtl w:val="true"/>
        </w:rPr>
        <w:t>ולאורן מצא כאמור להקל עימו באופן משמעותי</w:t>
      </w:r>
      <w:r>
        <w:rPr>
          <w:rtl w:val="true"/>
        </w:rPr>
        <w:t xml:space="preserve">. </w:t>
      </w:r>
      <w:r>
        <w:rPr>
          <w:rtl w:val="true"/>
        </w:rPr>
        <w:t>אני סבור כי התוצאה שאליה הגיע משקפת כברת דרך לא מבוטלת שאותה הלך לקראת המערער</w:t>
      </w:r>
      <w:r>
        <w:rPr>
          <w:rtl w:val="true"/>
        </w:rPr>
        <w:t xml:space="preserve">, </w:t>
      </w:r>
      <w:r>
        <w:rPr>
          <w:rtl w:val="true"/>
        </w:rPr>
        <w:t>ולא מצאתי כי נדרשת התערבות נוספת בערכאה זו</w:t>
      </w:r>
      <w:r>
        <w:rPr>
          <w:rtl w:val="true"/>
        </w:rPr>
        <w:t xml:space="preserve">, </w:t>
      </w:r>
      <w:r>
        <w:rPr>
          <w:rtl w:val="true"/>
        </w:rPr>
        <w:t>משלא מגלם גזר הדין כל טעות של ממש או סטייה ממדיניות הענישה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7.3.2018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16090450</w:t>
      </w:r>
      <w:r>
        <w:rPr>
          <w:sz w:val="16"/>
          <w:rtl w:val="true"/>
        </w:rPr>
        <w:t>_</w:t>
      </w:r>
      <w:r>
        <w:rPr>
          <w:sz w:val="16"/>
        </w:rPr>
        <w:t>J05.doc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54678313-9045/16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9045/16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אילן אדנני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CharChar1">
    <w:name w:val=" Char Char1"/>
    <w:qFormat/>
    <w:rPr>
      <w:rFonts w:ascii="Century" w:hAnsi="Century" w:cs="FrankRuehl"/>
      <w:b/>
      <w:bCs/>
      <w:spacing w:val="10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908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" TargetMode="External"/><Relationship Id="rId6" Type="http://schemas.openxmlformats.org/officeDocument/2006/relationships/hyperlink" Target="http://www.nevo.co.il/law/70301/34h" TargetMode="External"/><Relationship Id="rId7" Type="http://schemas.openxmlformats.org/officeDocument/2006/relationships/hyperlink" Target="http://www.nevo.co.il/law/70301/40i.a.6" TargetMode="External"/><Relationship Id="rId8" Type="http://schemas.openxmlformats.org/officeDocument/2006/relationships/hyperlink" Target="http://www.nevo.co.il/law/70301/40i.a.7" TargetMode="External"/><Relationship Id="rId9" Type="http://schemas.openxmlformats.org/officeDocument/2006/relationships/hyperlink" Target="http://www.nevo.co.il/law/70301/40i.a.9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301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34kb.b" TargetMode="External"/><Relationship Id="rId17" Type="http://schemas.openxmlformats.org/officeDocument/2006/relationships/hyperlink" Target="http://www.nevo.co.il/law/70301/407.b" TargetMode="External"/><Relationship Id="rId18" Type="http://schemas.openxmlformats.org/officeDocument/2006/relationships/hyperlink" Target="http://www.nevo.co.il/law/70301/408" TargetMode="External"/><Relationship Id="rId19" Type="http://schemas.openxmlformats.org/officeDocument/2006/relationships/hyperlink" Target="http://www.nevo.co.il/case/18790840" TargetMode="External"/><Relationship Id="rId20" Type="http://schemas.openxmlformats.org/officeDocument/2006/relationships/hyperlink" Target="http://www.nevo.co.il/law/70301/305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.a.1" TargetMode="External"/><Relationship Id="rId24" Type="http://schemas.openxmlformats.org/officeDocument/2006/relationships/hyperlink" Target="http://www.nevo.co.il/law/70301/186.a" TargetMode="External"/><Relationship Id="rId25" Type="http://schemas.openxmlformats.org/officeDocument/2006/relationships/hyperlink" Target="http://www.nevo.co.il/law/70301/407.b" TargetMode="External"/><Relationship Id="rId26" Type="http://schemas.openxmlformats.org/officeDocument/2006/relationships/hyperlink" Target="http://www.nevo.co.il/law/70301/408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/3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.a.6" TargetMode="External"/><Relationship Id="rId31" Type="http://schemas.openxmlformats.org/officeDocument/2006/relationships/hyperlink" Target="http://www.nevo.co.il/law/70301/40i.a.7" TargetMode="External"/><Relationship Id="rId32" Type="http://schemas.openxmlformats.org/officeDocument/2006/relationships/hyperlink" Target="http://www.nevo.co.il/law/70301/40i.a.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990314" TargetMode="External"/><Relationship Id="rId35" Type="http://schemas.openxmlformats.org/officeDocument/2006/relationships/hyperlink" Target="http://www.nevo.co.il/law/70301/34h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h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4h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4kb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1473449" TargetMode="External"/><Relationship Id="rId44" Type="http://schemas.openxmlformats.org/officeDocument/2006/relationships/hyperlink" Target="http://www.nevo.co.il/case/20685046" TargetMode="External"/><Relationship Id="rId45" Type="http://schemas.openxmlformats.org/officeDocument/2006/relationships/hyperlink" Target="http://www.nevo.co.il/case/5446434" TargetMode="External"/><Relationship Id="rId46" Type="http://schemas.openxmlformats.org/officeDocument/2006/relationships/hyperlink" Target="http://www.nevo.co.il/case/17946086" TargetMode="External"/><Relationship Id="rId47" Type="http://schemas.openxmlformats.org/officeDocument/2006/relationships/hyperlink" Target="http://www.nevo.co.il/case/6243138" TargetMode="External"/><Relationship Id="rId48" Type="http://schemas.openxmlformats.org/officeDocument/2006/relationships/hyperlink" Target="http://www.nevo.co.il/case/5872984" TargetMode="External"/><Relationship Id="rId49" Type="http://schemas.openxmlformats.org/officeDocument/2006/relationships/hyperlink" Target="http://www.nevo.co.il/case/17913523" TargetMode="External"/><Relationship Id="rId50" Type="http://schemas.openxmlformats.org/officeDocument/2006/relationships/hyperlink" Target="http://www.nevo.co.il/case/6248562" TargetMode="External"/><Relationship Id="rId51" Type="http://schemas.openxmlformats.org/officeDocument/2006/relationships/hyperlink" Target="http://www.nevo.co.il/case/2251982" TargetMode="External"/><Relationship Id="rId52" Type="http://schemas.openxmlformats.org/officeDocument/2006/relationships/hyperlink" Target="http://www.nevo.co.il/case/5921620" TargetMode="External"/><Relationship Id="rId53" Type="http://schemas.openxmlformats.org/officeDocument/2006/relationships/hyperlink" Target="http://www.nevo.co.il/case/2250802" TargetMode="External"/><Relationship Id="rId54" Type="http://schemas.openxmlformats.org/officeDocument/2006/relationships/hyperlink" Target="http://www.nevo.co.il/case/17932343" TargetMode="External"/><Relationship Id="rId55" Type="http://schemas.openxmlformats.org/officeDocument/2006/relationships/hyperlink" Target="http://www.nevo.co.il/case/5823851" TargetMode="External"/><Relationship Id="rId56" Type="http://schemas.openxmlformats.org/officeDocument/2006/relationships/hyperlink" Target="http://www.nevo.co.il/law/70301/34h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5571512" TargetMode="External"/><Relationship Id="rId59" Type="http://schemas.openxmlformats.org/officeDocument/2006/relationships/hyperlink" Target="http://www.nevo.co.il/law/70301/34h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01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25" TargetMode="External"/><Relationship Id="rId64" Type="http://schemas.openxmlformats.org/officeDocument/2006/relationships/hyperlink" Target="http://www.nevo.co.il/case/13070531" TargetMode="External"/><Relationship Id="rId65" Type="http://schemas.openxmlformats.org/officeDocument/2006/relationships/hyperlink" Target="http://www.nevo.co.il/case/20798648" TargetMode="External"/><Relationship Id="rId66" Type="http://schemas.openxmlformats.org/officeDocument/2006/relationships/hyperlink" Target="http://www.nevo.co.il/case/5990314" TargetMode="External"/><Relationship Id="rId67" Type="http://schemas.openxmlformats.org/officeDocument/2006/relationships/hyperlink" Target="http://www.nevo.co.il/case/5990314" TargetMode="External"/><Relationship Id="rId68" Type="http://schemas.openxmlformats.org/officeDocument/2006/relationships/hyperlink" Target="http://www.nevo.co.il/case/5821448" TargetMode="External"/><Relationship Id="rId69" Type="http://schemas.openxmlformats.org/officeDocument/2006/relationships/hyperlink" Target="http://www.nevo.co.il/case/5990314" TargetMode="External"/><Relationship Id="rId70" Type="http://schemas.openxmlformats.org/officeDocument/2006/relationships/hyperlink" Target="http://www.nevo.co.il/case/5990314" TargetMode="External"/><Relationship Id="rId71" Type="http://schemas.openxmlformats.org/officeDocument/2006/relationships/hyperlink" Target="http://www.nevo.co.il/case/5990314" TargetMode="External"/><Relationship Id="rId72" Type="http://schemas.openxmlformats.org/officeDocument/2006/relationships/hyperlink" Target="http://www.nevo.co.il/case/23506710" TargetMode="External"/><Relationship Id="rId73" Type="http://schemas.openxmlformats.org/officeDocument/2006/relationships/hyperlink" Target="http://www.nevo.co.il/case/22303357" TargetMode="External"/><Relationship Id="rId74" Type="http://schemas.openxmlformats.org/officeDocument/2006/relationships/hyperlink" Target="http://www.nevo.co.il/law/70301/40i.a.9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court.gov.il/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2018-03-08T09:15:00Z</dcterms:created>
  <dc:creator> </dc:creator>
  <dc:description/>
  <cp:keywords/>
  <dc:language>en-IL</dc:language>
  <cp:lastModifiedBy>orly</cp:lastModifiedBy>
  <cp:lastPrinted>2018-03-06T09:18:00Z</cp:lastPrinted>
  <dcterms:modified xsi:type="dcterms:W3CDTF">2018-03-08T09:15:00Z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אילן אדנני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18790840:2;5990314:6;21473449;20685046;5446434;17946086;6243138;5872984;17913523;6248562;2251982;5921620;2250802;17932343;5823851;5571512;13070531;20798648;5821448;23506710;22303357</vt:lpwstr>
  </property>
  <property fmtid="{D5CDD505-2E9C-101B-9397-08002B2CF9AE}" pid="9" name="CITY">
    <vt:lpwstr/>
  </property>
  <property fmtid="{D5CDD505-2E9C-101B-9397-08002B2CF9AE}" pid="10" name="DATE">
    <vt:lpwstr>20180307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קרא;י' אלרון</vt:lpwstr>
  </property>
  <property fmtid="{D5CDD505-2E9C-101B-9397-08002B2CF9AE}" pid="14" name="LAWLISTTMP1">
    <vt:lpwstr>70301/305.1;333;335.a.1;186.a;407.b;408;244;034;040i.a.6;040i.a.7;040i.a.9:2;034h:5;34kb.b;301;025</vt:lpwstr>
  </property>
  <property fmtid="{D5CDD505-2E9C-101B-9397-08002B2CF9AE}" pid="15" name="LAWYER">
    <vt:lpwstr>יאיר חמודות;שרית גולן שטיינברג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בתי-משפט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77;77;77;77;14</vt:lpwstr>
  </property>
  <property fmtid="{D5CDD505-2E9C-101B-9397-08002B2CF9AE}" pid="37" name="NOSE21">
    <vt:lpwstr>הגנות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אחריות פלילית</vt:lpwstr>
  </property>
  <property fmtid="{D5CDD505-2E9C-101B-9397-08002B2CF9AE}" pid="41" name="NOSE24">
    <vt:lpwstr>עבירת הרצח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1431;1443;1428;12455;333</vt:lpwstr>
  </property>
  <property fmtid="{D5CDD505-2E9C-101B-9397-08002B2CF9AE}" pid="48" name="NOSE31">
    <vt:lpwstr>אי-שפיות</vt:lpwstr>
  </property>
  <property fmtid="{D5CDD505-2E9C-101B-9397-08002B2CF9AE}" pid="49" name="NOSE310">
    <vt:lpwstr/>
  </property>
  <property fmtid="{D5CDD505-2E9C-101B-9397-08002B2CF9AE}" pid="50" name="NOSE32">
    <vt:lpwstr>ניסיון לרצח</vt:lpwstr>
  </property>
  <property fmtid="{D5CDD505-2E9C-101B-9397-08002B2CF9AE}" pid="51" name="NOSE33">
    <vt:lpwstr>כשירות לעמוד לדין</vt:lpwstr>
  </property>
  <property fmtid="{D5CDD505-2E9C-101B-9397-08002B2CF9AE}" pid="52" name="NOSE34">
    <vt:lpwstr>החלטה להמית</vt:lpwstr>
  </property>
  <property fmtid="{D5CDD505-2E9C-101B-9397-08002B2CF9AE}" pid="53" name="NOSE35">
    <vt:lpwstr>התערבות במימצאים המבוססים על חוות-דעת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8667;8867;8651;16197;2709</vt:lpwstr>
  </property>
  <property fmtid="{D5CDD505-2E9C-101B-9397-08002B2CF9AE}" pid="59" name="PADIDATE">
    <vt:lpwstr>20180308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9045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410120180307</vt:lpwstr>
  </property>
  <property fmtid="{D5CDD505-2E9C-101B-9397-08002B2CF9AE}" pid="69" name="TYPE_N_DATE">
    <vt:lpwstr>41020180307</vt:lpwstr>
  </property>
  <property fmtid="{D5CDD505-2E9C-101B-9397-08002B2CF9AE}" pid="70" name="VOLUME">
    <vt:lpwstr/>
  </property>
  <property fmtid="{D5CDD505-2E9C-101B-9397-08002B2CF9AE}" pid="71" name="WORDNUMPAGES">
    <vt:lpwstr>24</vt:lpwstr>
  </property>
</Properties>
</file>