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9053/20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ריקי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25922-05-19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19.11.2020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ברנט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17.03.2021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חתוקה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391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423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לא מרובד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הנתונים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גניבה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הודאתה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גניבה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רישום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כוזב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במסמכי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תאגיד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ותחבולה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לחילופין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מהראוי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להתאימו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ונטורה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הנתונים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עניינה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התסקיר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ומעשית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מלכתחילה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מעיכוב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השלמתו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שממילא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במשמעות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הדחייה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השוויון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דופן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ציפייה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לגיטימית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יעוכב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ארכה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העיכוב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שהאבחון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טלפון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נחיצותו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אפילו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גורף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ההשלכות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הקונקרטיות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ונפל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תמונה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אבחונית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להשפיע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להשתקם</w:t>
      </w:r>
      <w:r>
        <w:rPr>
          <w:rFonts w:cs="FrankRuehl"/>
          <w:sz w:val="24"/>
          <w:szCs w:val="26"/>
          <w:rtl w:val="true"/>
        </w:rPr>
        <w:t>" (</w:t>
      </w:r>
      <w:r>
        <w:rPr>
          <w:rFonts w:cs="FrankRuehl"/>
          <w:sz w:val="24"/>
          <w:sz w:val="24"/>
          <w:szCs w:val="26"/>
          <w:rtl w:val="true"/>
        </w:rPr>
        <w:t>כנדרש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ד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הפחות</w:t>
      </w:r>
      <w:r>
        <w:rPr>
          <w:rFonts w:cs="FrankRuehl"/>
          <w:sz w:val="24"/>
          <w:szCs w:val="26"/>
          <w:rtl w:val="true"/>
        </w:rPr>
        <w:t xml:space="preserve">):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מוטיבציה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ראשונית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לקשר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לקניות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מאחריותה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מבחירותיה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ומתחושת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ההתמכרות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מטבע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כשגניבה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להתמכרות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פסולה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בדומה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שנציגת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מחוסר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זקוקה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הובהר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דפוסי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וגילה</w:t>
      </w:r>
      <w:r>
        <w:rPr>
          <w:rFonts w:cs="FrankRuehl"/>
          <w:sz w:val="24"/>
          <w:szCs w:val="26"/>
          <w:rtl w:val="true"/>
        </w:rPr>
        <w:t>, "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ארוך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המשתמע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לבסוף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תשובות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לבחירותיה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הבעייתיות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והפליליות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והאחראית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מרוכזת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למקרא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Cs w:val="26"/>
          </w:rPr>
          <w:t>4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>).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שנפגעו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ולעוצמת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המתאימים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שמנעד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גניבת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שגנבה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והאינדיווידואליות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שוללים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ההרתעתי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בחשיפתן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וחששה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להיתפס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מפירותיהם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הכשל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התכנוני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שלה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במפורש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ההרתעתי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דווקא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בעתיד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רלוונטיות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תולדה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לפנינו ערעור על גזר</w:t>
      </w:r>
      <w:r>
        <w:rPr>
          <w:rtl w:val="true"/>
        </w:rPr>
        <w:t>-</w:t>
      </w:r>
      <w:r>
        <w:rPr>
          <w:rtl w:val="true"/>
        </w:rPr>
        <w:t>דינו של בית המשפט המחוזי מרכז</w:t>
      </w:r>
      <w:r>
        <w:rPr>
          <w:rtl w:val="true"/>
        </w:rPr>
        <w:t>-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ברנט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25922-05-19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בגדרו הושת על המערערת עונש של ארבע 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עונשים נלווים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והליכים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להלן תמצית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בהן הודתה המערערת במסגרת הסדר טיעון</w:t>
      </w:r>
      <w:r>
        <w:rPr>
          <w:rtl w:val="true"/>
        </w:rPr>
        <w:t xml:space="preserve">. </w:t>
      </w:r>
      <w:r>
        <w:rPr>
          <w:rtl w:val="true"/>
        </w:rPr>
        <w:t xml:space="preserve">החל משנת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עבדה המערערת כחשבת שכר בחברת דומיקאר 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 xml:space="preserve">הידועה בשמה המסחרי </w:t>
      </w:r>
      <w:r>
        <w:rPr>
          <w:rtl w:val="true"/>
        </w:rPr>
        <w:t>"</w:t>
      </w:r>
      <w:r>
        <w:rPr>
          <w:rtl w:val="true"/>
        </w:rPr>
        <w:t>באדג</w:t>
      </w:r>
      <w:r>
        <w:rPr>
          <w:rtl w:val="true"/>
        </w:rPr>
        <w:t>'</w:t>
      </w:r>
      <w:r>
        <w:rPr>
          <w:rtl w:val="true"/>
        </w:rPr>
        <w:t>ט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החברה</w:t>
      </w:r>
      <w:r>
        <w:rPr>
          <w:rtl w:val="true"/>
        </w:rPr>
        <w:t xml:space="preserve">). </w:t>
      </w:r>
      <w:r>
        <w:rPr>
          <w:rtl w:val="true"/>
        </w:rPr>
        <w:t xml:space="preserve">החל מחודש יוני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ועד לסיום העסקתה בחברה</w:t>
      </w:r>
      <w:r>
        <w:rPr>
          <w:rtl w:val="true"/>
        </w:rPr>
        <w:t xml:space="preserve">, </w:t>
      </w:r>
      <w:r>
        <w:rPr>
          <w:rtl w:val="true"/>
        </w:rPr>
        <w:t xml:space="preserve">בחודש יוני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נטלה המערערת לחזקתה מדי חודש אלפי שקלים מכספי החברה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 יצירת עובדים פיקטיביים במערכת חישוב השכר של החברה</w:t>
      </w:r>
      <w:r>
        <w:rPr>
          <w:rtl w:val="true"/>
        </w:rPr>
        <w:t xml:space="preserve">, </w:t>
      </w:r>
      <w:r>
        <w:rPr>
          <w:rtl w:val="true"/>
        </w:rPr>
        <w:t>וערבוב משכורותיהם הפיקטיביות במשכורתה הלגיטימית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לצורך כך</w:t>
      </w:r>
      <w:r>
        <w:rPr>
          <w:rtl w:val="true"/>
        </w:rPr>
        <w:t xml:space="preserve">, </w:t>
      </w:r>
      <w:r>
        <w:rPr>
          <w:rtl w:val="true"/>
        </w:rPr>
        <w:t>המערערת ביצעה סדרת פעולות במערכת חישוב השכר של החברה</w:t>
      </w:r>
      <w:r>
        <w:rPr>
          <w:rtl w:val="true"/>
        </w:rPr>
        <w:t xml:space="preserve">: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גילמה משכורות ברוטו לעובדים פיקטיביים שיצרה</w:t>
      </w:r>
      <w:r>
        <w:rPr>
          <w:rtl w:val="true"/>
        </w:rPr>
        <w:t xml:space="preserve">;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הגדירה לעצמה משכורת </w:t>
      </w:r>
      <w:r>
        <w:rPr>
          <w:rtl w:val="true"/>
        </w:rPr>
        <w:t>"</w:t>
      </w:r>
      <w:r>
        <w:rPr>
          <w:rtl w:val="true"/>
        </w:rPr>
        <w:t>מנופחת</w:t>
      </w:r>
      <w:r>
        <w:rPr>
          <w:rtl w:val="true"/>
        </w:rPr>
        <w:t xml:space="preserve">" </w:t>
      </w:r>
      <w:r>
        <w:rPr>
          <w:rtl w:val="true"/>
        </w:rPr>
        <w:t>שכללה משכורות פיקטיביות אלה</w:t>
      </w:r>
      <w:r>
        <w:rPr>
          <w:rtl w:val="true"/>
        </w:rPr>
        <w:t xml:space="preserve">; </w:t>
      </w:r>
      <w:r>
        <w:rPr>
          <w:rtl w:val="true"/>
        </w:rPr>
        <w:t>ולבסוף הזינה הוראה למסלקה הבנקאית</w:t>
      </w:r>
      <w:r>
        <w:rPr>
          <w:rtl w:val="true"/>
        </w:rPr>
        <w:t xml:space="preserve">, </w:t>
      </w:r>
      <w:r>
        <w:rPr>
          <w:rtl w:val="true"/>
        </w:rPr>
        <w:t>להעביר את הסכום הכולל מחשבון הבנק של החברה לחשבונה שלה</w:t>
      </w:r>
      <w:r>
        <w:rPr>
          <w:rtl w:val="true"/>
        </w:rPr>
        <w:t xml:space="preserve">. </w:t>
      </w:r>
      <w:r>
        <w:rPr>
          <w:rtl w:val="true"/>
        </w:rPr>
        <w:t xml:space="preserve">בדרך זו גנבה המערערת סכום מצטבר של </w:t>
      </w:r>
      <w:r>
        <w:rPr/>
        <w:t>3,007,814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במשך עשר שנים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כדי לטשטש את עקבות פעולותיה ולהסתיר את הגניבה</w:t>
      </w:r>
      <w:r>
        <w:rPr>
          <w:rtl w:val="true"/>
        </w:rPr>
        <w:t xml:space="preserve">, </w:t>
      </w:r>
      <w:r>
        <w:rPr>
          <w:rtl w:val="true"/>
        </w:rPr>
        <w:t>המערערת השאירה במערכת את העובדים הפיקטיביים שיצרה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הקפיאה</w:t>
      </w:r>
      <w:r>
        <w:rPr>
          <w:rtl w:val="true"/>
        </w:rPr>
        <w:t xml:space="preserve">" </w:t>
      </w:r>
      <w:r>
        <w:rPr>
          <w:rtl w:val="true"/>
        </w:rPr>
        <w:t>אותם לקראת ישיבות השכר החודשיות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 שלא יתגלו בבדיקת דו</w:t>
      </w:r>
      <w:r>
        <w:rPr>
          <w:rtl w:val="true"/>
        </w:rPr>
        <w:t>"</w:t>
      </w:r>
      <w:r>
        <w:rPr>
          <w:rtl w:val="true"/>
        </w:rPr>
        <w:t>חות החברה במהלכן</w:t>
      </w:r>
      <w:r>
        <w:rPr>
          <w:rtl w:val="true"/>
        </w:rPr>
        <w:t xml:space="preserve">. </w:t>
      </w:r>
      <w:r>
        <w:rPr>
          <w:rtl w:val="true"/>
        </w:rPr>
        <w:t>לאחר הזנת ההוראה להעביר לחשבונה את משכורתה ה</w:t>
      </w:r>
      <w:r>
        <w:rPr>
          <w:rtl w:val="true"/>
        </w:rPr>
        <w:t>-"</w:t>
      </w:r>
      <w:r>
        <w:rPr>
          <w:rtl w:val="true"/>
        </w:rPr>
        <w:t>מנופחת</w:t>
      </w:r>
      <w:r>
        <w:rPr>
          <w:rtl w:val="true"/>
        </w:rPr>
        <w:t xml:space="preserve">", </w:t>
      </w:r>
      <w:r>
        <w:rPr>
          <w:rtl w:val="true"/>
        </w:rPr>
        <w:t>המערערת שינתה בחזרה את הגדרת שכרה במערכת</w:t>
      </w:r>
      <w:r>
        <w:rPr>
          <w:rtl w:val="true"/>
        </w:rPr>
        <w:t xml:space="preserve">, </w:t>
      </w:r>
      <w:r>
        <w:rPr>
          <w:rtl w:val="true"/>
        </w:rPr>
        <w:t xml:space="preserve">ובמקביל </w:t>
      </w:r>
      <w:r>
        <w:rPr>
          <w:rtl w:val="true"/>
        </w:rPr>
        <w:t>"</w:t>
      </w:r>
      <w:r>
        <w:rPr>
          <w:rtl w:val="true"/>
        </w:rPr>
        <w:t>הפשירה</w:t>
      </w:r>
      <w:r>
        <w:rPr>
          <w:rtl w:val="true"/>
        </w:rPr>
        <w:t xml:space="preserve">" </w:t>
      </w:r>
      <w:r>
        <w:rPr>
          <w:rtl w:val="true"/>
        </w:rPr>
        <w:t>את העובדים הפיקטיביים שיצרה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המערערת </w:t>
      </w:r>
      <w:r>
        <w:rPr>
          <w:rtl w:val="true"/>
        </w:rPr>
        <w:t>"</w:t>
      </w:r>
      <w:r>
        <w:rPr>
          <w:rtl w:val="true"/>
        </w:rPr>
        <w:t>ערבבה</w:t>
      </w:r>
      <w:r>
        <w:rPr>
          <w:rtl w:val="true"/>
        </w:rPr>
        <w:t xml:space="preserve">" </w:t>
      </w:r>
      <w:r>
        <w:rPr>
          <w:rtl w:val="true"/>
        </w:rPr>
        <w:t>את הכספים שגנבה גם עם משכורתו של בעלה</w:t>
      </w:r>
      <w:r>
        <w:rPr>
          <w:rtl w:val="true"/>
        </w:rPr>
        <w:t xml:space="preserve">, </w:t>
      </w:r>
      <w:r>
        <w:rPr>
          <w:rtl w:val="true"/>
        </w:rPr>
        <w:t>שהופקדה אף היא בחשבונה</w:t>
      </w:r>
      <w:r>
        <w:rPr>
          <w:rtl w:val="true"/>
        </w:rPr>
        <w:t xml:space="preserve">, </w:t>
      </w:r>
      <w:r>
        <w:rPr>
          <w:rtl w:val="true"/>
        </w:rPr>
        <w:t>ועשתה בהם שימוש במהלך השנים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בכל אחת מעשר שנות המס בתקופה הרלוונטית</w:t>
      </w:r>
      <w:r>
        <w:rPr>
          <w:rtl w:val="true"/>
        </w:rPr>
        <w:t xml:space="preserve">, </w:t>
      </w:r>
      <w:r>
        <w:rPr>
          <w:rtl w:val="true"/>
        </w:rPr>
        <w:t>המערערת דיווחה על הכנסות כשכירה בגובה משכורתה הלגיטימית בלבד</w:t>
      </w:r>
      <w:r>
        <w:rPr>
          <w:rtl w:val="true"/>
        </w:rPr>
        <w:t xml:space="preserve">, </w:t>
      </w:r>
      <w:r>
        <w:rPr>
          <w:rtl w:val="true"/>
        </w:rPr>
        <w:t>ונקטה פעולות שונות על</w:t>
      </w:r>
      <w:r>
        <w:rPr>
          <w:rtl w:val="true"/>
        </w:rPr>
        <w:t>-</w:t>
      </w:r>
      <w:r>
        <w:rPr>
          <w:rtl w:val="true"/>
        </w:rPr>
        <w:t>מנת להתחמק מתשלום מס בגין הכנסותיה הנוספות מגניבת כספי החברה</w:t>
      </w:r>
      <w:r>
        <w:rPr>
          <w:rtl w:val="true"/>
        </w:rPr>
        <w:t xml:space="preserve">: </w:t>
      </w:r>
      <w:r>
        <w:rPr>
          <w:rtl w:val="true"/>
        </w:rPr>
        <w:t xml:space="preserve">לא הודיעה לפקיד השומה על </w:t>
      </w:r>
      <w:r>
        <w:rPr>
          <w:rtl w:val="true"/>
        </w:rPr>
        <w:t>"</w:t>
      </w:r>
      <w:r>
        <w:rPr>
          <w:rtl w:val="true"/>
        </w:rPr>
        <w:t>עיסוק נוסף</w:t>
      </w:r>
      <w:r>
        <w:rPr>
          <w:rtl w:val="true"/>
        </w:rPr>
        <w:t xml:space="preserve">"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 ניהלה ספרים כדין ולא הוציאה חשבוניות ו</w:t>
      </w:r>
      <w:r>
        <w:rPr>
          <w:rtl w:val="true"/>
        </w:rPr>
        <w:t>/</w:t>
      </w:r>
      <w:r>
        <w:rPr>
          <w:rtl w:val="true"/>
        </w:rPr>
        <w:t>או קבלות</w:t>
      </w:r>
      <w:r>
        <w:rPr>
          <w:rtl w:val="true"/>
        </w:rPr>
        <w:t xml:space="preserve">, </w:t>
      </w:r>
      <w:r>
        <w:rPr>
          <w:rtl w:val="true"/>
        </w:rPr>
        <w:t>והעלימה את סך הכנסותיה המצטבר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המערערת הורשעה על</w:t>
      </w:r>
      <w:r>
        <w:rPr>
          <w:rtl w:val="true"/>
        </w:rPr>
        <w:t>-</w:t>
      </w:r>
      <w:r>
        <w:rPr>
          <w:rtl w:val="true"/>
        </w:rPr>
        <w:t>פי הודאתה ובמסגרת הסדר טיעון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tl w:val="true"/>
        </w:rPr>
        <w:t>-</w:t>
      </w:r>
      <w:r>
        <w:rPr>
          <w:rtl w:val="true"/>
        </w:rPr>
        <w:t xml:space="preserve">דין מיום </w:t>
      </w:r>
      <w:r>
        <w:rPr/>
        <w:t>14.5.2020</w:t>
      </w:r>
      <w:r>
        <w:rPr>
          <w:rtl w:val="true"/>
        </w:rPr>
        <w:t xml:space="preserve">, </w:t>
      </w:r>
      <w:r>
        <w:rPr>
          <w:rtl w:val="true"/>
        </w:rPr>
        <w:t>בביצוע העבירות הבאות</w:t>
      </w:r>
      <w:r>
        <w:rPr>
          <w:rtl w:val="true"/>
        </w:rPr>
        <w:t xml:space="preserve">: </w:t>
      </w:r>
      <w:r>
        <w:rPr>
          <w:rtl w:val="true"/>
        </w:rPr>
        <w:t xml:space="preserve">גניבה בידי עובד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 </w:t>
      </w:r>
      <w:r>
        <w:rPr>
          <w:rtl w:val="true"/>
        </w:rPr>
        <w:t xml:space="preserve">ורישום כוזב במסמכי תאגיד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391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">
        <w:r>
          <w:rPr>
            <w:rStyle w:val="Hyperlink"/>
          </w:rPr>
          <w:t>423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בהתאמה</w:t>
      </w:r>
      <w:r>
        <w:rPr>
          <w:rtl w:val="true"/>
        </w:rPr>
        <w:t xml:space="preserve">; </w:t>
      </w:r>
      <w:r>
        <w:rPr>
          <w:rtl w:val="true"/>
        </w:rPr>
        <w:t>וכן מרמה</w:t>
      </w:r>
      <w:r>
        <w:rPr>
          <w:rtl w:val="true"/>
        </w:rPr>
        <w:t xml:space="preserve">, </w:t>
      </w:r>
      <w:r>
        <w:rPr>
          <w:rtl w:val="true"/>
        </w:rPr>
        <w:t xml:space="preserve">עורמה ותחבולה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בהסדר הטיעון הוסכם כי התביעה תעתור לעונש ראוי של חמש שנות מאסר</w:t>
      </w:r>
      <w:r>
        <w:rPr>
          <w:rtl w:val="true"/>
        </w:rPr>
        <w:t xml:space="preserve">, </w:t>
      </w:r>
      <w:r>
        <w:rPr>
          <w:rtl w:val="true"/>
        </w:rPr>
        <w:t>וכי ההגנה תהיה חופשית בטיעוניה לעונש ביחס לרכיב זה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 הוסכם כי הטיעונים לעונש יידחו לצורך קבלת תסקיר שירות מבחן</w:t>
      </w:r>
      <w:r>
        <w:rPr>
          <w:rtl w:val="true"/>
        </w:rPr>
        <w:t xml:space="preserve">, </w:t>
      </w:r>
      <w:r>
        <w:rPr>
          <w:rtl w:val="true"/>
        </w:rPr>
        <w:t xml:space="preserve">ואלה נקבעו תחילה ליום </w:t>
      </w:r>
      <w:r>
        <w:rPr/>
        <w:t>10.8.2020</w:t>
      </w:r>
      <w:r>
        <w:rPr>
          <w:rtl w:val="true"/>
        </w:rPr>
        <w:t xml:space="preserve">. </w:t>
      </w:r>
      <w:r>
        <w:rPr>
          <w:rtl w:val="true"/>
        </w:rPr>
        <w:t>לאחר ארכה ראשונה</w:t>
      </w:r>
      <w:r>
        <w:rPr>
          <w:rtl w:val="true"/>
        </w:rPr>
        <w:t xml:space="preserve">, </w:t>
      </w:r>
      <w:r>
        <w:rPr>
          <w:rtl w:val="true"/>
        </w:rPr>
        <w:t xml:space="preserve">תסקיר חלקי הוגש ביום </w:t>
      </w:r>
      <w:r>
        <w:rPr/>
        <w:t>23.9.2020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החלקי</w:t>
      </w:r>
      <w:r>
        <w:rPr>
          <w:rtl w:val="true"/>
        </w:rPr>
        <w:t xml:space="preserve">), </w:t>
      </w:r>
      <w:r>
        <w:rPr>
          <w:rtl w:val="true"/>
        </w:rPr>
        <w:t>והתבקשה ארכה נוספת בת ארבעה חודשים</w:t>
      </w:r>
      <w:r>
        <w:rPr>
          <w:rtl w:val="true"/>
        </w:rPr>
        <w:t xml:space="preserve">. </w:t>
      </w:r>
      <w:r>
        <w:rPr>
          <w:rtl w:val="true"/>
        </w:rPr>
        <w:t xml:space="preserve">התביעה התנגדה לדחיית מועד הטיעונים לעונש </w:t>
      </w:r>
      <w:r>
        <w:rPr>
          <w:rtl w:val="true"/>
        </w:rPr>
        <w:t>–</w:t>
      </w:r>
      <w:r>
        <w:rPr>
          <w:rtl w:val="true"/>
        </w:rPr>
        <w:t xml:space="preserve"> ולאחר שהתקיימו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גזר את דינה של המערערת </w:t>
      </w:r>
      <w:r>
        <w:rPr>
          <w:rtl w:val="true"/>
        </w:rPr>
        <w:t>(</w:t>
      </w:r>
      <w:r>
        <w:rPr>
          <w:rtl w:val="true"/>
        </w:rPr>
        <w:t xml:space="preserve">ביום </w:t>
      </w:r>
      <w:r>
        <w:rPr/>
        <w:t>19.11.2020</w:t>
      </w:r>
      <w:r>
        <w:rPr>
          <w:rtl w:val="true"/>
        </w:rPr>
        <w:t xml:space="preserve">), </w:t>
      </w:r>
      <w:r>
        <w:rPr>
          <w:rtl w:val="true"/>
        </w:rPr>
        <w:t>מבלי שהוגש תסקיר מלא בעניינה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 xml:space="preserve">הדין נקבע כי מעשי המערערת פגעו במידה </w:t>
      </w:r>
      <w:r>
        <w:rPr>
          <w:rtl w:val="true"/>
        </w:rPr>
        <w:t>"</w:t>
      </w:r>
      <w:r>
        <w:rPr>
          <w:rtl w:val="true"/>
        </w:rPr>
        <w:t>מן הגבוהות</w:t>
      </w:r>
      <w:r>
        <w:rPr>
          <w:rtl w:val="true"/>
        </w:rPr>
        <w:t xml:space="preserve">" </w:t>
      </w:r>
      <w:r>
        <w:rPr>
          <w:rtl w:val="true"/>
        </w:rPr>
        <w:t>בערכים החברתיים הבאים</w:t>
      </w:r>
      <w:r>
        <w:rPr>
          <w:rtl w:val="true"/>
        </w:rPr>
        <w:t xml:space="preserve">: </w:t>
      </w:r>
      <w:r>
        <w:rPr>
          <w:rtl w:val="true"/>
        </w:rPr>
        <w:t>ההגנה על הקניין הפרטי ועל קופת המדינה</w:t>
      </w:r>
      <w:r>
        <w:rPr>
          <w:rtl w:val="true"/>
        </w:rPr>
        <w:t xml:space="preserve">, </w:t>
      </w:r>
      <w:r>
        <w:rPr>
          <w:rtl w:val="true"/>
        </w:rPr>
        <w:t>אמון המעביד בעובדיו</w:t>
      </w:r>
      <w:r>
        <w:rPr>
          <w:rtl w:val="true"/>
        </w:rPr>
        <w:t xml:space="preserve">, </w:t>
      </w:r>
      <w:r>
        <w:rPr>
          <w:rtl w:val="true"/>
        </w:rPr>
        <w:t>והשוויון בנטל המס</w:t>
      </w:r>
      <w:r>
        <w:rPr>
          <w:rtl w:val="true"/>
        </w:rPr>
        <w:t xml:space="preserve">.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 xml:space="preserve">כי בכך מעלה המערערת באמון המלא שניתן בה כבעלת תפקיד בכיר עם נגיעה ישירה לכספי החברה במשך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וכי לאור משכם של המעשים</w:t>
      </w:r>
      <w:r>
        <w:rPr>
          <w:rtl w:val="true"/>
        </w:rPr>
        <w:t xml:space="preserve">, </w:t>
      </w:r>
      <w:r>
        <w:rPr>
          <w:rtl w:val="true"/>
        </w:rPr>
        <w:t>היקפם</w:t>
      </w:r>
      <w:r>
        <w:rPr>
          <w:rtl w:val="true"/>
        </w:rPr>
        <w:t xml:space="preserve">, </w:t>
      </w:r>
      <w:r>
        <w:rPr>
          <w:rtl w:val="true"/>
        </w:rPr>
        <w:t>והנזקים הכספיים והאחרים שגרמו לחברה ולקופת המדינה</w:t>
      </w:r>
      <w:r>
        <w:rPr>
          <w:rtl w:val="true"/>
        </w:rPr>
        <w:t xml:space="preserve">, </w:t>
      </w:r>
      <w:r>
        <w:rPr>
          <w:rtl w:val="true"/>
        </w:rPr>
        <w:t xml:space="preserve">מתחם העונש ההולם בגינם הוא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במיקום עונשה של המערערת בחלקו התחתון של המתחם שנקבע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אופיים המתוחכם והשיטתי של המעשים</w:t>
      </w:r>
      <w:r>
        <w:rPr>
          <w:rtl w:val="true"/>
        </w:rPr>
        <w:t xml:space="preserve">, </w:t>
      </w:r>
      <w:r>
        <w:rPr>
          <w:rtl w:val="true"/>
        </w:rPr>
        <w:t xml:space="preserve">ועל כך שנועדו לספק את תאוות הקניות של המערערת </w:t>
      </w:r>
      <w:r>
        <w:rPr>
          <w:rtl w:val="true"/>
        </w:rPr>
        <w:t>–</w:t>
      </w:r>
      <w:r>
        <w:rPr>
          <w:rtl w:val="true"/>
        </w:rPr>
        <w:t xml:space="preserve"> ומנגד</w:t>
      </w:r>
      <w:r>
        <w:rPr>
          <w:rtl w:val="true"/>
        </w:rPr>
        <w:t xml:space="preserve">, </w:t>
      </w:r>
      <w:r>
        <w:rPr>
          <w:rtl w:val="true"/>
        </w:rPr>
        <w:t>זקף לזכותה את הודאתה באשמה</w:t>
      </w:r>
      <w:r>
        <w:rPr>
          <w:rtl w:val="true"/>
        </w:rPr>
        <w:t xml:space="preserve">, </w:t>
      </w:r>
      <w:r>
        <w:rPr>
          <w:rtl w:val="true"/>
        </w:rPr>
        <w:t>מצבה המשפחתי והכלכלי</w:t>
      </w:r>
      <w:r>
        <w:rPr>
          <w:rtl w:val="true"/>
        </w:rPr>
        <w:t xml:space="preserve">, </w:t>
      </w:r>
      <w:r>
        <w:rPr>
          <w:rtl w:val="true"/>
        </w:rPr>
        <w:t>עברה הנקי</w:t>
      </w:r>
      <w:r>
        <w:rPr>
          <w:rtl w:val="true"/>
        </w:rPr>
        <w:t xml:space="preserve">, </w:t>
      </w:r>
      <w:r>
        <w:rPr>
          <w:rtl w:val="true"/>
        </w:rPr>
        <w:t>ובעיותיה הרפואיות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ציין בית המשפט כי מאחר שבתסקיר החלקי נפרשו בפניו מרבית הנתונים</w:t>
      </w:r>
      <w:r>
        <w:rPr>
          <w:rtl w:val="true"/>
        </w:rPr>
        <w:t xml:space="preserve">, </w:t>
      </w:r>
      <w:r>
        <w:rPr>
          <w:rtl w:val="true"/>
        </w:rPr>
        <w:t>לא ראה צורך במתן הארכה הנוספת שהתבקשה לשם העמקת האבחון וגיבוש המלצה לעונש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מכאן הערעור שלפנינו</w:t>
      </w:r>
      <w:r>
        <w:rPr>
          <w:rtl w:val="true"/>
        </w:rPr>
        <w:t xml:space="preserve">, </w:t>
      </w:r>
      <w:r>
        <w:rPr>
          <w:rtl w:val="true"/>
        </w:rPr>
        <w:t>המופנה כלפי חומרת עונש המאסר בפועל בלבד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 xml:space="preserve">כי בהתאם להחלטת בית משפט זה מיום </w:t>
      </w:r>
      <w:r>
        <w:rPr/>
        <w:t>4.1.2021</w:t>
      </w:r>
      <w:r>
        <w:rPr>
          <w:rtl w:val="true"/>
        </w:rPr>
        <w:t xml:space="preserve"> 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), </w:t>
      </w:r>
      <w:r>
        <w:rPr>
          <w:rtl w:val="true"/>
        </w:rPr>
        <w:t xml:space="preserve">בה נדחה מועד תחילת ריצוי עונש המאסר ליום </w:t>
      </w:r>
      <w:r>
        <w:rPr/>
        <w:t>4.4.2021</w:t>
      </w:r>
      <w:r>
        <w:rPr>
          <w:rtl w:val="true"/>
        </w:rPr>
        <w:t xml:space="preserve">, </w:t>
      </w:r>
      <w:r>
        <w:rPr>
          <w:rtl w:val="true"/>
        </w:rPr>
        <w:t>הוגש לעיוננו תסקיר משלים בעניינה של המערערת</w:t>
      </w:r>
      <w:r>
        <w:rPr>
          <w:rtl w:val="true"/>
        </w:rPr>
        <w:t xml:space="preserve">, </w:t>
      </w:r>
      <w:r>
        <w:rPr>
          <w:rtl w:val="true"/>
        </w:rPr>
        <w:t xml:space="preserve">אולם לא נכללה בו המלצה לעונש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המשלים</w:t>
      </w:r>
      <w:r>
        <w:rPr>
          <w:rtl w:val="true"/>
        </w:rPr>
        <w:t xml:space="preserve">). </w:t>
      </w:r>
      <w:r>
        <w:rPr>
          <w:rtl w:val="true"/>
        </w:rPr>
        <w:t>בדיון בעל</w:t>
      </w:r>
      <w:r>
        <w:rPr>
          <w:rtl w:val="true"/>
        </w:rPr>
        <w:t>-</w:t>
      </w:r>
      <w:r>
        <w:rPr>
          <w:rtl w:val="true"/>
        </w:rPr>
        <w:t xml:space="preserve">פה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17.3.2021</w:t>
      </w:r>
      <w:r>
        <w:rPr>
          <w:rtl w:val="true"/>
        </w:rPr>
        <w:t xml:space="preserve">) </w:t>
      </w:r>
      <w:r>
        <w:rPr>
          <w:rtl w:val="true"/>
        </w:rPr>
        <w:t>נאמר לנו על</w:t>
      </w:r>
      <w:r>
        <w:rPr>
          <w:rtl w:val="true"/>
        </w:rPr>
        <w:t>-</w:t>
      </w:r>
      <w:r>
        <w:rPr>
          <w:rtl w:val="true"/>
        </w:rPr>
        <w:t>ידי נציגת שירות המבחן כי מפאת קוצר הזמן לא ניתן היה לשלב את המערערת בהליך טיפולי או שיקומי</w:t>
      </w:r>
      <w:r>
        <w:rPr>
          <w:rtl w:val="true"/>
        </w:rPr>
        <w:t xml:space="preserve">, </w:t>
      </w:r>
      <w:r>
        <w:rPr>
          <w:rtl w:val="true"/>
        </w:rPr>
        <w:t>וכי אין באפשרותם לגבש המלצה כאמור בשלב זה</w:t>
      </w:r>
      <w:r>
        <w:rPr>
          <w:rtl w:val="true"/>
        </w:rPr>
        <w:t>.</w:t>
      </w:r>
    </w:p>
    <w:p>
      <w:pPr>
        <w:pStyle w:val="Ruller4"/>
        <w:spacing w:before="0" w:after="42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המערערת טוענת כי בית המשפט המחוזי שגה בכך שלא איפשר את השלמת תסקיר שירות המבחן בעניינה </w:t>
      </w:r>
      <w:r>
        <w:rPr>
          <w:rtl w:val="true"/>
        </w:rPr>
        <w:t>–</w:t>
      </w:r>
      <w:r>
        <w:rPr>
          <w:rtl w:val="true"/>
        </w:rPr>
        <w:t xml:space="preserve"> וזאת</w:t>
      </w:r>
      <w:r>
        <w:rPr>
          <w:rtl w:val="true"/>
        </w:rPr>
        <w:t xml:space="preserve">, </w:t>
      </w:r>
      <w:r>
        <w:rPr>
          <w:rtl w:val="true"/>
        </w:rPr>
        <w:t>בניגוד לתניה מהותית בהסדר הטיעון שנחתם עמה</w:t>
      </w:r>
      <w:r>
        <w:rPr>
          <w:rtl w:val="true"/>
        </w:rPr>
        <w:t xml:space="preserve">, </w:t>
      </w:r>
      <w:r>
        <w:rPr>
          <w:rtl w:val="true"/>
        </w:rPr>
        <w:t>ובאופן שמנע ממנה להירתם להליך טיפולי או שיקומי</w:t>
      </w:r>
      <w:r>
        <w:rPr>
          <w:rtl w:val="true"/>
        </w:rPr>
        <w:t xml:space="preserve">, </w:t>
      </w:r>
      <w:r>
        <w:rPr>
          <w:rtl w:val="true"/>
        </w:rPr>
        <w:t>אשר יכול היה להועיל לה בהמשך חייה ואולי אף להשפיע על העונש שהוטל עליה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על אף שאין ערובה להצלחת ההליך</w:t>
      </w:r>
      <w:r>
        <w:rPr>
          <w:rtl w:val="true"/>
        </w:rPr>
        <w:t xml:space="preserve">, </w:t>
      </w:r>
      <w:r>
        <w:rPr>
          <w:rtl w:val="true"/>
        </w:rPr>
        <w:t>בכך נפגעה ציפייתה הלגיטימית עת החליטה להודות בביצוע העבירות</w:t>
      </w:r>
      <w:r>
        <w:rPr>
          <w:rtl w:val="true"/>
        </w:rPr>
        <w:t xml:space="preserve">, </w:t>
      </w:r>
      <w:r>
        <w:rPr>
          <w:rtl w:val="true"/>
        </w:rPr>
        <w:t>במטרה לשפר את מצבה ו</w:t>
      </w:r>
      <w:r>
        <w:rPr>
          <w:rtl w:val="true"/>
        </w:rPr>
        <w:t>-"</w:t>
      </w:r>
      <w:r>
        <w:rPr>
          <w:rtl w:val="true"/>
        </w:rPr>
        <w:t>לבטח את עצמה</w:t>
      </w:r>
      <w:r>
        <w:rPr>
          <w:rtl w:val="true"/>
        </w:rPr>
        <w:t xml:space="preserve">", </w:t>
      </w:r>
      <w:r>
        <w:rPr>
          <w:rtl w:val="true"/>
        </w:rPr>
        <w:t>ובשל רצונה לקחת אחריות מלאה ולהביע חרטה כנה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מקום בו העיכוב בהשלמת התסקיר נבע מטעמים שאינם קשורים במערערת</w:t>
      </w:r>
      <w:r>
        <w:rPr>
          <w:rtl w:val="true"/>
        </w:rPr>
        <w:t xml:space="preserve">, </w:t>
      </w:r>
      <w:r>
        <w:rPr>
          <w:rtl w:val="true"/>
        </w:rPr>
        <w:t>התביעה הייתה חייבת להסכים למתן הארכה הנוספת ובית המשפט היה חייב להיעתר לכך</w:t>
      </w:r>
      <w:r>
        <w:rPr>
          <w:rtl w:val="true"/>
        </w:rPr>
        <w:t xml:space="preserve">, </w:t>
      </w:r>
      <w:r>
        <w:rPr>
          <w:rtl w:val="true"/>
        </w:rPr>
        <w:t>וכי התנגדותה של הראשונה והחלטתו של האחרון הרעו את מצבה של המערערת באופן מהותי</w:t>
      </w:r>
      <w:r>
        <w:rPr>
          <w:rtl w:val="true"/>
        </w:rPr>
        <w:t xml:space="preserve">, </w:t>
      </w:r>
      <w:r>
        <w:rPr>
          <w:rtl w:val="true"/>
        </w:rPr>
        <w:t>ברמה האישית והעונשית כאחד</w:t>
      </w:r>
      <w:r>
        <w:rPr>
          <w:rtl w:val="true"/>
        </w:rPr>
        <w:t xml:space="preserve">.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 xml:space="preserve">זכותה להליך טיפולי או שיקומי נשללה אך מפאת העובדה שגנבה את הכספים </w:t>
      </w:r>
      <w:r>
        <w:rPr>
          <w:rtl w:val="true"/>
        </w:rPr>
        <w:t>"</w:t>
      </w:r>
      <w:r>
        <w:rPr>
          <w:rtl w:val="true"/>
        </w:rPr>
        <w:t>סתם כך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ובמובן זה נתן בית המשפט את ידו להפלייתה הפסולה בהשוואה למי שגונב כספים למטרת הימורים או שימוש בסמים</w:t>
      </w:r>
      <w:r>
        <w:rPr>
          <w:rtl w:val="true"/>
        </w:rPr>
        <w:t xml:space="preserve">, </w:t>
      </w:r>
      <w:r>
        <w:rPr>
          <w:rtl w:val="true"/>
        </w:rPr>
        <w:t>ואף בהשוואה לתאגיד המורשע בביצוע עבירות כלכליות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בהקשר זה מדגישה המערערת את תכליתן השיקומית של הוראות 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בעניין הבניית שיקול הדעת השיפוטי בענישה</w:t>
      </w:r>
      <w:r>
        <w:rPr>
          <w:rtl w:val="true"/>
        </w:rPr>
        <w:t xml:space="preserve">, </w:t>
      </w:r>
      <w:r>
        <w:rPr>
          <w:rtl w:val="true"/>
        </w:rPr>
        <w:t xml:space="preserve">וכן את היותה </w:t>
      </w:r>
      <w:r>
        <w:rPr>
          <w:rtl w:val="true"/>
        </w:rPr>
        <w:t>"</w:t>
      </w:r>
      <w:r>
        <w:rPr>
          <w:rtl w:val="true"/>
        </w:rPr>
        <w:t>מועמדת מושלמת</w:t>
      </w:r>
      <w:r>
        <w:rPr>
          <w:rtl w:val="true"/>
        </w:rPr>
        <w:t xml:space="preserve">" </w:t>
      </w:r>
      <w:r>
        <w:rPr>
          <w:rtl w:val="true"/>
        </w:rPr>
        <w:t>להליך טיפולי או שיקומי</w:t>
      </w:r>
      <w:r>
        <w:rPr>
          <w:rtl w:val="true"/>
        </w:rPr>
        <w:t xml:space="preserve">, </w:t>
      </w:r>
      <w:r>
        <w:rPr>
          <w:rtl w:val="true"/>
        </w:rPr>
        <w:t xml:space="preserve">לנוכח גילה המתקדם </w:t>
      </w:r>
      <w:r>
        <w:rPr>
          <w:rtl w:val="true"/>
        </w:rPr>
        <w:t>(</w:t>
      </w:r>
      <w:r>
        <w:rPr/>
        <w:t>65</w:t>
      </w:r>
      <w:r>
        <w:rPr>
          <w:rtl w:val="true"/>
        </w:rPr>
        <w:t xml:space="preserve">), </w:t>
      </w:r>
      <w:r>
        <w:rPr>
          <w:rtl w:val="true"/>
        </w:rPr>
        <w:t>עברה הנקי</w:t>
      </w:r>
      <w:r>
        <w:rPr>
          <w:rtl w:val="true"/>
        </w:rPr>
        <w:t xml:space="preserve">, </w:t>
      </w:r>
      <w:r>
        <w:rPr>
          <w:rtl w:val="true"/>
        </w:rPr>
        <w:t>הודאתה באשמה והכאתה על חטא</w:t>
      </w:r>
      <w:r>
        <w:rPr>
          <w:rtl w:val="true"/>
        </w:rPr>
        <w:t xml:space="preserve">, </w:t>
      </w:r>
      <w:r>
        <w:rPr>
          <w:rtl w:val="true"/>
        </w:rPr>
        <w:t xml:space="preserve">וכן הסכמתה </w:t>
      </w:r>
      <w:r>
        <w:rPr>
          <w:rtl w:val="true"/>
        </w:rPr>
        <w:t>"</w:t>
      </w:r>
      <w:r>
        <w:rPr>
          <w:rtl w:val="true"/>
        </w:rPr>
        <w:t>להתפרק</w:t>
      </w:r>
      <w:r>
        <w:rPr>
          <w:rtl w:val="true"/>
        </w:rPr>
        <w:t xml:space="preserve">" </w:t>
      </w:r>
      <w:r>
        <w:rPr>
          <w:rtl w:val="true"/>
        </w:rPr>
        <w:t>מכל רכושה לטובת פיצוי החברה</w:t>
      </w:r>
      <w:r>
        <w:rPr>
          <w:rtl w:val="true"/>
        </w:rPr>
        <w:t xml:space="preserve">, </w:t>
      </w:r>
      <w:r>
        <w:rPr>
          <w:rtl w:val="true"/>
        </w:rPr>
        <w:t>שבגינה לא ברור היכן תתגורר ומה תעשה בשארית חייה</w:t>
      </w:r>
      <w:r>
        <w:rPr>
          <w:rtl w:val="true"/>
        </w:rPr>
        <w:t xml:space="preserve">. </w:t>
      </w:r>
      <w:r>
        <w:rPr>
          <w:rtl w:val="true"/>
        </w:rPr>
        <w:t>נטען כי אלה מהווים נתונים מהותיים לצורך גזירת דינה אשר לא עמדו בפני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בדומה להערכת הסיכון להישנות העבירות ולהערכת סיכוייה להשתקם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מבקשת המערערת בנימוקיה שבכתב</w:t>
      </w:r>
      <w:r>
        <w:rPr>
          <w:rtl w:val="true"/>
        </w:rPr>
        <w:t xml:space="preserve">, </w:t>
      </w:r>
      <w:r>
        <w:rPr>
          <w:rtl w:val="true"/>
        </w:rPr>
        <w:t>כי נורה על החזרת עניינה לערכאה הדיונית</w:t>
      </w:r>
      <w:r>
        <w:rPr>
          <w:rtl w:val="true"/>
        </w:rPr>
        <w:t xml:space="preserve">, </w:t>
      </w:r>
      <w:r>
        <w:rPr>
          <w:rtl w:val="true"/>
        </w:rPr>
        <w:t>לצורך קיום טיעונים לעונש וגזירת דינה מחדש</w:t>
      </w:r>
      <w:r>
        <w:rPr>
          <w:rtl w:val="true"/>
        </w:rPr>
        <w:t xml:space="preserve">, </w:t>
      </w:r>
      <w:r>
        <w:rPr>
          <w:rtl w:val="true"/>
        </w:rPr>
        <w:t>לאחר קבלת תסקיר משלים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לחילופין המערערת טוענת כי עונשה חורג לחומרה מהראוי</w:t>
      </w:r>
      <w:r>
        <w:rPr>
          <w:rtl w:val="true"/>
        </w:rPr>
        <w:t xml:space="preserve">, </w:t>
      </w:r>
      <w:r>
        <w:rPr>
          <w:rtl w:val="true"/>
        </w:rPr>
        <w:t xml:space="preserve">בפרט לאור מקרה דומה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30006-07-15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ונטורה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11.8.2016</w:t>
      </w:r>
      <w:r>
        <w:rPr>
          <w:rtl w:val="true"/>
        </w:rPr>
        <w:t xml:space="preserve">),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ונטורה</w:t>
      </w:r>
      <w:r>
        <w:rPr>
          <w:rtl w:val="true"/>
        </w:rPr>
        <w:t xml:space="preserve">), </w:t>
      </w:r>
      <w:r>
        <w:rPr>
          <w:rtl w:val="true"/>
        </w:rPr>
        <w:t xml:space="preserve">בו הורשעה נאשמת בביצוע עבירות של גניבה בידי עובד ורישום כוזב במסמכי תאגיד </w:t>
      </w:r>
      <w:r>
        <w:rPr>
          <w:rtl w:val="true"/>
        </w:rPr>
        <w:t>–</w:t>
      </w:r>
      <w:r>
        <w:rPr>
          <w:rtl w:val="true"/>
        </w:rPr>
        <w:t xml:space="preserve"> בשל מעשים </w:t>
      </w:r>
      <w:r>
        <w:rPr>
          <w:rtl w:val="true"/>
        </w:rPr>
        <w:t>"</w:t>
      </w:r>
      <w:r>
        <w:rPr>
          <w:rtl w:val="true"/>
        </w:rPr>
        <w:t>זהים עד מאוד</w:t>
      </w:r>
      <w:r>
        <w:rPr>
          <w:rtl w:val="true"/>
        </w:rPr>
        <w:t xml:space="preserve">" </w:t>
      </w:r>
      <w:r>
        <w:rPr>
          <w:rtl w:val="true"/>
        </w:rPr>
        <w:t xml:space="preserve">במשכם </w:t>
      </w:r>
      <w:r>
        <w:rPr>
          <w:rtl w:val="true"/>
        </w:rPr>
        <w:t>(</w:t>
      </w:r>
      <w:r>
        <w:rPr>
          <w:rtl w:val="true"/>
        </w:rPr>
        <w:t>כעשור</w:t>
      </w:r>
      <w:r>
        <w:rPr>
          <w:rtl w:val="true"/>
        </w:rPr>
        <w:t xml:space="preserve">), </w:t>
      </w:r>
      <w:r>
        <w:rPr>
          <w:rtl w:val="true"/>
        </w:rPr>
        <w:t xml:space="preserve">בהיקפם </w:t>
      </w:r>
      <w:r>
        <w:rPr>
          <w:rtl w:val="true"/>
        </w:rPr>
        <w:t>(</w:t>
      </w:r>
      <w:r>
        <w:rPr>
          <w:rtl w:val="true"/>
        </w:rPr>
        <w:t>כשני מיליון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), </w:t>
      </w:r>
      <w:r>
        <w:rPr>
          <w:rtl w:val="true"/>
        </w:rPr>
        <w:t xml:space="preserve">ובנסיבותיהם </w:t>
      </w:r>
      <w:r>
        <w:rPr>
          <w:rtl w:val="true"/>
        </w:rPr>
        <w:t>(</w:t>
      </w:r>
      <w:r>
        <w:rPr>
          <w:rtl w:val="true"/>
        </w:rPr>
        <w:t>יצירת עובדים פיקטיביים במערכת חישוב השכר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ונגזרו עליה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מבלי שעברה הליך שיקומי כלשהו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גם בהשוואה למקרים אחרים שהובאו בפני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עונשה של המערערת חמור ביותר ואינו משקלל את </w:t>
      </w:r>
      <w:r>
        <w:rPr>
          <w:rtl w:val="true"/>
        </w:rPr>
        <w:t>"</w:t>
      </w:r>
      <w:r>
        <w:rPr>
          <w:rtl w:val="true"/>
        </w:rPr>
        <w:t>התפרקותה מנכסיה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וכי אילו הושלם התסקיר בעניינה</w:t>
      </w:r>
      <w:r>
        <w:rPr>
          <w:rtl w:val="true"/>
        </w:rPr>
        <w:t xml:space="preserve">, </w:t>
      </w:r>
      <w:r>
        <w:rPr>
          <w:rtl w:val="true"/>
        </w:rPr>
        <w:t>עשוי היה בית המשפט להקל עמה עד כדי הטלת עונש מאסר לריצוי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מטעמים אלה</w:t>
      </w:r>
      <w:r>
        <w:rPr>
          <w:rtl w:val="true"/>
        </w:rPr>
        <w:t xml:space="preserve">, </w:t>
      </w:r>
      <w:r>
        <w:rPr>
          <w:rtl w:val="true"/>
        </w:rPr>
        <w:t>ככל שתידחה טענתה לעניין התסקיר</w:t>
      </w:r>
      <w:r>
        <w:rPr>
          <w:rtl w:val="true"/>
        </w:rPr>
        <w:t xml:space="preserve">, </w:t>
      </w:r>
      <w:r>
        <w:rPr>
          <w:rtl w:val="true"/>
        </w:rPr>
        <w:t xml:space="preserve">המערערת מבקשת כי עונשה יותאם לזה שהוטל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ונטורה</w:t>
      </w:r>
      <w:r>
        <w:rPr>
          <w:rtl w:val="true"/>
        </w:rPr>
        <w:t xml:space="preserve"> הנזכר לעיל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סבורה כי לא נפל פגם בגזר</w:t>
      </w:r>
      <w:r>
        <w:rPr>
          <w:rtl w:val="true"/>
        </w:rPr>
        <w:t>-</w:t>
      </w:r>
      <w:r>
        <w:rPr>
          <w:rtl w:val="true"/>
        </w:rPr>
        <w:t>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אשר בנסיבות העניין אף הקל עם המערערת במידת</w:t>
      </w:r>
      <w:r>
        <w:rPr>
          <w:rtl w:val="true"/>
        </w:rPr>
        <w:t>-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בכך שמיקם את עונשה בתחתית המתחם שקבע</w:t>
      </w:r>
      <w:r>
        <w:rPr>
          <w:rtl w:val="true"/>
        </w:rPr>
        <w:t xml:space="preserve">. </w:t>
      </w:r>
      <w:r>
        <w:rPr>
          <w:rtl w:val="true"/>
        </w:rPr>
        <w:t>בהתייחס לחומרת המעשים</w:t>
      </w:r>
      <w:r>
        <w:rPr>
          <w:rtl w:val="true"/>
        </w:rPr>
        <w:t xml:space="preserve">, </w:t>
      </w:r>
      <w:r>
        <w:rPr>
          <w:rtl w:val="true"/>
        </w:rPr>
        <w:t>מפנה המשיבה לדברי המערערת בתסקיר המשלים</w:t>
      </w:r>
      <w:r>
        <w:rPr>
          <w:rtl w:val="true"/>
        </w:rPr>
        <w:t xml:space="preserve">, </w:t>
      </w:r>
      <w:r>
        <w:rPr>
          <w:rtl w:val="true"/>
        </w:rPr>
        <w:t>לפיהם פעלה באופן מתוכנן ומחושב</w:t>
      </w:r>
      <w:r>
        <w:rPr>
          <w:rtl w:val="true"/>
        </w:rPr>
        <w:t xml:space="preserve">, </w:t>
      </w:r>
      <w:r>
        <w:rPr>
          <w:rtl w:val="true"/>
        </w:rPr>
        <w:t xml:space="preserve">ונחשפה באקראי עקב </w:t>
      </w:r>
      <w:r>
        <w:rPr>
          <w:rtl w:val="true"/>
        </w:rPr>
        <w:t>"</w:t>
      </w:r>
      <w:r>
        <w:rPr>
          <w:rtl w:val="true"/>
        </w:rPr>
        <w:t>כשל תכנוני</w:t>
      </w:r>
      <w:r>
        <w:rPr>
          <w:rtl w:val="true"/>
        </w:rPr>
        <w:t xml:space="preserve">" </w:t>
      </w:r>
      <w:r>
        <w:rPr>
          <w:rtl w:val="true"/>
        </w:rPr>
        <w:t>מצדה</w:t>
      </w:r>
      <w:r>
        <w:rPr>
          <w:rtl w:val="true"/>
        </w:rPr>
        <w:t xml:space="preserve">, </w:t>
      </w:r>
      <w:r>
        <w:rPr>
          <w:rtl w:val="true"/>
        </w:rPr>
        <w:t>שאלמלא אירע לא ברור האם ומתי הייתה חדלה מכך</w:t>
      </w:r>
      <w:r>
        <w:rPr>
          <w:rtl w:val="true"/>
        </w:rPr>
        <w:t xml:space="preserve">. </w:t>
      </w:r>
      <w:r>
        <w:rPr>
          <w:rtl w:val="true"/>
        </w:rPr>
        <w:t xml:space="preserve">עוד טוענת המשיבה כי בביצוע העבירות על רקע התמכרותה של המערערת לקניות </w:t>
      </w:r>
      <w:r>
        <w:rPr>
          <w:rtl w:val="true"/>
        </w:rPr>
        <w:t>("</w:t>
      </w:r>
      <w:r>
        <w:rPr>
          <w:rtl w:val="true"/>
        </w:rPr>
        <w:t>שופינג</w:t>
      </w:r>
      <w:r>
        <w:rPr>
          <w:rtl w:val="true"/>
        </w:rPr>
        <w:t xml:space="preserve">") </w:t>
      </w:r>
      <w:r>
        <w:rPr>
          <w:rtl w:val="true"/>
        </w:rPr>
        <w:t>יש נסיבה לחומרה</w:t>
      </w:r>
      <w:r>
        <w:rPr>
          <w:rtl w:val="true"/>
        </w:rPr>
        <w:t xml:space="preserve">, </w:t>
      </w:r>
      <w:r>
        <w:rPr>
          <w:rtl w:val="true"/>
        </w:rPr>
        <w:t>וזאת בהשוואה לגניבה על רקע מצוקה כלכלית</w:t>
      </w:r>
      <w:r>
        <w:rPr>
          <w:rtl w:val="true"/>
        </w:rPr>
        <w:t xml:space="preserve">, </w:t>
      </w:r>
      <w:r>
        <w:rPr>
          <w:rtl w:val="true"/>
        </w:rPr>
        <w:t>אישית או משפחתית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 טוענת המשיבה כי בית המשפט המחוזי התייחס לתסקיר החלקי וכי לא נפל פגם בהחלטה הדיונית שקיבל בעניין</w:t>
      </w:r>
      <w:r>
        <w:rPr>
          <w:rtl w:val="true"/>
        </w:rPr>
        <w:t xml:space="preserve">, </w:t>
      </w:r>
      <w:r>
        <w:rPr>
          <w:rtl w:val="true"/>
        </w:rPr>
        <w:t>במסגרת שיקול דעתו ומהסוג בו ערכאת הערעור לא נוטה להתערב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כי אף אם נפל בכך פגם</w:t>
      </w:r>
      <w:r>
        <w:rPr>
          <w:rtl w:val="true"/>
        </w:rPr>
        <w:t xml:space="preserve">, </w:t>
      </w:r>
      <w:r>
        <w:rPr>
          <w:rtl w:val="true"/>
        </w:rPr>
        <w:t xml:space="preserve">הוא תוקן באמצעות התסקיר המשלים </w:t>
      </w:r>
      <w:r>
        <w:rPr>
          <w:rtl w:val="true"/>
        </w:rPr>
        <w:t>–</w:t>
      </w:r>
      <w:r>
        <w:rPr>
          <w:rtl w:val="true"/>
        </w:rPr>
        <w:t xml:space="preserve"> בו לא נאמר דבר לעניין </w:t>
      </w:r>
      <w:r>
        <w:rPr>
          <w:rtl w:val="true"/>
        </w:rPr>
        <w:t>"</w:t>
      </w:r>
      <w:r>
        <w:rPr>
          <w:rtl w:val="true"/>
        </w:rPr>
        <w:t>ניצני שיקום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ראשית הליך טיפולי</w:t>
      </w:r>
      <w:r>
        <w:rPr>
          <w:rtl w:val="true"/>
        </w:rPr>
        <w:t xml:space="preserve">" </w:t>
      </w:r>
      <w:r>
        <w:rPr>
          <w:rtl w:val="true"/>
        </w:rPr>
        <w:t>בהם יכולה המערערת להיאחז</w:t>
      </w:r>
      <w:r>
        <w:rPr>
          <w:rtl w:val="true"/>
        </w:rPr>
        <w:t xml:space="preserve">. </w:t>
      </w:r>
      <w:r>
        <w:rPr>
          <w:rtl w:val="true"/>
        </w:rPr>
        <w:t>בהעדר המלצה ברורה או הליך שייגדע עקב כניסת המערערת למאסר</w:t>
      </w:r>
      <w:r>
        <w:rPr>
          <w:rtl w:val="true"/>
        </w:rPr>
        <w:t xml:space="preserve">, </w:t>
      </w:r>
      <w:r>
        <w:rPr>
          <w:rtl w:val="true"/>
        </w:rPr>
        <w:t>נטען כי אין עילה לדחות עוד את ריצוי העונש</w:t>
      </w:r>
      <w:r>
        <w:rPr>
          <w:rtl w:val="true"/>
        </w:rPr>
        <w:t xml:space="preserve">, </w:t>
      </w:r>
      <w:r>
        <w:rPr>
          <w:rtl w:val="true"/>
        </w:rPr>
        <w:t>בפרט נוכח האפשרות להשתלב בהליך כאמור בהמשך</w:t>
      </w:r>
      <w:r>
        <w:rPr>
          <w:rtl w:val="true"/>
        </w:rPr>
        <w:t>.</w:t>
      </w:r>
    </w:p>
    <w:p>
      <w:pPr>
        <w:pStyle w:val="Ruller4"/>
        <w:spacing w:before="0" w:after="42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טענותיה החלופיות של המערערת משיגות על שתי החלטות הערכאה הדיונית בעניינים הנתונים לשיקול דעתה</w:t>
      </w:r>
      <w:r>
        <w:rPr>
          <w:rtl w:val="true"/>
        </w:rPr>
        <w:t xml:space="preserve">, </w:t>
      </w:r>
      <w:r>
        <w:rPr>
          <w:rtl w:val="true"/>
        </w:rPr>
        <w:t>ושבהן ערכאת הערעור אינה נוטה להתערב</w:t>
      </w:r>
      <w:r>
        <w:rPr>
          <w:rtl w:val="true"/>
        </w:rPr>
        <w:t xml:space="preserve">: </w:t>
      </w:r>
      <w:r>
        <w:rPr>
          <w:rtl w:val="true"/>
        </w:rPr>
        <w:t xml:space="preserve">הטענות בעניין התסקיר מתייחסות להחלטה הנוגעת לאופן ניהול ההליך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2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פפיאשוילי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10.1.2019</w:t>
      </w:r>
      <w:r>
        <w:rPr>
          <w:rtl w:val="true"/>
        </w:rPr>
        <w:t xml:space="preserve">)); </w:t>
      </w:r>
      <w:r>
        <w:rPr>
          <w:rtl w:val="true"/>
        </w:rPr>
        <w:t xml:space="preserve">והטענות בעניין העונש מתייחסות לקביעות בהן לא נתערב אלא בהתקיים </w:t>
      </w:r>
      <w:r>
        <w:rPr>
          <w:rtl w:val="true"/>
        </w:rPr>
        <w:t>סטייה</w:t>
      </w:r>
      <w:r>
        <w:rPr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643/19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26.2.2020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בשני המובנים</w:t>
      </w:r>
      <w:r>
        <w:rPr>
          <w:rtl w:val="true"/>
        </w:rPr>
        <w:t xml:space="preserve">, </w:t>
      </w:r>
      <w:r>
        <w:rPr>
          <w:rtl w:val="true"/>
        </w:rPr>
        <w:t>עניינה של המערערת אינו נמנה על המקרים החריגים בהם יש להתערב בהחלטות הערכאה הדיונית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אף לגופם של דברים</w:t>
      </w:r>
      <w:r>
        <w:rPr>
          <w:rtl w:val="true"/>
        </w:rPr>
        <w:t xml:space="preserve">, </w:t>
      </w:r>
      <w:r>
        <w:rPr>
          <w:rtl w:val="true"/>
        </w:rPr>
        <w:t>אין בידי לקבל את טענות המערערת בעניין התסקיר</w:t>
      </w:r>
      <w:r>
        <w:rPr>
          <w:rtl w:val="true"/>
        </w:rPr>
        <w:t xml:space="preserve">, </w:t>
      </w:r>
      <w:r>
        <w:rPr>
          <w:rtl w:val="true"/>
        </w:rPr>
        <w:t>מבחינה עקרונית ומעשית כאחד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מלכתחילה לא נפל פגם בהחלטת בית המשפט המחוזי להסתפק בתסקיר החלקי ולהימנע מעיכוב נוסף בהליכים לצורך השלמתו</w:t>
      </w:r>
      <w:r>
        <w:rPr>
          <w:rtl w:val="true"/>
        </w:rPr>
        <w:t xml:space="preserve">: </w:t>
      </w:r>
      <w:r>
        <w:rPr>
          <w:rtl w:val="true"/>
        </w:rPr>
        <w:t xml:space="preserve">גם בהתקיים חובה להיענות לבקשת נאשם לקבלת תסקיר בעניינו </w:t>
      </w:r>
      <w:r>
        <w:rPr>
          <w:rtl w:val="true"/>
        </w:rPr>
        <w:t>–</w:t>
      </w:r>
      <w:r>
        <w:rPr>
          <w:rtl w:val="true"/>
        </w:rPr>
        <w:t xml:space="preserve"> למשל</w:t>
      </w:r>
      <w:r>
        <w:rPr>
          <w:rtl w:val="true"/>
        </w:rPr>
        <w:t xml:space="preserve">, </w:t>
      </w:r>
      <w:r>
        <w:rPr>
          <w:rtl w:val="true"/>
        </w:rPr>
        <w:t xml:space="preserve">לצורך הטלת עונש מאסר בפועל </w:t>
      </w:r>
      <w:r>
        <w:rPr>
          <w:rtl w:val="true"/>
        </w:rPr>
        <w:t>–</w:t>
      </w:r>
      <w:r>
        <w:rPr>
          <w:rtl w:val="true"/>
        </w:rPr>
        <w:t xml:space="preserve"> אין חובה לאמץ את המלצתו</w:t>
      </w:r>
      <w:r>
        <w:rPr>
          <w:rtl w:val="true"/>
        </w:rPr>
        <w:t xml:space="preserve">, </w:t>
      </w:r>
      <w:r>
        <w:rPr>
          <w:rtl w:val="true"/>
        </w:rPr>
        <w:t>ככל שישנה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שממילא יש לבית המשפט שיקול דעת רחב ביחס להיקף התסקיר שיתקבל ומשך הזמן שיינתן לשם כך</w:t>
      </w:r>
      <w:r>
        <w:rPr>
          <w:rtl w:val="true"/>
        </w:rPr>
        <w:t xml:space="preserve">, </w:t>
      </w:r>
      <w:r>
        <w:rPr>
          <w:rtl w:val="true"/>
        </w:rPr>
        <w:t>בהתחשב במשמעות הדחייה לאור האינטרס הציבורי ועקרון השוויון בין נאשמים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 אלה יפים גם לנאשם שהורשע בהסדר טיעון בו הוסכם על קבלת תסקיר לפני שיתקיימו טיעונים לעונש</w:t>
      </w:r>
      <w:r>
        <w:rPr>
          <w:rtl w:val="true"/>
        </w:rPr>
        <w:t xml:space="preserve">: </w:t>
      </w:r>
      <w:r>
        <w:rPr>
          <w:rtl w:val="true"/>
        </w:rPr>
        <w:t>אף אם אין לדחות הסכמה זו אלא במקרים יוצאי</w:t>
      </w:r>
      <w:r>
        <w:rPr>
          <w:rtl w:val="true"/>
        </w:rPr>
        <w:t>-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הרי שלבית המשפט נותר שיקול דעת רחב ביחס לאופן ניהול ההליך בהקשר זה</w:t>
      </w:r>
      <w:r>
        <w:rPr>
          <w:rtl w:val="true"/>
        </w:rPr>
        <w:t xml:space="preserve">, </w:t>
      </w:r>
      <w:r>
        <w:rPr>
          <w:rtl w:val="true"/>
        </w:rPr>
        <w:t>ואין לנאשם כאמור ציפייה לגיטימית שההליך בעניינו יעוכב ככל שיידרש עד לקבלת תסקיר מלא בעניינו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במנותק מהסיבות בגללן לא הושלם התסקיר בסד הזמנים שנקבע</w:t>
      </w:r>
      <w:r>
        <w:rPr>
          <w:rtl w:val="true"/>
        </w:rPr>
        <w:t xml:space="preserve">, </w:t>
      </w:r>
      <w:r>
        <w:rPr>
          <w:rtl w:val="true"/>
        </w:rPr>
        <w:t>והערכת שירות המבחן ביחס למשך הזמן הדרוש לכך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גם להכנת התסקיר החלקי נדרשה ארכה</w:t>
      </w:r>
      <w:r>
        <w:rPr>
          <w:rtl w:val="true"/>
        </w:rPr>
        <w:t xml:space="preserve">, </w:t>
      </w:r>
      <w:r>
        <w:rPr>
          <w:rtl w:val="true"/>
        </w:rPr>
        <w:t xml:space="preserve">שניתנה בהסכמת התביעה לדחייה </w:t>
      </w:r>
      <w:r>
        <w:rPr>
          <w:rtl w:val="true"/>
        </w:rPr>
        <w:t>"</w:t>
      </w:r>
      <w:r>
        <w:rPr>
          <w:rtl w:val="true"/>
        </w:rPr>
        <w:t>קצרה ואחרונה בלבד</w:t>
      </w:r>
      <w:r>
        <w:rPr>
          <w:rtl w:val="true"/>
        </w:rPr>
        <w:t xml:space="preserve">", </w:t>
      </w:r>
      <w:r>
        <w:rPr>
          <w:rtl w:val="true"/>
        </w:rPr>
        <w:t>ונקצבה על</w:t>
      </w:r>
      <w:r>
        <w:rPr>
          <w:rtl w:val="true"/>
        </w:rPr>
        <w:t>-</w:t>
      </w:r>
      <w:r>
        <w:rPr>
          <w:rtl w:val="true"/>
        </w:rPr>
        <w:t xml:space="preserve">ידי בית המשפט לזמן קצר יותר מהמבוקש </w:t>
      </w:r>
      <w:r>
        <w:rPr>
          <w:rtl w:val="true"/>
        </w:rPr>
        <w:t>(</w:t>
      </w:r>
      <w:r>
        <w:rPr>
          <w:rtl w:val="true"/>
        </w:rPr>
        <w:t>תגובת התביעה לבקשה לארכה נוספת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25.9.2020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ובניגוד לטענת המערערת כי העיכוב נבע מטעמים שאינם קשורים בה</w:t>
      </w:r>
      <w:r>
        <w:rPr>
          <w:rtl w:val="true"/>
        </w:rPr>
        <w:t xml:space="preserve">, </w:t>
      </w:r>
      <w:r>
        <w:rPr>
          <w:rtl w:val="true"/>
        </w:rPr>
        <w:t xml:space="preserve">בתסקיר החלקי נאמר שהאבחון נעשה בשיחות טלפון לאחר שהמערערת ביטלה את הפגישה שנקבעה לה בשירות המבחן לצורך קבלת טיפול רפואי </w:t>
      </w:r>
      <w:r>
        <w:rPr>
          <w:rtl w:val="true"/>
        </w:rPr>
        <w:t>–</w:t>
      </w:r>
      <w:r>
        <w:rPr>
          <w:rtl w:val="true"/>
        </w:rPr>
        <w:t xml:space="preserve"> אשר אין חולק על נחיצותו וקדימותו </w:t>
      </w:r>
      <w:r>
        <w:rPr>
          <w:rtl w:val="true"/>
        </w:rPr>
        <w:t>–</w:t>
      </w:r>
      <w:r>
        <w:rPr>
          <w:rtl w:val="true"/>
        </w:rPr>
        <w:t xml:space="preserve"> אך בגינו אף לא ניתן היה לומר באותו זמן מתי ניתן יהיה לקיים את הפגישה עמה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אפילו העדר</w:t>
      </w:r>
      <w:r>
        <w:rPr>
          <w:rtl w:val="true"/>
        </w:rPr>
        <w:t xml:space="preserve"> תסקיר</w:t>
      </w:r>
      <w:r>
        <w:rPr>
          <w:rtl w:val="true"/>
        </w:rPr>
        <w:t xml:space="preserve"> חובה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מביא</w:t>
      </w:r>
      <w:r>
        <w:rPr>
          <w:rtl w:val="true"/>
        </w:rPr>
        <w:t xml:space="preserve"> </w:t>
      </w:r>
      <w:r>
        <w:rPr>
          <w:rtl w:val="true"/>
        </w:rPr>
        <w:t>לבטלות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גורף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ההשלכות</w:t>
      </w:r>
      <w:r>
        <w:rPr>
          <w:rtl w:val="true"/>
        </w:rPr>
        <w:t xml:space="preserve"> </w:t>
      </w:r>
      <w:r>
        <w:rPr>
          <w:rtl w:val="true"/>
        </w:rPr>
        <w:t>האפשריות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הקונקרטיות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במיוחד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 </w:t>
      </w:r>
      <w:r>
        <w:rPr>
          <w:rtl w:val="true"/>
        </w:rPr>
        <w:t>סיכוי</w:t>
      </w:r>
      <w:r>
        <w:rPr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1019/13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פאיס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>-</w:t>
      </w:r>
      <w:r>
        <w:rPr>
          <w:rtl w:val="true"/>
        </w:rPr>
        <w:t xml:space="preserve">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6.7.2015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כל פגם שיתכן ונפל בעניין</w:t>
      </w:r>
      <w:r>
        <w:rPr>
          <w:rtl w:val="true"/>
        </w:rPr>
        <w:t xml:space="preserve">, </w:t>
      </w:r>
      <w:r>
        <w:rPr>
          <w:rtl w:val="true"/>
        </w:rPr>
        <w:t>ואיני סבור שכך</w:t>
      </w:r>
      <w:r>
        <w:rPr>
          <w:rtl w:val="true"/>
        </w:rPr>
        <w:t xml:space="preserve">, </w:t>
      </w:r>
      <w:r>
        <w:rPr>
          <w:rtl w:val="true"/>
        </w:rPr>
        <w:t xml:space="preserve">תוקן בהגשת תסקיר משלים בשלב הערעור </w:t>
      </w:r>
      <w:r>
        <w:rPr>
          <w:rtl w:val="true"/>
        </w:rPr>
        <w:t>–</w:t>
      </w:r>
      <w:r>
        <w:rPr>
          <w:rtl w:val="true"/>
        </w:rPr>
        <w:t xml:space="preserve"> הכולל </w:t>
      </w:r>
      <w:r>
        <w:rPr>
          <w:rtl w:val="true"/>
        </w:rPr>
        <w:t>"</w:t>
      </w:r>
      <w:r>
        <w:rPr>
          <w:rtl w:val="true"/>
        </w:rPr>
        <w:t>תמונה אבחונית מלאה</w:t>
      </w:r>
      <w:r>
        <w:rPr>
          <w:rtl w:val="true"/>
        </w:rPr>
        <w:t xml:space="preserve">", </w:t>
      </w:r>
      <w:r>
        <w:rPr>
          <w:rtl w:val="true"/>
        </w:rPr>
        <w:t xml:space="preserve">כדברי נציגת שירות המבחן בדיון שקיימנו </w:t>
      </w:r>
      <w:r>
        <w:rPr>
          <w:rtl w:val="true"/>
        </w:rPr>
        <w:t>–</w:t>
      </w:r>
      <w:r>
        <w:rPr>
          <w:rtl w:val="true"/>
        </w:rPr>
        <w:t xml:space="preserve"> ולנוכח האמור בו קשה לראות כיצד היה בכך כדי להשפיע לקולה על עונשה של המערערת</w:t>
      </w:r>
      <w:r>
        <w:rPr>
          <w:rtl w:val="true"/>
        </w:rPr>
        <w:t xml:space="preserve">, </w:t>
      </w:r>
      <w:r>
        <w:rPr>
          <w:rtl w:val="true"/>
        </w:rPr>
        <w:t>בפרט כזה הממוקם בתחתית המתחם שנקבע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קשה לומר שמהתסקיר המשלים עולה </w:t>
      </w:r>
      <w:r>
        <w:rPr>
          <w:rtl w:val="true"/>
        </w:rPr>
        <w:t>"</w:t>
      </w:r>
      <w:r>
        <w:rPr>
          <w:rtl w:val="true"/>
        </w:rPr>
        <w:t>סיכוי של ממש להשתקם</w:t>
      </w:r>
      <w:r>
        <w:rPr>
          <w:rtl w:val="true"/>
        </w:rPr>
        <w:t>" (</w:t>
      </w:r>
      <w:r>
        <w:rPr>
          <w:rtl w:val="true"/>
        </w:rPr>
        <w:t xml:space="preserve">כנדרש 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לכל הפחות </w:t>
      </w:r>
      <w:r>
        <w:rPr>
          <w:rtl w:val="true"/>
        </w:rPr>
        <w:t>–</w:t>
      </w:r>
      <w:r>
        <w:rPr>
          <w:rtl w:val="true"/>
        </w:rPr>
        <w:t xml:space="preserve"> וראו גם את דעתי החולקת 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קרנדל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18.4.2018</w:t>
      </w:r>
      <w:r>
        <w:rPr>
          <w:rtl w:val="true"/>
        </w:rPr>
        <w:t xml:space="preserve">)): </w:t>
      </w:r>
      <w:r>
        <w:rPr>
          <w:rtl w:val="true"/>
        </w:rPr>
        <w:t xml:space="preserve">אף שהמערערת ביטאה </w:t>
      </w:r>
      <w:r>
        <w:rPr>
          <w:rtl w:val="true"/>
        </w:rPr>
        <w:t>"</w:t>
      </w:r>
      <w:r>
        <w:rPr>
          <w:rtl w:val="true"/>
        </w:rPr>
        <w:t>מוטיבציה ראשונית</w:t>
      </w:r>
      <w:r>
        <w:rPr>
          <w:rtl w:val="true"/>
        </w:rPr>
        <w:t xml:space="preserve">" </w:t>
      </w:r>
      <w:r>
        <w:rPr>
          <w:rtl w:val="true"/>
        </w:rPr>
        <w:t xml:space="preserve">לקשר עם גורם טיפולי </w:t>
      </w:r>
      <w:r>
        <w:rPr>
          <w:rtl w:val="true"/>
        </w:rPr>
        <w:t>–</w:t>
      </w:r>
      <w:r>
        <w:rPr>
          <w:rtl w:val="true"/>
        </w:rPr>
        <w:t xml:space="preserve"> התסקיר המשלים מביע ספק ביחס לטענתה כי ביצעה את העבירות עקב התמכרות לקניות</w:t>
      </w:r>
      <w:r>
        <w:rPr>
          <w:rtl w:val="true"/>
        </w:rPr>
        <w:t xml:space="preserve">, </w:t>
      </w:r>
      <w:r>
        <w:rPr>
          <w:rtl w:val="true"/>
        </w:rPr>
        <w:t>ומעלה סברה לפיה הסבר זה מסייע לה להפחית מאחריותה</w:t>
      </w:r>
      <w:r>
        <w:rPr>
          <w:rtl w:val="true"/>
        </w:rPr>
        <w:t xml:space="preserve">, </w:t>
      </w:r>
      <w:r>
        <w:rPr>
          <w:rtl w:val="true"/>
        </w:rPr>
        <w:t>מבחירותיה</w:t>
      </w:r>
      <w:r>
        <w:rPr>
          <w:rtl w:val="true"/>
        </w:rPr>
        <w:t xml:space="preserve">, </w:t>
      </w:r>
      <w:r>
        <w:rPr>
          <w:rtl w:val="true"/>
        </w:rPr>
        <w:t xml:space="preserve">ומתחושת האשם </w:t>
      </w:r>
      <w:r>
        <w:rPr>
          <w:rtl w:val="true"/>
        </w:rPr>
        <w:t>–</w:t>
      </w:r>
      <w:r>
        <w:rPr>
          <w:rtl w:val="true"/>
        </w:rPr>
        <w:t xml:space="preserve"> ולכן הופנתה לאבחון ההתמכרות הנטענת</w:t>
      </w:r>
      <w:r>
        <w:rPr>
          <w:rtl w:val="true"/>
        </w:rPr>
        <w:t xml:space="preserve">.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ספק כאמור עשוי להתעורר גם כשגניבה מיוחסת להתמכרות אחרת</w:t>
      </w:r>
      <w:r>
        <w:rPr>
          <w:rtl w:val="true"/>
        </w:rPr>
        <w:t xml:space="preserve">, </w:t>
      </w:r>
      <w:r>
        <w:rPr>
          <w:rtl w:val="true"/>
        </w:rPr>
        <w:t xml:space="preserve">כמו הימורים או סמים </w:t>
      </w:r>
      <w:r>
        <w:rPr>
          <w:rtl w:val="true"/>
        </w:rPr>
        <w:t>–</w:t>
      </w:r>
      <w:r>
        <w:rPr>
          <w:rtl w:val="true"/>
        </w:rPr>
        <w:t xml:space="preserve"> ודי בכך כדי להפריך את טענת המערערת להפליה פסולה במובן זה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אף שנציגת שירות המבחן אישרה בפנינו כי העדר המלצה לעונש נבע מקוצר הזמן ולא מחוסר</w:t>
      </w:r>
      <w:r>
        <w:rPr>
          <w:rtl w:val="true"/>
        </w:rPr>
        <w:t>-</w:t>
      </w:r>
      <w:r>
        <w:rPr>
          <w:rtl w:val="true"/>
        </w:rPr>
        <w:t>אפשרות טיפולית או שיקומית</w:t>
      </w:r>
      <w:r>
        <w:rPr>
          <w:rtl w:val="true"/>
        </w:rPr>
        <w:t xml:space="preserve">, </w:t>
      </w:r>
      <w:r>
        <w:rPr>
          <w:rtl w:val="true"/>
        </w:rPr>
        <w:t>וכי ניכר שהמערערת זקוקה לטיפול ושהיא משתפת פעולה</w:t>
      </w:r>
      <w:r>
        <w:rPr>
          <w:rtl w:val="true"/>
        </w:rPr>
        <w:t xml:space="preserve">, </w:t>
      </w:r>
      <w:r>
        <w:rPr>
          <w:rtl w:val="true"/>
        </w:rPr>
        <w:t>הובהר גם שבהינתן העבירות שביצעה</w:t>
      </w:r>
      <w:r>
        <w:rPr>
          <w:rtl w:val="true"/>
        </w:rPr>
        <w:t xml:space="preserve">, </w:t>
      </w:r>
      <w:r>
        <w:rPr>
          <w:rtl w:val="true"/>
        </w:rPr>
        <w:t>דפוסי האישיות שלה וגילה</w:t>
      </w:r>
      <w:r>
        <w:rPr>
          <w:rtl w:val="true"/>
        </w:rPr>
        <w:t>, "</w:t>
      </w:r>
      <w:r>
        <w:rPr>
          <w:rtl w:val="true"/>
        </w:rPr>
        <w:t>מדובר בהליך שהוא ללא ספק ארוך</w:t>
      </w:r>
      <w:r>
        <w:rPr>
          <w:rtl w:val="true"/>
        </w:rPr>
        <w:t xml:space="preserve">". </w:t>
      </w:r>
      <w:r>
        <w:rPr>
          <w:rtl w:val="true"/>
        </w:rPr>
        <w:t>לאור זאת</w:t>
      </w:r>
      <w:r>
        <w:rPr>
          <w:rtl w:val="true"/>
        </w:rPr>
        <w:t xml:space="preserve">, </w:t>
      </w:r>
      <w:r>
        <w:rPr>
          <w:rtl w:val="true"/>
        </w:rPr>
        <w:t xml:space="preserve">קשה לקבל את טענת המערערת כי היא </w:t>
      </w:r>
      <w:r>
        <w:rPr>
          <w:rtl w:val="true"/>
        </w:rPr>
        <w:t>"</w:t>
      </w:r>
      <w:r>
        <w:rPr>
          <w:rtl w:val="true"/>
        </w:rPr>
        <w:t>מועמדת מושלמת</w:t>
      </w:r>
      <w:r>
        <w:rPr>
          <w:rtl w:val="true"/>
        </w:rPr>
        <w:t xml:space="preserve">" </w:t>
      </w:r>
      <w:r>
        <w:rPr>
          <w:rtl w:val="true"/>
        </w:rPr>
        <w:t>להליך שיקומי</w:t>
      </w:r>
      <w:r>
        <w:rPr>
          <w:rtl w:val="true"/>
        </w:rPr>
        <w:t xml:space="preserve">, </w:t>
      </w:r>
      <w:r>
        <w:rPr>
          <w:rtl w:val="true"/>
        </w:rPr>
        <w:t xml:space="preserve">על כל המשתמע מכך ביחס לסיכויי הצלחתו </w:t>
      </w:r>
      <w:r>
        <w:rPr>
          <w:rtl w:val="true"/>
        </w:rPr>
        <w:t>–</w:t>
      </w:r>
      <w:r>
        <w:rPr>
          <w:rtl w:val="true"/>
        </w:rPr>
        <w:t xml:space="preserve"> ולא בכדי</w:t>
      </w:r>
      <w:r>
        <w:rPr>
          <w:rtl w:val="true"/>
        </w:rPr>
        <w:t xml:space="preserve">, </w:t>
      </w:r>
      <w:r>
        <w:rPr>
          <w:rtl w:val="true"/>
        </w:rPr>
        <w:t>גם בששת החודשים שחלפו מאז הוגש התסקיר החלקי לא עלה בידי שירות המבחן לגבש המלצה לעונש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כאמור בתסקיר המשלים</w:t>
      </w:r>
      <w:r>
        <w:rPr>
          <w:rtl w:val="true"/>
        </w:rPr>
        <w:t xml:space="preserve">, </w:t>
      </w:r>
      <w:r>
        <w:rPr>
          <w:rtl w:val="true"/>
        </w:rPr>
        <w:t>בעוד שהמערערת הביעה חרטה ובושה על מעשיה</w:t>
      </w:r>
      <w:r>
        <w:rPr>
          <w:rtl w:val="true"/>
        </w:rPr>
        <w:t xml:space="preserve">, </w:t>
      </w:r>
      <w:r>
        <w:rPr>
          <w:rtl w:val="true"/>
        </w:rPr>
        <w:t>לא ניתן היה לקבל ממנה תשובות מעמיקות יותר ביחס לבחירותיה הבעייתיות והפליליות</w:t>
      </w:r>
      <w:r>
        <w:rPr>
          <w:rtl w:val="true"/>
        </w:rPr>
        <w:t xml:space="preserve">, </w:t>
      </w:r>
      <w:r>
        <w:rPr>
          <w:rtl w:val="true"/>
        </w:rPr>
        <w:t>ולפער בינן לבין התנהלותה התקינה והאחראית לאורך השנים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התרשמות שירות המבחן הייתה כי מבחינה רגשית</w:t>
      </w:r>
      <w:r>
        <w:rPr>
          <w:rtl w:val="true"/>
        </w:rPr>
        <w:t xml:space="preserve">, </w:t>
      </w:r>
      <w:r>
        <w:rPr>
          <w:rtl w:val="true"/>
        </w:rPr>
        <w:t>המערערת מרוכזת בפגיעה שחוותה בשל חשיפת מעשיה</w:t>
      </w:r>
      <w:r>
        <w:rPr>
          <w:rtl w:val="true"/>
        </w:rPr>
        <w:t xml:space="preserve">, </w:t>
      </w:r>
      <w:r>
        <w:rPr>
          <w:rtl w:val="true"/>
        </w:rPr>
        <w:t>וכי התעמתות עם מעשיה מאיימת על תפיסתה העצמית כאישה נורמטיבית וערכית</w:t>
      </w:r>
      <w:r>
        <w:rPr>
          <w:rtl w:val="true"/>
        </w:rPr>
        <w:t xml:space="preserve">. </w:t>
      </w:r>
      <w:r>
        <w:rPr>
          <w:rtl w:val="true"/>
        </w:rPr>
        <w:t>למקרא הדברים</w:t>
      </w:r>
      <w:r>
        <w:rPr>
          <w:rtl w:val="true"/>
        </w:rPr>
        <w:t xml:space="preserve">, </w:t>
      </w:r>
      <w:r>
        <w:rPr>
          <w:rtl w:val="true"/>
        </w:rPr>
        <w:t xml:space="preserve">קשה להתרשם כי כבר עתה המערערת הפנימה את חומרת מעשיה באופן שעשוי להוות נסיבה מקלה שאינה קשורה בביצוע עבירה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וכל זאת</w:t>
      </w:r>
      <w:r>
        <w:rPr>
          <w:rtl w:val="true"/>
        </w:rPr>
        <w:t xml:space="preserve">, </w:t>
      </w:r>
      <w:r>
        <w:rPr>
          <w:rtl w:val="true"/>
        </w:rPr>
        <w:t>מבלי להטיל ספק בכנות כוונותיה ליטול אחריות למעשיה ולנסות לחזור למוטב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אף בטענות המערערת בעניין חומרת העונש לא מצאתי ממש</w:t>
      </w:r>
      <w:r>
        <w:rPr>
          <w:rtl w:val="true"/>
        </w:rPr>
        <w:t xml:space="preserve">. </w:t>
      </w:r>
      <w:r>
        <w:rPr>
          <w:rtl w:val="true"/>
        </w:rPr>
        <w:t>בית המשפט המחוזי נתן משקל הולם לערכים החברתיים שנפגעו ולעוצמת הפגיעה בהם</w:t>
      </w:r>
      <w:r>
        <w:rPr>
          <w:rtl w:val="true"/>
        </w:rPr>
        <w:t xml:space="preserve">, </w:t>
      </w:r>
      <w:r>
        <w:rPr>
          <w:rtl w:val="true"/>
        </w:rPr>
        <w:t>ובמקביל זקף לזכותה של המערערת את כלל השיקולים המתאימים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 עסקינן בעבירות שמנעד הענישה בגינן רחב יחסית</w:t>
      </w:r>
      <w:r>
        <w:rPr>
          <w:rtl w:val="true"/>
        </w:rPr>
        <w:t xml:space="preserve">, </w:t>
      </w:r>
      <w:r>
        <w:rPr>
          <w:rtl w:val="true"/>
        </w:rPr>
        <w:t xml:space="preserve">כך שיש מקרים דומים בהם עונש המאסר בפועל שהושת היה קל יותר מעונשה של המערערת </w:t>
      </w:r>
      <w:r>
        <w:rPr>
          <w:rtl w:val="true"/>
        </w:rPr>
        <w:t>(</w:t>
      </w:r>
      <w:r>
        <w:rPr>
          <w:rtl w:val="true"/>
        </w:rPr>
        <w:t xml:space="preserve">כמו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ונטורה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אך באחרים העונש שהוטל היה קרוב ואף חמור יותר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4935/14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שמואל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22.7.2015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3196/07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מילר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25.7.2007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3587/12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דדון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20.3.2013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דדון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27761-09-15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10.11.2015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44413-01-17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גזית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11.1.2018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spacing w:before="0" w:after="42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במקרים דומים מסוימים עונש קרוב או חמור יותר הוטל גם בשל גניבת סכומים קטנים בהרבה מזה שגנבה המערערת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5313/18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7.8.2018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71136/01</w:t>
        </w:r>
      </w:hyperlink>
      <w:r>
        <w:rPr>
          <w:rtl w:val="true"/>
        </w:rPr>
        <w:t xml:space="preserve"> (</w:t>
      </w:r>
      <w:r>
        <w:rPr>
          <w:rtl w:val="true"/>
        </w:rPr>
        <w:t>מחוזי 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מואטי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1.1.2002</w:t>
      </w:r>
      <w:r>
        <w:rPr>
          <w:rtl w:val="true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26410-12-10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מיסון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19.7.2011</w:t>
      </w:r>
      <w:r>
        <w:rPr>
          <w:rtl w:val="true"/>
        </w:rPr>
        <w:t xml:space="preserve">),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מיסון</w:t>
      </w:r>
      <w:r>
        <w:rPr>
          <w:rtl w:val="true"/>
        </w:rPr>
        <w:t xml:space="preserve">). </w:t>
      </w:r>
      <w:r>
        <w:rPr>
          <w:rtl w:val="true"/>
        </w:rPr>
        <w:t>יתכן שיש בכך קושי מבחינת עקרון אחידות הענישה</w:t>
      </w:r>
      <w:r>
        <w:rPr>
          <w:rtl w:val="true"/>
        </w:rPr>
        <w:t xml:space="preserve">, </w:t>
      </w:r>
      <w:r>
        <w:rPr>
          <w:rtl w:val="true"/>
        </w:rPr>
        <w:t xml:space="preserve">אך עקרונות ההלימה והאינדיווידואליות שוללים כל ניסיון להפוך את גזירת הדין ליחס מתמטי בין סכום הגניבה למשך המאסר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מיסון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>).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קביעה משותפת לפסיקה היא כי בענישה על עבירות כלכליות יש לתת משקל רב לשיקול ההרתעתי ומשקל מופחת לנסיבות האישיות </w:t>
      </w:r>
      <w:r>
        <w:rPr>
          <w:rtl w:val="true"/>
        </w:rPr>
        <w:t>–</w:t>
      </w:r>
      <w:r>
        <w:rPr>
          <w:rtl w:val="true"/>
        </w:rPr>
        <w:t xml:space="preserve"> וזאת כדי ליידע עבריינים פוטנציאליים כי </w:t>
      </w:r>
      <w:r>
        <w:rPr>
          <w:rtl w:val="true"/>
        </w:rPr>
        <w:t>"</w:t>
      </w:r>
      <w:r>
        <w:rPr>
          <w:rtl w:val="true"/>
        </w:rPr>
        <w:t>הסיכון גובר על הסיכוי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בפרט לנוכח קלות ביצוע העבירות מחד והקושי בחשיפתן מאידך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דדון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). </w:t>
      </w:r>
      <w:r>
        <w:rPr>
          <w:rtl w:val="true"/>
        </w:rPr>
        <w:t>נראה כי קביעה זו מקבלת משנה תוקף בעניינה של המערערת לאור האמור בתסקיר המשלים</w:t>
      </w:r>
      <w:r>
        <w:rPr>
          <w:rtl w:val="true"/>
        </w:rPr>
        <w:t xml:space="preserve">, </w:t>
      </w:r>
      <w:r>
        <w:rPr>
          <w:rtl w:val="true"/>
        </w:rPr>
        <w:t>היינו כי המדובר באישה נבונה שהבינה את הפסול במעשיה וחששה להיתפס</w:t>
      </w:r>
      <w:r>
        <w:rPr>
          <w:rtl w:val="true"/>
        </w:rPr>
        <w:t xml:space="preserve">, </w:t>
      </w:r>
      <w:r>
        <w:rPr>
          <w:rtl w:val="true"/>
        </w:rPr>
        <w:t>ועם זאת נהנתה מפירותיהם במשך תקופה ארוכה</w:t>
      </w:r>
      <w:r>
        <w:rPr>
          <w:rtl w:val="true"/>
        </w:rPr>
        <w:t xml:space="preserve">, </w:t>
      </w:r>
      <w:r>
        <w:rPr>
          <w:rtl w:val="true"/>
        </w:rPr>
        <w:t xml:space="preserve">וכי אין לדעת אם הייתה חדלה מהם אלמלא </w:t>
      </w:r>
      <w:r>
        <w:rPr>
          <w:rtl w:val="true"/>
        </w:rPr>
        <w:t>"</w:t>
      </w:r>
      <w:r>
        <w:rPr>
          <w:rtl w:val="true"/>
        </w:rPr>
        <w:t>הכשל התכנוני</w:t>
      </w:r>
      <w:r>
        <w:rPr>
          <w:rtl w:val="true"/>
        </w:rPr>
        <w:t xml:space="preserve">" </w:t>
      </w:r>
      <w:r>
        <w:rPr>
          <w:rtl w:val="true"/>
        </w:rPr>
        <w:t>שלה</w:t>
      </w:r>
      <w:r>
        <w:rPr>
          <w:rtl w:val="true"/>
        </w:rPr>
        <w:t>-</w:t>
      </w:r>
      <w:r>
        <w:rPr>
          <w:rtl w:val="true"/>
        </w:rPr>
        <w:t>עצמה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לבסוף יוער</w:t>
      </w:r>
      <w:r>
        <w:rPr>
          <w:rtl w:val="true"/>
        </w:rPr>
        <w:t xml:space="preserve">, </w:t>
      </w:r>
      <w:r>
        <w:rPr>
          <w:rtl w:val="true"/>
        </w:rPr>
        <w:t>כי כאשר הוטל עונש מאסר קל יותר</w:t>
      </w:r>
      <w:r>
        <w:rPr>
          <w:rtl w:val="true"/>
        </w:rPr>
        <w:t xml:space="preserve">, </w:t>
      </w:r>
      <w:r>
        <w:rPr>
          <w:rtl w:val="true"/>
        </w:rPr>
        <w:t xml:space="preserve">הוטלו לרוב גם קנסות </w:t>
      </w:r>
      <w:r>
        <w:rPr>
          <w:rtl w:val="true"/>
        </w:rPr>
        <w:t>–</w:t>
      </w:r>
      <w:r>
        <w:rPr>
          <w:rtl w:val="true"/>
        </w:rPr>
        <w:t xml:space="preserve"> בנוסף לתשלום פיצויים </w:t>
      </w:r>
      <w:r>
        <w:rPr>
          <w:rtl w:val="true"/>
        </w:rPr>
        <w:t>–</w:t>
      </w:r>
      <w:r>
        <w:rPr>
          <w:rtl w:val="true"/>
        </w:rPr>
        <w:t xml:space="preserve"> דבר שבית המשפט המחוזי נמנע במפורש מלעשות בעניינה של המערערת</w:t>
      </w:r>
      <w:r>
        <w:rPr>
          <w:rtl w:val="true"/>
        </w:rPr>
        <w:t xml:space="preserve">, </w:t>
      </w:r>
      <w:r>
        <w:rPr>
          <w:rtl w:val="true"/>
        </w:rPr>
        <w:t>נוכח חומרת עונש המאסר וגובה הפיצויים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למרות תפקידו החשוב של רכיב הקנס בפן ההרתעתי דווקא בעבירות כלכליות</w:t>
      </w:r>
      <w:r>
        <w:rPr>
          <w:rtl w:val="true"/>
        </w:rPr>
        <w:t xml:space="preserve">, </w:t>
      </w:r>
      <w:r>
        <w:rPr>
          <w:rtl w:val="true"/>
        </w:rPr>
        <w:t xml:space="preserve">בנפרד מרכיבי המאסר והפיצויים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דדון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); </w:t>
      </w:r>
      <w:r>
        <w:rPr>
          <w:rtl w:val="true"/>
        </w:rPr>
        <w:t>חרף העובדה שהנזק הכספי שגרמה המערערת לא תוקן וספק אם יעלה בידה לתקנו בעתיד</w:t>
      </w:r>
      <w:r>
        <w:rPr>
          <w:rtl w:val="true"/>
        </w:rPr>
        <w:t xml:space="preserve">; </w:t>
      </w:r>
      <w:r>
        <w:rPr>
          <w:rtl w:val="true"/>
        </w:rPr>
        <w:t>ועל אף שנסיבות כלכליות כשלעצמן אינן רלוונטיות לגזירת העונש</w:t>
      </w:r>
      <w:r>
        <w:rPr>
          <w:rtl w:val="true"/>
        </w:rPr>
        <w:t xml:space="preserve">, </w:t>
      </w:r>
      <w:r>
        <w:rPr>
          <w:rtl w:val="true"/>
        </w:rPr>
        <w:t>בפרט כשהן תולדה של העבירות בגינן הוטל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לאור האמור לעיל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הערעור 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לחבריי שנעשה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420"/>
        <w:ind w:hanging="0" w:start="0" w:end="0"/>
        <w:jc w:val="both"/>
        <w:rPr/>
      </w:pP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אציע גם כי בנסיבות העניין נדחה את תחילת ריצוי עונש המאסר בפועל בזמן נוסף לצורך התארגנות ומיון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המערערת ת</w:t>
      </w:r>
      <w:r>
        <w:rPr>
          <w:rtl w:val="true"/>
        </w:rPr>
        <w:t>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עליה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2.5.2021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 xml:space="preserve">במתקן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</w:t>
      </w:r>
      <w:r>
        <w:rPr>
          <w:rtl w:val="true"/>
        </w:rPr>
        <w:t>ה</w:t>
      </w:r>
      <w:r>
        <w:rPr>
          <w:rtl w:val="true"/>
        </w:rPr>
        <w:t xml:space="preserve">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מערערת</w:t>
      </w:r>
      <w:r>
        <w:rPr>
          <w:rtl w:val="true"/>
        </w:rPr>
        <w:t xml:space="preserve"> לתאם את כניס</w:t>
      </w:r>
      <w:r>
        <w:rPr>
          <w:rtl w:val="true"/>
        </w:rPr>
        <w:t>ת</w:t>
      </w:r>
      <w:r>
        <w:rPr>
          <w:rtl w:val="true"/>
        </w:rPr>
        <w:t>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22.3.2021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20090530</w:t>
      </w:r>
      <w:r>
        <w:rPr>
          <w:sz w:val="16"/>
          <w:rtl w:val="true"/>
        </w:rPr>
        <w:t>_</w:t>
      </w:r>
      <w:r>
        <w:rPr>
          <w:sz w:val="16"/>
        </w:rPr>
        <w:t>J05.docx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54678313-9053/20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9053/20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ריקי כהן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68670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391" TargetMode="External"/><Relationship Id="rId6" Type="http://schemas.openxmlformats.org/officeDocument/2006/relationships/hyperlink" Target="http://www.nevo.co.il/law/70301/40ja.4" TargetMode="External"/><Relationship Id="rId7" Type="http://schemas.openxmlformats.org/officeDocument/2006/relationships/hyperlink" Target="http://www.nevo.co.il/law/70301/423" TargetMode="External"/><Relationship Id="rId8" Type="http://schemas.openxmlformats.org/officeDocument/2006/relationships/hyperlink" Target="http://www.nevo.co.il/law/84255" TargetMode="External"/><Relationship Id="rId9" Type="http://schemas.openxmlformats.org/officeDocument/2006/relationships/hyperlink" Target="http://www.nevo.co.il/law/84255/220.5" TargetMode="External"/><Relationship Id="rId10" Type="http://schemas.openxmlformats.org/officeDocument/2006/relationships/hyperlink" Target="http://www.nevo.co.il/law/70301/40d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ja.4" TargetMode="External"/><Relationship Id="rId13" Type="http://schemas.openxmlformats.org/officeDocument/2006/relationships/hyperlink" Target="http://www.nevo.co.il/case/25686703" TargetMode="External"/><Relationship Id="rId14" Type="http://schemas.openxmlformats.org/officeDocument/2006/relationships/hyperlink" Target="http://www.nevo.co.il/law/70301/391" TargetMode="External"/><Relationship Id="rId15" Type="http://schemas.openxmlformats.org/officeDocument/2006/relationships/hyperlink" Target="http://www.nevo.co.il/law/70301/423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84255/220.5" TargetMode="External"/><Relationship Id="rId18" Type="http://schemas.openxmlformats.org/officeDocument/2006/relationships/hyperlink" Target="http://www.nevo.co.il/law/84255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0440863" TargetMode="External"/><Relationship Id="rId21" Type="http://schemas.openxmlformats.org/officeDocument/2006/relationships/hyperlink" Target="http://www.nevo.co.il/case/25298122" TargetMode="External"/><Relationship Id="rId22" Type="http://schemas.openxmlformats.org/officeDocument/2006/relationships/hyperlink" Target="http://www.nevo.co.il/case/25386195" TargetMode="External"/><Relationship Id="rId23" Type="http://schemas.openxmlformats.org/officeDocument/2006/relationships/hyperlink" Target="http://www.nevo.co.il/case/5841752" TargetMode="External"/><Relationship Id="rId24" Type="http://schemas.openxmlformats.org/officeDocument/2006/relationships/hyperlink" Target="http://www.nevo.co.il/law/70301/40d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2938500" TargetMode="External"/><Relationship Id="rId27" Type="http://schemas.openxmlformats.org/officeDocument/2006/relationships/hyperlink" Target="http://www.nevo.co.il/law/70301/40ja.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17045964" TargetMode="External"/><Relationship Id="rId30" Type="http://schemas.openxmlformats.org/officeDocument/2006/relationships/hyperlink" Target="http://www.nevo.co.il/case/5881135" TargetMode="External"/><Relationship Id="rId31" Type="http://schemas.openxmlformats.org/officeDocument/2006/relationships/hyperlink" Target="http://www.nevo.co.il/case/6245056" TargetMode="External"/><Relationship Id="rId32" Type="http://schemas.openxmlformats.org/officeDocument/2006/relationships/hyperlink" Target="http://www.nevo.co.il/case/20575264" TargetMode="External"/><Relationship Id="rId33" Type="http://schemas.openxmlformats.org/officeDocument/2006/relationships/hyperlink" Target="http://www.nevo.co.il/case/22183121" TargetMode="External"/><Relationship Id="rId34" Type="http://schemas.openxmlformats.org/officeDocument/2006/relationships/hyperlink" Target="http://www.nevo.co.il/case/24492993" TargetMode="External"/><Relationship Id="rId35" Type="http://schemas.openxmlformats.org/officeDocument/2006/relationships/hyperlink" Target="http://www.nevo.co.il/case/221619" TargetMode="External"/><Relationship Id="rId36" Type="http://schemas.openxmlformats.org/officeDocument/2006/relationships/hyperlink" Target="http://www.nevo.co.il/case/5329999" TargetMode="External"/><Relationship Id="rId37" Type="http://schemas.openxmlformats.org/officeDocument/2006/relationships/hyperlink" Target="http://supreme.court.gov.il/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2021-03-24T07:26:00Z</dcterms:created>
  <dc:creator>h4</dc:creator>
  <dc:description/>
  <cp:keywords/>
  <dc:language>en-IL</dc:language>
  <cp:lastModifiedBy>orly</cp:lastModifiedBy>
  <cp:lastPrinted>2021-03-22T08:52:00Z</cp:lastPrinted>
  <dcterms:modified xsi:type="dcterms:W3CDTF">2021-03-24T07:26:00Z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ריקי כהן</vt:lpwstr>
  </property>
  <property fmtid="{D5CDD505-2E9C-101B-9397-08002B2CF9AE}" pid="3" name="APPELLEE">
    <vt:lpwstr>מדינת ישראל</vt:lpwstr>
  </property>
  <property fmtid="{D5CDD505-2E9C-101B-9397-08002B2CF9AE}" pid="4" name="CASESLISTTMP1">
    <vt:lpwstr>25686703:2;20440863;25298122;25386195;5841752;22938500;17045964;5881135;6245056;20575264;22183121;24492993;221619;5329999</vt:lpwstr>
  </property>
  <property fmtid="{D5CDD505-2E9C-101B-9397-08002B2CF9AE}" pid="5" name="DATE">
    <vt:lpwstr>20210322</vt:lpwstr>
  </property>
  <property fmtid="{D5CDD505-2E9C-101B-9397-08002B2CF9AE}" pid="6" name="ISABSTRACT">
    <vt:lpwstr>Y</vt:lpwstr>
  </property>
  <property fmtid="{D5CDD505-2E9C-101B-9397-08002B2CF9AE}" pid="7" name="JUDGE">
    <vt:lpwstr>נ' סולברג;י' אלרון;י' וילנר</vt:lpwstr>
  </property>
  <property fmtid="{D5CDD505-2E9C-101B-9397-08002B2CF9AE}" pid="8" name="LAWLISTTMP1">
    <vt:lpwstr>70301/391;423;040d;40ja.4</vt:lpwstr>
  </property>
  <property fmtid="{D5CDD505-2E9C-101B-9397-08002B2CF9AE}" pid="9" name="LAWLISTTMP2">
    <vt:lpwstr>84255/220.5</vt:lpwstr>
  </property>
  <property fmtid="{D5CDD505-2E9C-101B-9397-08002B2CF9AE}" pid="10" name="LAWYER">
    <vt:lpwstr>שרית חתוקה;לירן זילברמן;שירות המבחן למבוגרים גב' ברכה וייס</vt:lpwstr>
  </property>
  <property fmtid="{D5CDD505-2E9C-101B-9397-08002B2CF9AE}" pid="11" name="METAKZER">
    <vt:lpwstr>קרן</vt:lpwstr>
  </property>
  <property fmtid="{D5CDD505-2E9C-101B-9397-08002B2CF9AE}" pid="12" name="NOSE11">
    <vt:lpwstr>עונשין</vt:lpwstr>
  </property>
  <property fmtid="{D5CDD505-2E9C-101B-9397-08002B2CF9AE}" pid="13" name="NOSE110">
    <vt:lpwstr/>
  </property>
  <property fmtid="{D5CDD505-2E9C-101B-9397-08002B2CF9AE}" pid="14" name="NOSE12">
    <vt:lpwstr>עונשין</vt:lpwstr>
  </property>
  <property fmtid="{D5CDD505-2E9C-101B-9397-08002B2CF9AE}" pid="15" name="NOSE13">
    <vt:lpwstr>עונשין</vt:lpwstr>
  </property>
  <property fmtid="{D5CDD505-2E9C-101B-9397-08002B2CF9AE}" pid="16" name="NOSE14">
    <vt:lpwstr>דיון פלילי</vt:lpwstr>
  </property>
  <property fmtid="{D5CDD505-2E9C-101B-9397-08002B2CF9AE}" pid="17" name="NOSE15">
    <vt:lpwstr/>
  </property>
  <property fmtid="{D5CDD505-2E9C-101B-9397-08002B2CF9AE}" pid="18" name="NOSE16">
    <vt:lpwstr/>
  </property>
  <property fmtid="{D5CDD505-2E9C-101B-9397-08002B2CF9AE}" pid="19" name="NOSE17">
    <vt:lpwstr/>
  </property>
  <property fmtid="{D5CDD505-2E9C-101B-9397-08002B2CF9AE}" pid="20" name="NOSE18">
    <vt:lpwstr/>
  </property>
  <property fmtid="{D5CDD505-2E9C-101B-9397-08002B2CF9AE}" pid="21" name="NOSE19">
    <vt:lpwstr/>
  </property>
  <property fmtid="{D5CDD505-2E9C-101B-9397-08002B2CF9AE}" pid="22" name="NOSE1ID">
    <vt:lpwstr>77;77;77;18</vt:lpwstr>
  </property>
  <property fmtid="{D5CDD505-2E9C-101B-9397-08002B2CF9AE}" pid="23" name="NOSE21">
    <vt:lpwstr>ענישה</vt:lpwstr>
  </property>
  <property fmtid="{D5CDD505-2E9C-101B-9397-08002B2CF9AE}" pid="24" name="NOSE210">
    <vt:lpwstr/>
  </property>
  <property fmtid="{D5CDD505-2E9C-101B-9397-08002B2CF9AE}" pid="25" name="NOSE22">
    <vt:lpwstr>ענישה</vt:lpwstr>
  </property>
  <property fmtid="{D5CDD505-2E9C-101B-9397-08002B2CF9AE}" pid="26" name="NOSE23">
    <vt:lpwstr>ענישה</vt:lpwstr>
  </property>
  <property fmtid="{D5CDD505-2E9C-101B-9397-08002B2CF9AE}" pid="27" name="NOSE24">
    <vt:lpwstr>ערעור</vt:lpwstr>
  </property>
  <property fmtid="{D5CDD505-2E9C-101B-9397-08002B2CF9AE}" pid="28" name="NOSE25">
    <vt:lpwstr/>
  </property>
  <property fmtid="{D5CDD505-2E9C-101B-9397-08002B2CF9AE}" pid="29" name="NOSE26">
    <vt:lpwstr/>
  </property>
  <property fmtid="{D5CDD505-2E9C-101B-9397-08002B2CF9AE}" pid="30" name="NOSE27">
    <vt:lpwstr/>
  </property>
  <property fmtid="{D5CDD505-2E9C-101B-9397-08002B2CF9AE}" pid="31" name="NOSE28">
    <vt:lpwstr/>
  </property>
  <property fmtid="{D5CDD505-2E9C-101B-9397-08002B2CF9AE}" pid="32" name="NOSE29">
    <vt:lpwstr/>
  </property>
  <property fmtid="{D5CDD505-2E9C-101B-9397-08002B2CF9AE}" pid="33" name="NOSE2ID">
    <vt:lpwstr>1446;1446;1446;504</vt:lpwstr>
  </property>
  <property fmtid="{D5CDD505-2E9C-101B-9397-08002B2CF9AE}" pid="34" name="NOSE31">
    <vt:lpwstr>תסקיר שירות מבחן</vt:lpwstr>
  </property>
  <property fmtid="{D5CDD505-2E9C-101B-9397-08002B2CF9AE}" pid="35" name="NOSE310">
    <vt:lpwstr/>
  </property>
  <property fmtid="{D5CDD505-2E9C-101B-9397-08002B2CF9AE}" pid="36" name="NOSE32">
    <vt:lpwstr>מדיניות ענישה: עבירות כלכליות</vt:lpwstr>
  </property>
  <property fmtid="{D5CDD505-2E9C-101B-9397-08002B2CF9AE}" pid="37" name="NOSE33">
    <vt:lpwstr>מדיניות ענישה: עבירות מרמה</vt:lpwstr>
  </property>
  <property fmtid="{D5CDD505-2E9C-101B-9397-08002B2CF9AE}" pid="38" name="NOSE34">
    <vt:lpwstr>בית-משפט שלערעור</vt:lpwstr>
  </property>
  <property fmtid="{D5CDD505-2E9C-101B-9397-08002B2CF9AE}" pid="39" name="NOSE35">
    <vt:lpwstr/>
  </property>
  <property fmtid="{D5CDD505-2E9C-101B-9397-08002B2CF9AE}" pid="40" name="NOSE36">
    <vt:lpwstr/>
  </property>
  <property fmtid="{D5CDD505-2E9C-101B-9397-08002B2CF9AE}" pid="41" name="NOSE37">
    <vt:lpwstr/>
  </property>
  <property fmtid="{D5CDD505-2E9C-101B-9397-08002B2CF9AE}" pid="42" name="NOSE38">
    <vt:lpwstr/>
  </property>
  <property fmtid="{D5CDD505-2E9C-101B-9397-08002B2CF9AE}" pid="43" name="NOSE39">
    <vt:lpwstr/>
  </property>
  <property fmtid="{D5CDD505-2E9C-101B-9397-08002B2CF9AE}" pid="44" name="NOSE3ID">
    <vt:lpwstr>13182;8987;15166;3850</vt:lpwstr>
  </property>
  <property fmtid="{D5CDD505-2E9C-101B-9397-08002B2CF9AE}" pid="45" name="PADIDATE">
    <vt:lpwstr>20210324</vt:lpwstr>
  </property>
  <property fmtid="{D5CDD505-2E9C-101B-9397-08002B2CF9AE}" pid="46" name="PADIMAIL">
    <vt:lpwstr>YES</vt:lpwstr>
  </property>
  <property fmtid="{D5CDD505-2E9C-101B-9397-08002B2CF9AE}" pid="47" name="PROCESS">
    <vt:lpwstr>עפ</vt:lpwstr>
  </property>
  <property fmtid="{D5CDD505-2E9C-101B-9397-08002B2CF9AE}" pid="48" name="PROCNUM">
    <vt:lpwstr>9053</vt:lpwstr>
  </property>
  <property fmtid="{D5CDD505-2E9C-101B-9397-08002B2CF9AE}" pid="49" name="PROCYEAR">
    <vt:lpwstr>20</vt:lpwstr>
  </property>
  <property fmtid="{D5CDD505-2E9C-101B-9397-08002B2CF9AE}" pid="50" name="PSAKDIN">
    <vt:lpwstr>פסק-דין</vt:lpwstr>
  </property>
  <property fmtid="{D5CDD505-2E9C-101B-9397-08002B2CF9AE}" pid="51" name="TYPE">
    <vt:lpwstr>1</vt:lpwstr>
  </property>
  <property fmtid="{D5CDD505-2E9C-101B-9397-08002B2CF9AE}" pid="52" name="TYPE_ABS_DATE">
    <vt:lpwstr>410120210322</vt:lpwstr>
  </property>
  <property fmtid="{D5CDD505-2E9C-101B-9397-08002B2CF9AE}" pid="53" name="TYPE_N_DATE">
    <vt:lpwstr>41020210322</vt:lpwstr>
  </property>
  <property fmtid="{D5CDD505-2E9C-101B-9397-08002B2CF9AE}" pid="54" name="WORDNUMPAGES">
    <vt:lpwstr>12</vt:lpwstr>
  </property>
</Properties>
</file>