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9100/20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;Arial" w:hAnsi="David;Arial" w:cs="David;Arial"/>
              </w:rPr>
            </w:pPr>
            <w:bookmarkStart w:id="3" w:name="FirstAppellant"/>
            <w:bookmarkEnd w:id="3"/>
            <w:r>
              <w:rPr>
                <w:rFonts w:ascii="David;Arial" w:hAnsi="David;Arial"/>
                <w:rtl w:val="true"/>
              </w:rPr>
              <w:t>המערער</w:t>
            </w:r>
            <w:r>
              <w:rPr>
                <w:rFonts w:cs="David;Arial" w:ascii="David;Arial" w:hAnsi="David;Arial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239"/>
      </w:tblGrid>
      <w:tr>
        <w:trPr>
          <w:trHeight w:val="287" w:hRule="atLeast"/>
        </w:trPr>
        <w:tc>
          <w:tcPr>
            <w:tcW w:w="3261" w:type="dxa"/>
            <w:tcBorders/>
          </w:tcPr>
          <w:p>
            <w:pPr>
              <w:pStyle w:val="BodyRuller1"/>
              <w:ind w:end="0"/>
              <w:jc w:val="start"/>
              <w:rPr>
                <w:rFonts w:ascii="David;Arial" w:hAnsi="David;Arial" w:cs="David;Arial"/>
              </w:rPr>
            </w:pPr>
            <w:r>
              <w:rPr>
                <w:rFonts w:ascii="David;Arial" w:hAnsi="David;Arial"/>
                <w:rtl w:val="true"/>
              </w:rPr>
              <w:t>המשיבה</w:t>
            </w:r>
            <w:r>
              <w:rPr>
                <w:rFonts w:cs="David;Arial" w:ascii="David;Arial" w:hAnsi="David;Arial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</w:t>
            </w:r>
            <w:r>
              <w:rPr>
                <w:rFonts w:cs="Century" w:ascii="Century" w:hAnsi="Century"/>
                <w:szCs w:val="24"/>
              </w:rPr>
              <w:t>.11.2020</w:t>
            </w:r>
            <w:r>
              <w:rPr>
                <w:rFonts w:cs="Century" w:ascii="Century" w:hAnsi="Century"/>
                <w:szCs w:val="24"/>
                <w:rtl w:val="true"/>
              </w:rPr>
              <w:t xml:space="preserve"> (</w:t>
            </w:r>
            <w:r>
              <w:rPr>
                <w:rFonts w:ascii="Century" w:hAnsi="Century" w:cs="Century"/>
                <w:szCs w:val="24"/>
                <w:rtl w:val="true"/>
              </w:rPr>
              <w:t>כב</w:t>
            </w:r>
            <w:r>
              <w:rPr>
                <w:rFonts w:cs="Century" w:ascii="Century" w:hAnsi="Century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szCs w:val="24"/>
                <w:rtl w:val="true"/>
              </w:rPr>
              <w:t>השופטים ר</w:t>
            </w:r>
            <w:r>
              <w:rPr>
                <w:rFonts w:cs="Century" w:ascii="Century" w:hAnsi="Century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szCs w:val="24"/>
                <w:rtl w:val="true"/>
              </w:rPr>
              <w:t>בן</w:t>
            </w:r>
            <w:r>
              <w:rPr>
                <w:rFonts w:cs="Century" w:ascii="Century" w:hAnsi="Century"/>
                <w:szCs w:val="24"/>
                <w:rtl w:val="true"/>
              </w:rPr>
              <w:t>-</w:t>
            </w:r>
            <w:r>
              <w:rPr>
                <w:rFonts w:ascii="Century" w:hAnsi="Century" w:cs="Century"/>
                <w:szCs w:val="24"/>
                <w:rtl w:val="true"/>
              </w:rPr>
              <w:t>יוסף</w:t>
            </w:r>
            <w:r>
              <w:rPr>
                <w:rFonts w:cs="Century" w:ascii="Century" w:hAnsi="Century"/>
                <w:szCs w:val="24"/>
                <w:rtl w:val="true"/>
              </w:rPr>
              <w:t xml:space="preserve">, </w:t>
            </w:r>
            <w:r>
              <w:rPr>
                <w:rFonts w:ascii="Century" w:hAnsi="Century" w:cs="Century"/>
                <w:szCs w:val="24"/>
                <w:rtl w:val="true"/>
              </w:rPr>
              <w:t>א</w:t>
            </w:r>
            <w:r>
              <w:rPr>
                <w:rFonts w:cs="Century" w:ascii="Century" w:hAnsi="Century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szCs w:val="24"/>
                <w:rtl w:val="true"/>
              </w:rPr>
              <w:t>קלמן ברום</w:t>
            </w:r>
            <w:r>
              <w:rPr>
                <w:rFonts w:cs="Century" w:ascii="Century" w:hAnsi="Century"/>
                <w:szCs w:val="24"/>
                <w:rtl w:val="true"/>
              </w:rPr>
              <w:t xml:space="preserve">, </w:t>
            </w:r>
            <w:r>
              <w:rPr>
                <w:rFonts w:ascii="Century" w:hAnsi="Century" w:cs="Century"/>
                <w:szCs w:val="24"/>
                <w:rtl w:val="true"/>
              </w:rPr>
              <w:t>ש</w:t>
            </w:r>
            <w:r>
              <w:rPr>
                <w:rFonts w:cs="Century" w:ascii="Century" w:hAnsi="Century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szCs w:val="24"/>
                <w:rtl w:val="true"/>
              </w:rPr>
              <w:t>זמיר</w:t>
            </w:r>
            <w:r>
              <w:rPr>
                <w:rFonts w:cs="Century" w:ascii="Century" w:hAnsi="Century"/>
                <w:szCs w:val="24"/>
                <w:rtl w:val="true"/>
              </w:rPr>
              <w:t xml:space="preserve">), </w:t>
            </w:r>
            <w:r>
              <w:rPr>
                <w:rFonts w:ascii="Century" w:hAnsi="Century" w:cs="Century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Century"/>
                  <w:color w:val="0000FF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Century" w:ascii="Century" w:hAnsi="Century"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Century"/>
                  <w:color w:val="0000FF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ascii="Century" w:hAnsi="Century" w:cs="Century"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Century" w:ascii="Century" w:hAnsi="Century"/>
                  <w:color w:val="0000FF"/>
                  <w:szCs w:val="24"/>
                  <w:u w:val="single"/>
                </w:rPr>
                <w:t>18725-06-19</w:t>
              </w:r>
            </w:hyperlink>
            <w:r>
              <w:rPr>
                <w:sz w:val="24"/>
                <w:szCs w:val="24"/>
                <w:rtl w:val="true"/>
              </w:rPr>
              <w:t>.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ו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בכסלו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10.11.2021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אורשלם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tl w:val="true"/>
        </w:rPr>
        <w:tab/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380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הכרעת דין במסגרתה הורשע המערער בדעת רוב בארבע עבירות תקיפה הגורמת חבלה ממשית אותן ביצע כלפי אשתו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שלא מתקיימים החריגים לכלל אי ההתערבות של ערכאת הערעור בממצאי עובדה ומהימנות שקבעה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טענות מקדמיות – אכיפה בררנית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ערעור – אי התערבות בממצאים עובדתיים</w:t>
      </w:r>
    </w:p>
    <w:p>
      <w:pPr>
        <w:pStyle w:val="Ruller4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 על הכרעת דין במסגרתה הורשע המערער בדעת רוב בארבע עבירות תקיפה הגורמת חבלה ממשית אותן ביצע כלפי אשתו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 נגזר עונש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ופיצוי למתלוננת בסך </w:t>
      </w:r>
      <w:r>
        <w:rPr>
          <w:rFonts w:cs="Times New Roman" w:ascii="Times New Roman" w:hAnsi="Times New Roman"/>
          <w:spacing w:val="0"/>
          <w:sz w:val="24"/>
          <w:szCs w:val="26"/>
        </w:rPr>
        <w:t>10,000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בהכרעת הדין המערער זוכה מעבירות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מעבירות איומים ומחלק מעבירות התקיפה בהן הואשם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המשנה לנשיאה הנדל ובהסכמת השופטים קרא ומינץ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הוא כי אין זו דרכה של ערכאת ערעור להתערב בממצאים של עובדה ומהימנות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רק הערכאה הדיונית מתרשמת באופן ישיר ובלתי אמצעי מהעדים ומחומר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אי ההתערבות יפה גם לעבירות אלימות במשפחה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המתבצעות לעיתים קרובות ללא עדים נוספים מלבד מבצע העבירה והקורבן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ההתרשמות הבלתי אמצעית מאותות האמת הנגלים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בעת מתן העדות יוצרת יתרון מובנה לערכאה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בחינה זהירה של התשתית הראייתית אשר ביססה את הרשעת המערער בדעת רוב מעלה כי לא מתקיימים החריגים לכלל אי ההתערבות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 הרוב מבוססת הן על התרשמות ממהימנות העדים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בראשם המתלוננת והמערער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והן על חיזוקים שנמצאו לגרסת המתלוננת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תצלומים המתעדים את החבלות על גופה והודאת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שאישר במשטרה כי התמונות שהוצגו בפניו מתעדות חבלות על גופה וכי הוא זה שגרם להן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ניסה להפחית מחומרת האלימות בטענה כי אך הדף את המתלוננת כתגובה לתקיפות מצידה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סביר שהדיפה קלה תותיר סימני המטומה ברורים בנקודות ספציפיות בגוף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עילה להתערב בקביעת דעת הרוב לפיה החבלות שתועדו על גוף המתלוננת מתיישבות יותר עם גרסתה מאשר עם גרסתו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נתן דעתו למחדלי חקירה עליהם הצביע המערער והוא אף זוכה מחלק מהאישומים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נקבע כי נגרמה פגיעה פוטנציאלית בהגנתו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התשתית הראייתית בגינה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המחדלים עליהם הצביע לא מביאים לזיכויו מעבירות האלימות בהן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אין להם זיקה אליהן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להתערב בקביעת דעת הרוב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לא הוכח כי ההבחנה בין המערער למתלוננת במועד ההחלטה להגיש כתב אישום רק נגד המערער מהווה אכיפה בררנית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התשתית הראייתית שהונחה לפני התביעה הצדיקה הגשת כתב אישום נגד המערער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נגדו עמדו תלונות על אלימות מתמשכת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 הרוב נקטה זהירות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סיפור המעשה נבחן על כל חלקיו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זוכה המערער מעבירות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איומים ותקיפה והורשע בארבע עבירות 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שרק הן הוכחו מעבר לכל ספק 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 הרוב הסתמכה על התרשמותה החיובית מהמתלוננת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הגרסאות השונות שמסר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שפגעו באמינותו ועל ראיות מחזקות מכוח החומר והמסמכים שהוגשו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 המיעוט התרשמה באופן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נימוק משפטי שמצדיק התערבות בדעת הרוב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המנומקת היטב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 הדין נותרה על כנה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18725-06-19</w:t>
        </w:r>
      </w:hyperlink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זמיר</w:t>
      </w:r>
      <w:r>
        <w:rPr>
          <w:rtl w:val="true"/>
        </w:rPr>
        <w:t xml:space="preserve">),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>) (</w:t>
      </w:r>
      <w:hyperlink r:id="rId7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"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הסטירה</w:t>
      </w:r>
      <w:r>
        <w:rPr>
          <w:rtl w:val="true"/>
        </w:rPr>
        <w:t xml:space="preserve">),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האצבע</w:t>
      </w:r>
      <w:r>
        <w:rPr>
          <w:rtl w:val="true"/>
        </w:rPr>
        <w:t xml:space="preserve">),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להמטומה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ברגל</w:t>
      </w:r>
      <w:r>
        <w:rPr>
          <w:rtl w:val="true"/>
        </w:rPr>
        <w:t xml:space="preserve">) </w:t>
      </w:r>
      <w:r>
        <w:rPr>
          <w:rtl w:val="true"/>
        </w:rPr>
        <w:t>ודחף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הדחיפה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באוקראינה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ונישאו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מאוקראינה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הפעוטות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שרטון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ויחסיהם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לעכורים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לגירושה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מישראל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יש לזכות 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מחמת הספק מכלל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בכללן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רעהו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הדדי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המתעדות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בנימוק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זמיר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פגמים</w:t>
      </w:r>
      <w:r>
        <w:rPr>
          <w:rtl w:val="true"/>
        </w:rPr>
        <w:t xml:space="preserve">,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ומהימנה</w:t>
      </w:r>
      <w:r>
        <w:rPr>
          <w:rtl w:val="true"/>
        </w:rPr>
        <w:t xml:space="preserve">.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מתחמקת</w:t>
      </w:r>
      <w:r>
        <w:rPr>
          <w:rtl w:val="true"/>
        </w:rPr>
        <w:t xml:space="preserve">, </w:t>
      </w:r>
      <w:r>
        <w:rPr>
          <w:rtl w:val="true"/>
        </w:rPr>
        <w:t>מתפתחת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tl w:val="true"/>
        </w:rPr>
        <w:t xml:space="preserve">.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מוגזמת</w:t>
      </w:r>
      <w:r>
        <w:rPr>
          <w:rtl w:val="true"/>
        </w:rPr>
        <w:t xml:space="preserve">"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הפעוטות</w:t>
      </w:r>
      <w:r>
        <w:rPr>
          <w:rtl w:val="true"/>
        </w:rPr>
        <w:t xml:space="preserve">, </w:t>
      </w:r>
      <w:r>
        <w:rPr>
          <w:rtl w:val="true"/>
        </w:rPr>
        <w:t>נאלצה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כמוצא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העוקץ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הנתמכים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ובהודאתו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קלמן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התצלומים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ששופטות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הסטירה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האצבע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הדחיפה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סומך ידיו על דעת המיעוט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זיכתה אותו מחמת הספק מכלל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מדובר בעלילת שווא שהמניע מאחוריה הוא בקשתו להתיר את נישואיו למתלוננת וחששה כי תגורש מישראל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גרסתה שקרית ורבת סתירות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קיימות ראיות נוספות מלבדה לתמיכה בתלונתה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אין וודאות באשר לנסיבות בהן צולמו התמונות אותן הציגה המתלוננת ובאשר לזהות האדם המצולם בהן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לא יכול היה להודות בהכאת המתלוננת בעת הצגת התמונות בפניו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גם תולה את יהבו בטענות הגנה מן הצדק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לגישתו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התקיימו מחדלי חקירה קשים אשר פגעו בהגנתו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בקשתו והעובדה כי מסר את הטלפון הנייד שלו לידי היחידה החוקרת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הוצאו ממנו ומהטלפון הנייד של המתלוננת תכנים שמחקה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שלדבריו היה בהם כדי להוכיח את חפותו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הודתה בביצוע עבירות אלימות כלפיו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לא הועמדה לדין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התקיימה אכיפה בררנית בעניינו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גורסת המשיבה כי מדובר בערעור על ממצאי מהימנות ועובדה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שאין מקום להתערב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 נמצאו חיזוקים 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מעלה תמונה קשה של פגיעה פיזית מתמשכת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שהסתיימה בסילוקה בחוסר כל מהבית יחד עם בנותיהם הפעוטות של בני הזוג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לטעמה של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בטענת האכיפה הבררנית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לא התקיימה בין המערער לבין המתלוננת מערכת הדדית של פגיעות פיזיות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המצדיקה את העמדתה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בנוגע למחדלי החקירה שנקבע כי התקיימו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בגינם המערער אף זוכה מעבירות המין ומעבירות האיומים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המשיבה מציינת כי בכל הנוגע לעבירות התקיפה בהן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הללו לא פגעו בהגנתו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אלגרגאוי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Fonts w:cs="David;Arial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Arial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Arial"/>
          <w:spacing w:val="0"/>
          <w:szCs w:val="24"/>
          <w:rtl w:val="true"/>
        </w:rPr>
        <w:t>בנבו</w:t>
      </w:r>
      <w:r>
        <w:rPr>
          <w:rFonts w:cs="David;Arial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10.10.2021</w:t>
      </w:r>
      <w:r>
        <w:rPr>
          <w:rtl w:val="true"/>
        </w:rPr>
        <w:t xml:space="preserve">)).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המתבצעות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והקורבן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Fonts w:cs="David;Arial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Arial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Arial"/>
          <w:spacing w:val="0"/>
          <w:szCs w:val="24"/>
          <w:rtl w:val="true"/>
        </w:rPr>
        <w:t>בנבו</w:t>
      </w:r>
      <w:r>
        <w:rPr>
          <w:rFonts w:cs="David;Arial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1.9.2009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Fonts w:cs="David;Arial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Arial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Arial"/>
          <w:spacing w:val="0"/>
          <w:szCs w:val="24"/>
          <w:rtl w:val="true"/>
        </w:rPr>
        <w:t>בנבו</w:t>
      </w:r>
      <w:r>
        <w:rPr>
          <w:rFonts w:cs="David;Arial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8.9.2011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בראשם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הסטירה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האצבע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החליקה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ברגל</w:t>
      </w:r>
      <w:r>
        <w:rPr>
          <w:rtl w:val="true"/>
        </w:rPr>
        <w:t xml:space="preserve">. </w:t>
      </w:r>
      <w:r>
        <w:rPr>
          <w:rtl w:val="true"/>
        </w:rPr>
        <w:t>למראה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מאגרוף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מדחיפה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מדחיפת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ספציפיות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sz w:val="20"/>
        </w:rPr>
        <w:t>6</w:t>
      </w:r>
      <w:r>
        <w:rPr>
          <w:rFonts w:cs="Century" w:ascii="Century" w:hAnsi="Century"/>
          <w:sz w:val="20"/>
          <w:rtl w:val="true"/>
        </w:rPr>
        <w:t>.</w:t>
      </w:r>
      <w:r>
        <w:rPr>
          <w:rFonts w:cs="Century" w:ascii="Century" w:hAnsi="Century"/>
          <w:sz w:val="20"/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הגנתו</w:t>
      </w:r>
      <w:r>
        <w:rPr>
          <w:rtl w:val="true"/>
        </w:rPr>
        <w:t xml:space="preserve">. 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המחדלים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</w:rPr>
        <w:t>7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בררנית</w:t>
      </w:r>
      <w:r>
        <w:rPr>
          <w:rtl w:val="true"/>
        </w:rPr>
        <w:t xml:space="preserve">.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הדינמיקה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הדדית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החיכוכים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כשבסוף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.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המנומקת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20.2.2022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20091000</w:t>
      </w:r>
      <w:r>
        <w:rPr>
          <w:sz w:val="16"/>
          <w:rtl w:val="true"/>
        </w:rPr>
        <w:t>_</w:t>
      </w:r>
      <w:r>
        <w:rPr>
          <w:sz w:val="16"/>
        </w:rPr>
        <w:t>Z07.docx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הג</w:t>
      </w:r>
    </w:p>
    <w:p>
      <w:pPr>
        <w:pStyle w:val="Ruller381"/>
        <w:keepNext w:val="true"/>
        <w:ind w:end="0"/>
        <w:jc w:val="start"/>
        <w:rPr>
          <w:rFonts w:ascii="David;Arial" w:hAnsi="David;Arial" w:cs="David;Arial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Arial" w:hAnsi="David;Arial" w:cs="David;Arial"/>
          <w:color w:val="000000"/>
          <w:szCs w:val="22"/>
        </w:rPr>
      </w:pPr>
      <w:r>
        <w:rPr>
          <w:rFonts w:ascii="David;Arial" w:hAnsi="David;Arial"/>
          <w:color w:val="000000"/>
          <w:szCs w:val="22"/>
          <w:rtl w:val="true"/>
        </w:rPr>
        <w:t>ג</w:t>
      </w:r>
      <w:r>
        <w:rPr>
          <w:rFonts w:cs="David;Arial" w:ascii="David;Arial" w:hAnsi="David;Arial"/>
          <w:color w:val="000000"/>
          <w:szCs w:val="22"/>
          <w:rtl w:val="true"/>
        </w:rPr>
        <w:t xml:space="preserve">' </w:t>
      </w:r>
      <w:r>
        <w:rPr>
          <w:rFonts w:ascii="David;Arial" w:hAnsi="David;Arial"/>
          <w:color w:val="000000"/>
          <w:szCs w:val="22"/>
          <w:rtl w:val="true"/>
        </w:rPr>
        <w:t xml:space="preserve">קרא </w:t>
      </w:r>
      <w:r>
        <w:rPr>
          <w:rFonts w:cs="David;Arial" w:ascii="David;Arial" w:hAnsi="David;Arial"/>
          <w:color w:val="000000"/>
          <w:szCs w:val="22"/>
        </w:rPr>
        <w:t>54678313-9100/20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Arial" w:hAnsi="David;Arial" w:cs="David;Arial"/>
        <w:color w:val="000000"/>
        <w:sz w:val="22"/>
        <w:szCs w:val="22"/>
      </w:rPr>
    </w:pPr>
    <w:r>
      <w:rPr>
        <w:rFonts w:ascii="David;Arial" w:hAnsi="David;Arial"/>
        <w:color w:val="000000"/>
        <w:sz w:val="22"/>
        <w:sz w:val="22"/>
        <w:szCs w:val="22"/>
        <w:rtl w:val="true"/>
      </w:rPr>
      <w:t xml:space="preserve">עפ </w:t>
    </w:r>
    <w:r>
      <w:rPr>
        <w:rFonts w:cs="David;Arial" w:ascii="David;Arial" w:hAnsi="David;Arial"/>
        <w:color w:val="000000"/>
        <w:sz w:val="22"/>
        <w:szCs w:val="22"/>
      </w:rPr>
      <w:t>9100/20</w:t>
    </w:r>
    <w:r>
      <w:rPr>
        <w:rFonts w:cs="David;Arial" w:ascii="David;Arial" w:hAnsi="David;Arial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Arial" w:hAnsi="David;Arial"/>
        <w:color w:val="000000"/>
        <w:sz w:val="22"/>
        <w:sz w:val="22"/>
        <w:szCs w:val="22"/>
        <w:rtl w:val="true"/>
      </w:rPr>
      <w:t>פלוני נ</w:t>
    </w:r>
    <w:r>
      <w:rPr>
        <w:rFonts w:cs="David;Arial" w:ascii="David;Arial" w:hAnsi="David;Arial"/>
        <w:color w:val="000000"/>
        <w:sz w:val="22"/>
        <w:szCs w:val="22"/>
        <w:rtl w:val="true"/>
      </w:rPr>
      <w:t xml:space="preserve">' </w:t>
    </w:r>
    <w:r>
      <w:rPr>
        <w:rFonts w:ascii="David;Arial" w:hAnsi="David;Arial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Arial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Arial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Arial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Arial"/>
    </w:rPr>
  </w:style>
  <w:style w:type="character" w:styleId="CharChar1">
    <w:name w:val=" Char Char1"/>
    <w:qFormat/>
    <w:rPr>
      <w:rFonts w:cs="David;Arial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Arial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76688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2.c" TargetMode="External"/><Relationship Id="rId6" Type="http://schemas.openxmlformats.org/officeDocument/2006/relationships/hyperlink" Target="http://www.nevo.co.il/case/25766887" TargetMode="External"/><Relationship Id="rId7" Type="http://schemas.openxmlformats.org/officeDocument/2006/relationships/hyperlink" Target="http://www.nevo.co.il/law/70301/382.c" TargetMode="External"/><Relationship Id="rId8" Type="http://schemas.openxmlformats.org/officeDocument/2006/relationships/hyperlink" Target="http://www.nevo.co.il/law/70301/380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6146667" TargetMode="External"/><Relationship Id="rId11" Type="http://schemas.openxmlformats.org/officeDocument/2006/relationships/hyperlink" Target="http://www.nevo.co.il/case/5896936" TargetMode="External"/><Relationship Id="rId12" Type="http://schemas.openxmlformats.org/officeDocument/2006/relationships/hyperlink" Target="http://www.nevo.co.il/case/5756128" TargetMode="External"/><Relationship Id="rId13" Type="http://schemas.openxmlformats.org/officeDocument/2006/relationships/hyperlink" Target="https://supreme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2022-02-21T08:01:00Z</dcterms:created>
  <dc:creator>h4</dc:creator>
  <dc:description/>
  <cp:keywords/>
  <dc:language>en-IL</dc:language>
  <cp:lastModifiedBy>orly</cp:lastModifiedBy>
  <cp:lastPrinted>2022-02-20T09:00:00Z</cp:lastPrinted>
  <dcterms:modified xsi:type="dcterms:W3CDTF">2022-02-21T08:01:00Z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25766887:2;26146667;5896936;5756128</vt:lpwstr>
  </property>
  <property fmtid="{D5CDD505-2E9C-101B-9397-08002B2CF9AE}" pid="9" name="CITY">
    <vt:lpwstr/>
  </property>
  <property fmtid="{D5CDD505-2E9C-101B-9397-08002B2CF9AE}" pid="10" name="DATE">
    <vt:lpwstr>20220220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קרא;ד' מינץ;נ' הנדל</vt:lpwstr>
  </property>
  <property fmtid="{D5CDD505-2E9C-101B-9397-08002B2CF9AE}" pid="14" name="LAWLISTTMP1">
    <vt:lpwstr>70301/382.c;380</vt:lpwstr>
  </property>
  <property fmtid="{D5CDD505-2E9C-101B-9397-08002B2CF9AE}" pid="15" name="LAWYER">
    <vt:lpwstr>עידית פרג'ון;מיטל אורשלם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בתי-משפט</vt:lpwstr>
  </property>
  <property fmtid="{D5CDD505-2E9C-101B-9397-08002B2CF9AE}" pid="30" name="NOSE14">
    <vt:lpwstr>ראיות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18;18;14;89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טענות מקדמיות</vt:lpwstr>
  </property>
  <property fmtid="{D5CDD505-2E9C-101B-9397-08002B2CF9AE}" pid="40" name="NOSE23">
    <vt:lpwstr>ערעור</vt:lpwstr>
  </property>
  <property fmtid="{D5CDD505-2E9C-101B-9397-08002B2CF9AE}" pid="41" name="NOSE24">
    <vt:lpwstr>מהימנות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504;479;333;1635</vt:lpwstr>
  </property>
  <property fmtid="{D5CDD505-2E9C-101B-9397-08002B2CF9AE}" pid="48" name="NOSE31">
    <vt:lpwstr>אי-התערבות בממצאים עובדתיים</vt:lpwstr>
  </property>
  <property fmtid="{D5CDD505-2E9C-101B-9397-08002B2CF9AE}" pid="49" name="NOSE310">
    <vt:lpwstr/>
  </property>
  <property fmtid="{D5CDD505-2E9C-101B-9397-08002B2CF9AE}" pid="50" name="NOSE32">
    <vt:lpwstr>אכיפה בררנית</vt:lpwstr>
  </property>
  <property fmtid="{D5CDD505-2E9C-101B-9397-08002B2CF9AE}" pid="51" name="NOSE33">
    <vt:lpwstr>אי התערבות בממצאים עובדתיים</vt:lpwstr>
  </property>
  <property fmtid="{D5CDD505-2E9C-101B-9397-08002B2CF9AE}" pid="52" name="NOSE34">
    <vt:lpwstr>התערבות ערכאת ערעור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3849;13647;16253;10199</vt:lpwstr>
  </property>
  <property fmtid="{D5CDD505-2E9C-101B-9397-08002B2CF9AE}" pid="59" name="PADIDATE">
    <vt:lpwstr>20220221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9100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410120220220</vt:lpwstr>
  </property>
  <property fmtid="{D5CDD505-2E9C-101B-9397-08002B2CF9AE}" pid="69" name="TYPE_N_DATE">
    <vt:lpwstr>41020220220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