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9104/20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טבצ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ניקוב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62688-01-20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10.11.2020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נתנאל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22.02.2021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מזרחי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9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מעצר וחיפוש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) 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1969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8" w:name="ABSTRACT_START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הכוללות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לנקוט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הטלת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נדרשת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כשנגרמה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ובנפש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נתפס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ליפול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עברייניות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שניזוק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נלווית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טיעון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נשיאת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לצריכה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עצמית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למצות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הנאשם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הגלומה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המידה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לחומרא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הולמת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שהודגש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לנקוט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הכוללות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הנפוץ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ליישוב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סכסוכים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הסיכון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וקורבן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בפרט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והמחירים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החברתיים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הנלווים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בתחושת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הביטחון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הכרוכה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מחייבים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מוחשית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ומרתיעה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הכוללות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כאמצעי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ליישוב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סכסוכים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לצמצם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תופעה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נפסדת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האקדח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לירכו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מטווח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אפס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מותיר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בגופו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והימלטות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לסייע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שנזקק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לניתוח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חירום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לבטא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אכזריות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ואדישות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משחשד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גנב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אופנוע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שבבעלותו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שחמט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סנטימנטלי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לסייע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להיפך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בהתנהלות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הנקמנות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המסוכנות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נטייתו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ליישב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סכסוכיו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וסמים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וריצה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להרתעתו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מלשוב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שהוגש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המתאר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התנהגותו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הכוחנית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והמאיימת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בבית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הסוהר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מצביע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מסורו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מתיישב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הטלת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נדרשת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כשנגרמה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ובנפש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נתפס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ליפול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עברייניות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העתידי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גדול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יותר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אקדחו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נתפס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ימשיך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ולסכן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בכללותו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ועוד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למשטרה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מעורר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תמיהה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הפנמת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שיצר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יעמוד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4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במצטבר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שסה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כ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יישא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10,000</w:t>
      </w:r>
      <w:r>
        <w:rPr>
          <w:rFonts w:cs="FrankRuehl;Times New Roman"/>
          <w:sz w:val="24"/>
          <w:szCs w:val="26"/>
          <w:rtl w:val="true"/>
        </w:rPr>
        <w:t xml:space="preserve"> ₪, </w:t>
      </w:r>
      <w:r>
        <w:rPr>
          <w:rFonts w:cs="FrankRuehl;Times New Roman"/>
          <w:sz w:val="24"/>
          <w:sz w:val="24"/>
          <w:szCs w:val="26"/>
          <w:rtl w:val="true"/>
        </w:rPr>
        <w:t>חרף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בעדותו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חילוט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מסכים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השופטת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ארז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מסכימה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להטעים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הסתייגות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עדותו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להימנעות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מלפסוק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פסיקת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פריבילגיה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זכותו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בזכויות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בעקיפין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פסיקת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משהיא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יכולה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התשתית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ההסתייגות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מההתנהגות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כשלעצמה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  <w:r>
        <w:rPr>
          <w:rFonts w:cs="Miriam"/>
          <w:sz w:val="24"/>
          <w:szCs w:val="24"/>
          <w:rtl w:val="true"/>
        </w:rPr>
        <w:br/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>לפני</w:t>
      </w:r>
      <w:r>
        <w:rPr>
          <w:rtl w:val="true"/>
        </w:rPr>
        <w:t>נו ערעור על גזר דינו של בית המשפט המחוזי בחיפה 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62688-01-20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נתנאל</w:t>
      </w:r>
      <w:r>
        <w:rPr>
          <w:rtl w:val="true"/>
        </w:rPr>
        <w:t xml:space="preserve">), </w:t>
      </w:r>
      <w:r>
        <w:rPr>
          <w:rtl w:val="true"/>
        </w:rPr>
        <w:t xml:space="preserve">מיום </w:t>
      </w:r>
      <w:r>
        <w:rPr/>
        <w:t>10.11.2020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נגזרו על המשיב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נשק וסמים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16.1.2020</w:t>
      </w:r>
      <w:r>
        <w:rPr>
          <w:rtl w:val="true"/>
        </w:rPr>
        <w:t xml:space="preserve"> </w:t>
      </w:r>
      <w:r>
        <w:rPr>
          <w:rtl w:val="true"/>
        </w:rPr>
        <w:t>הצטייד המשיב באקדח טעון בכדורים והגיע ברכבו לעסק שבו עבד המתלונן באותה עת</w:t>
      </w:r>
      <w:r>
        <w:rPr>
          <w:rtl w:val="true"/>
        </w:rPr>
        <w:t xml:space="preserve">, </w:t>
      </w:r>
      <w:r>
        <w:rPr>
          <w:rtl w:val="true"/>
        </w:rPr>
        <w:t>בליווי אדם נוסף אשר נהג ברכב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 ירד מרכבו תוך שהותיר מאחוריו את דלת הרכב פתוחה</w:t>
      </w:r>
      <w:r>
        <w:rPr>
          <w:rtl w:val="true"/>
        </w:rPr>
        <w:t xml:space="preserve">. </w:t>
      </w:r>
      <w:r>
        <w:rPr>
          <w:rtl w:val="true"/>
        </w:rPr>
        <w:t>לאחר חילופי דברים בינו לבין המתלונן</w:t>
      </w:r>
      <w:r>
        <w:rPr>
          <w:rtl w:val="true"/>
        </w:rPr>
        <w:t xml:space="preserve">, </w:t>
      </w:r>
      <w:r>
        <w:rPr>
          <w:rtl w:val="true"/>
        </w:rPr>
        <w:t>שלף את אקדחו</w:t>
      </w:r>
      <w:r>
        <w:rPr>
          <w:rtl w:val="true"/>
        </w:rPr>
        <w:t xml:space="preserve">, </w:t>
      </w:r>
      <w:r>
        <w:rPr>
          <w:rtl w:val="true"/>
        </w:rPr>
        <w:t>דרך אותו</w:t>
      </w:r>
      <w:r>
        <w:rPr>
          <w:rtl w:val="true"/>
        </w:rPr>
        <w:t xml:space="preserve">, </w:t>
      </w:r>
      <w:r>
        <w:rPr>
          <w:rtl w:val="true"/>
        </w:rPr>
        <w:t>הצמידוֹ לחלק העליון של ירכו השמאלית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ירה ירייה אחת </w:t>
      </w:r>
      <w:r>
        <w:rPr>
          <w:rtl w:val="true"/>
        </w:rPr>
        <w:t>–</w:t>
      </w:r>
      <w:r>
        <w:rPr>
          <w:rtl w:val="true"/>
        </w:rPr>
        <w:t xml:space="preserve"> ונמלט עם אקדחו מהמקום בנסיעה בליווי האדם הנוסף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בעקבות הירי</w:t>
      </w:r>
      <w:r>
        <w:rPr>
          <w:rtl w:val="true"/>
        </w:rPr>
        <w:t xml:space="preserve">, </w:t>
      </w:r>
      <w:r>
        <w:rPr>
          <w:rtl w:val="true"/>
        </w:rPr>
        <w:t>נזקק המתלונן לניתוח ברגלו</w:t>
      </w:r>
      <w:r>
        <w:rPr>
          <w:rtl w:val="true"/>
        </w:rPr>
        <w:t xml:space="preserve">, </w:t>
      </w:r>
      <w:r>
        <w:rPr>
          <w:rtl w:val="true"/>
        </w:rPr>
        <w:t>במהלכו הוחלט להותיר את הקליע בגופו</w:t>
      </w:r>
      <w:r>
        <w:rPr>
          <w:rtl w:val="true"/>
        </w:rPr>
        <w:t xml:space="preserve">, </w:t>
      </w:r>
      <w:r>
        <w:rPr>
          <w:rtl w:val="true"/>
        </w:rPr>
        <w:t>פן תגרור הוצאתו פגיעה בכלי הדם ובמערכת העצבים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1,950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–</w:t>
      </w:r>
      <w:r>
        <w:rPr/>
        <w:t>1973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המשיב הורשע 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אשר 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>בעבירות אשר יוחסו לו בכתב האישום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בטיעוניה לעונש בפני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הפנתה המערערת לנסיבות ביצוע העבירות ולחומרתן</w:t>
      </w:r>
      <w:r>
        <w:rPr>
          <w:rtl w:val="true"/>
        </w:rPr>
        <w:t xml:space="preserve">, </w:t>
      </w:r>
      <w:r>
        <w:rPr>
          <w:rtl w:val="true"/>
        </w:rPr>
        <w:t>תוך שהדגישה כי המשיב תכנן את מעשיו מבעוד מועד</w:t>
      </w:r>
      <w:r>
        <w:rPr>
          <w:rtl w:val="true"/>
        </w:rPr>
        <w:t xml:space="preserve">, </w:t>
      </w:r>
      <w:r>
        <w:rPr>
          <w:rtl w:val="true"/>
        </w:rPr>
        <w:t>הגיע חמוש באקדח טעון למקום עבודתו של המתלונן ברכב יחד עם אחר</w:t>
      </w:r>
      <w:r>
        <w:rPr>
          <w:rtl w:val="true"/>
        </w:rPr>
        <w:t xml:space="preserve">, </w:t>
      </w:r>
      <w:r>
        <w:rPr>
          <w:rtl w:val="true"/>
        </w:rPr>
        <w:t>ונמלט לאחר ביצוע הירי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 כי יש בהתנהלות המשיב כדי ללמד על הסיכון הרב הנשקף ממנו לציבור</w:t>
      </w:r>
      <w:r>
        <w:rPr>
          <w:rtl w:val="true"/>
        </w:rPr>
        <w:t xml:space="preserve">, </w:t>
      </w:r>
      <w:r>
        <w:rPr>
          <w:rtl w:val="true"/>
        </w:rPr>
        <w:t>על נורמות עברייניות פסולות אשר טבועות בו</w:t>
      </w:r>
      <w:r>
        <w:rPr>
          <w:rtl w:val="true"/>
        </w:rPr>
        <w:t xml:space="preserve">, </w:t>
      </w:r>
      <w:r>
        <w:rPr>
          <w:rtl w:val="true"/>
        </w:rPr>
        <w:t>ועל שימוש באלימות כשיטה ליישוב סכסוכים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אלה נטען כי מתחם העונש ההולם נע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וכי לאור הנסיבות יש לגזור את עונשו ברף הגבוה של המתחם</w:t>
      </w:r>
      <w:r>
        <w:rPr>
          <w:rtl w:val="true"/>
        </w:rPr>
        <w:t xml:space="preserve">, </w:t>
      </w:r>
      <w:r>
        <w:rPr>
          <w:rtl w:val="true"/>
        </w:rPr>
        <w:t>בהיעדר נסיבות לקולא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בא כוח המשיב טען כי הוא ביצע ירייה אחת בלבד לירכו של המתלונן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ולא לאיבריו החיוניים </w:t>
      </w:r>
      <w:r>
        <w:rPr>
          <w:rtl w:val="true"/>
        </w:rPr>
        <w:t>–</w:t>
      </w:r>
      <w:r>
        <w:rPr>
          <w:rtl w:val="true"/>
        </w:rPr>
        <w:t xml:space="preserve"> באופן אשר לגישתו יש בו כדי ללמד כי לא התכוון לגרום לו נזק חמור</w:t>
      </w:r>
      <w:r>
        <w:rPr>
          <w:rtl w:val="true"/>
        </w:rPr>
        <w:t xml:space="preserve">; </w:t>
      </w:r>
      <w:r>
        <w:rPr>
          <w:rtl w:val="true"/>
        </w:rPr>
        <w:t>וכי הירי בוצע בשל חשד כי הלה גנב את אופנועו ולוח שחמט שניתן לו על ידי אביו כמזכרת וסירב להחזירו את הגניבה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נטענו טענות נוספות לקולא ובכלל זה הודיית המשיב במעשיו</w:t>
      </w:r>
      <w:r>
        <w:rPr>
          <w:rtl w:val="true"/>
        </w:rPr>
        <w:t xml:space="preserve">, </w:t>
      </w:r>
      <w:r>
        <w:rPr>
          <w:rtl w:val="true"/>
        </w:rPr>
        <w:t>חיסכון זמן שיפוטי</w:t>
      </w:r>
      <w:r>
        <w:rPr>
          <w:rtl w:val="true"/>
        </w:rPr>
        <w:t xml:space="preserve">, </w:t>
      </w:r>
      <w:r>
        <w:rPr>
          <w:rtl w:val="true"/>
        </w:rPr>
        <w:t>גילו הצעיר ו</w:t>
      </w:r>
      <w:r>
        <w:rPr>
          <w:rtl w:val="true"/>
        </w:rPr>
        <w:t>"</w:t>
      </w:r>
      <w:r>
        <w:rPr>
          <w:rtl w:val="true"/>
        </w:rPr>
        <w:t>מאמציו לשיקום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טען בא כוח המשיב כי מתחם העונש ההולם את מעשיו נע 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הדגיש את התכנון שקדם למעשיו של המשיב</w:t>
      </w:r>
      <w:r>
        <w:rPr>
          <w:rtl w:val="true"/>
        </w:rPr>
        <w:t xml:space="preserve">, </w:t>
      </w:r>
      <w:r>
        <w:rPr>
          <w:rtl w:val="true"/>
        </w:rPr>
        <w:t>אשר הגיע למקום עם אקדח טעון והותיר את דלת הרכב פתוחה על מנת להקל על הימלטותו</w:t>
      </w:r>
      <w:r>
        <w:rPr>
          <w:rtl w:val="true"/>
        </w:rPr>
        <w:t xml:space="preserve">, </w:t>
      </w:r>
      <w:r>
        <w:rPr>
          <w:rtl w:val="true"/>
        </w:rPr>
        <w:t>כמו גם את העובדה כי נמלט מהמקום בלי להזעיק עזרה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נשקלה לקולא העובדה כי המשיב ירה כדור אחד בלבד בירכו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להבדיל מפלג גופו העליון באופן שהיה מסב לו נזק </w:t>
      </w:r>
      <w:r>
        <w:rPr>
          <w:rtl w:val="true"/>
        </w:rPr>
        <w:t>"</w:t>
      </w:r>
      <w:r>
        <w:rPr>
          <w:rtl w:val="true"/>
        </w:rPr>
        <w:t>חמור פי כמה</w:t>
      </w:r>
      <w:r>
        <w:rPr>
          <w:rtl w:val="true"/>
        </w:rPr>
        <w:t xml:space="preserve">", </w:t>
      </w:r>
      <w:r>
        <w:rPr>
          <w:rtl w:val="true"/>
        </w:rPr>
        <w:t>לשון בית המשפט המחוזי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rtl w:val="true"/>
        </w:rPr>
        <w:t>בגזירת העונש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שקל לחומרא את העובדה כי חרף גילו הצעיר</w:t>
      </w:r>
      <w:r>
        <w:rPr>
          <w:rtl w:val="true"/>
        </w:rPr>
        <w:t xml:space="preserve">, </w:t>
      </w:r>
      <w:r>
        <w:rPr>
          <w:rtl w:val="true"/>
        </w:rPr>
        <w:t>צבר המשיב לחובתו עבר פלילי בלתי מבוטל</w:t>
      </w:r>
      <w:r>
        <w:rPr>
          <w:rtl w:val="true"/>
        </w:rPr>
        <w:t xml:space="preserve">, </w:t>
      </w:r>
      <w:r>
        <w:rPr>
          <w:rtl w:val="true"/>
        </w:rPr>
        <w:t>בעבירות אלימות</w:t>
      </w:r>
      <w:r>
        <w:rPr>
          <w:rtl w:val="true"/>
        </w:rPr>
        <w:t xml:space="preserve">, </w:t>
      </w:r>
      <w:r>
        <w:rPr>
          <w:rtl w:val="true"/>
        </w:rPr>
        <w:t>נשק וסמים ואף ריצה עונשי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בתוך כך הודגשה הרשעתו בשנת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עת נדון 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וכן העובדה כי עבירת הסמים האחרונה שנעברה על ידו הייתה בשנת </w:t>
      </w:r>
      <w:r>
        <w:rPr/>
        <w:t>2018</w:t>
      </w:r>
      <w:r>
        <w:rPr>
          <w:rtl w:val="true"/>
        </w:rPr>
        <w:t xml:space="preserve"> </w:t>
      </w:r>
      <w:r>
        <w:rPr>
          <w:rFonts w:eastAsia="Garamon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ולמרות עונשי המאסר המותנים התלויים ועומדים נגדו לא נמנע מלבצע את העבירות נשוא הערעור שבפנינו</w:t>
      </w:r>
      <w:r>
        <w:rPr>
          <w:rtl w:val="true"/>
        </w:rPr>
        <w:t>.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אינטנסיבי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, </w:t>
      </w:r>
      <w:r>
        <w:rPr>
          <w:rtl w:val="true"/>
        </w:rPr>
        <w:t>והודאתו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"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>.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>בית המשפט המחוזי הקל בעונשו של המשיב יתר על המידה</w:t>
      </w:r>
      <w:r>
        <w:rPr>
          <w:rtl w:val="true"/>
        </w:rPr>
        <w:t xml:space="preserve">, </w:t>
      </w:r>
      <w:r>
        <w:rPr>
          <w:rtl w:val="true"/>
        </w:rPr>
        <w:t>בלי שניתן ביטוי הולם לחומרה הרבה המשתקפת ממעשיו ולפוטנציאל הנזק שיכול היה להיגרם למתלונן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בשים לב להחלטת הרופאים להותיר את הקליע בגופו בשל הסיכון הכרוך בהוצאתו</w:t>
      </w:r>
      <w:r>
        <w:rPr>
          <w:rtl w:val="true"/>
        </w:rPr>
        <w:t xml:space="preserve">; </w:t>
      </w:r>
      <w:r>
        <w:rPr>
          <w:rtl w:val="true"/>
        </w:rPr>
        <w:t>לעובדה כי הורשע במסכת אירועים מושא הערעור אף בעבירת סמים</w:t>
      </w:r>
      <w:r>
        <w:rPr>
          <w:rtl w:val="true"/>
        </w:rPr>
        <w:t xml:space="preserve">; </w:t>
      </w:r>
      <w:r>
        <w:rPr>
          <w:rtl w:val="true"/>
        </w:rPr>
        <w:t>להתנהגותו העבריינית</w:t>
      </w:r>
      <w:r>
        <w:rPr>
          <w:rtl w:val="true"/>
        </w:rPr>
        <w:t xml:space="preserve">, </w:t>
      </w:r>
      <w:r>
        <w:rPr>
          <w:rtl w:val="true"/>
        </w:rPr>
        <w:t>הנלמדת מהרשעותיו הקודמות</w:t>
      </w:r>
      <w:r>
        <w:rPr>
          <w:rtl w:val="true"/>
        </w:rPr>
        <w:t xml:space="preserve">, </w:t>
      </w:r>
      <w:r>
        <w:rPr>
          <w:rtl w:val="true"/>
        </w:rPr>
        <w:t>בגינן ריצה עונשי מאסר בפועל</w:t>
      </w:r>
      <w:r>
        <w:rPr>
          <w:rtl w:val="true"/>
        </w:rPr>
        <w:t xml:space="preserve">, </w:t>
      </w:r>
      <w:r>
        <w:rPr>
          <w:rtl w:val="true"/>
        </w:rPr>
        <w:t>שלא היה בהם כדי להרתיעו מלשוב לסורו</w:t>
      </w:r>
      <w:r>
        <w:rPr>
          <w:rtl w:val="true"/>
        </w:rPr>
        <w:t xml:space="preserve">; </w:t>
      </w:r>
      <w:r>
        <w:rPr>
          <w:rtl w:val="true"/>
        </w:rPr>
        <w:t>ולעובדה כי הנשק טרם נמסר למשטרה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משיגה המערערת על החלטת בית המשפט המחוזי לחפוף את עונש המאסר המותנה לעונש המאסר בפועל שנגזר עליו</w:t>
      </w:r>
      <w:r>
        <w:rPr>
          <w:rtl w:val="true"/>
        </w:rPr>
        <w:t xml:space="preserve">, </w:t>
      </w:r>
      <w:r>
        <w:rPr>
          <w:rtl w:val="true"/>
        </w:rPr>
        <w:t>חרף הזיקה ההדוקה בין העבירות בהן הורשע המשיב בעבר לבין העבירות במקרה דנן</w:t>
      </w:r>
      <w:r>
        <w:rPr>
          <w:rtl w:val="true"/>
        </w:rPr>
        <w:t xml:space="preserve">; </w:t>
      </w:r>
      <w:r>
        <w:rPr>
          <w:rtl w:val="true"/>
        </w:rPr>
        <w:t>וכן על החלטתו להימנע מחילוט רכבו של המשיב</w:t>
      </w:r>
      <w:r>
        <w:rPr>
          <w:rtl w:val="true"/>
        </w:rPr>
        <w:t xml:space="preserve">, </w:t>
      </w:r>
      <w:r>
        <w:rPr>
          <w:rtl w:val="true"/>
        </w:rPr>
        <w:t>אף על פי שרכבו שימש אותו בעת ביצוע העבירות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בדיון שהתקיים לפנינו טען בא כוח המשיב כי דין הערעור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240" w:after="240"/>
        <w:ind w:firstLine="720" w:start="0" w:end="0"/>
        <w:jc w:val="both"/>
        <w:rPr/>
      </w:pP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העונש שנגזר על המשיב אינו חורג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ומשקף את נטילת האחריות מצד המשיב על מעשיו עת הודה במיוחס לו</w:t>
      </w:r>
      <w:r>
        <w:rPr>
          <w:rtl w:val="true"/>
        </w:rPr>
        <w:t xml:space="preserve">; </w:t>
      </w:r>
      <w:r>
        <w:rPr>
          <w:rtl w:val="true"/>
        </w:rPr>
        <w:t>וכן את הבעת הנכונות מצידו להשתלב בטיפול</w:t>
      </w:r>
      <w:r>
        <w:rPr>
          <w:rtl w:val="true"/>
        </w:rPr>
        <w:t xml:space="preserve">, </w:t>
      </w:r>
      <w:r>
        <w:rPr>
          <w:rtl w:val="true"/>
        </w:rPr>
        <w:t>על מנת להמשיך בדרך עצמאית וחדשה</w:t>
      </w:r>
      <w:r>
        <w:rPr>
          <w:rtl w:val="true"/>
        </w:rPr>
        <w:t xml:space="preserve">, </w:t>
      </w:r>
      <w:r>
        <w:rPr>
          <w:rtl w:val="true"/>
        </w:rPr>
        <w:t>שבחר בה כבר קודם לכן</w:t>
      </w:r>
      <w:r>
        <w:rPr>
          <w:rtl w:val="true"/>
        </w:rPr>
        <w:t xml:space="preserve">, </w:t>
      </w:r>
      <w:r>
        <w:rPr>
          <w:rtl w:val="true"/>
        </w:rPr>
        <w:t>כשהחל ללמוד ולעבוד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טען בא כוח המשיב כי לא נפל פגם בהחלטת בית המשפט המחוזי שלא להורות על חילוט רכבו ועל פסיקת פיצוי למתלונן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לקראת הדיון בערעור הוגש תסקיר משלים מטעם שירות המבחן</w:t>
      </w:r>
      <w:r>
        <w:rPr>
          <w:rtl w:val="true"/>
        </w:rPr>
        <w:t xml:space="preserve">, </w:t>
      </w:r>
      <w:r>
        <w:rPr>
          <w:rtl w:val="true"/>
        </w:rPr>
        <w:t>שבגדרו צוין כי המשיב שולב בטיפול במחלקת התמכרויות בבית הסוהר</w:t>
      </w:r>
      <w:r>
        <w:rPr>
          <w:rtl w:val="true"/>
        </w:rPr>
        <w:t xml:space="preserve">; </w:t>
      </w:r>
      <w:r>
        <w:rPr>
          <w:rtl w:val="true"/>
        </w:rPr>
        <w:t>מביע אמביוולנטיות באשר לצורך בטיפול</w:t>
      </w:r>
      <w:r>
        <w:rPr>
          <w:rtl w:val="true"/>
        </w:rPr>
        <w:t xml:space="preserve">; </w:t>
      </w:r>
      <w:r>
        <w:rPr>
          <w:rtl w:val="true"/>
        </w:rPr>
        <w:t>מתקשה לכבד את הכללים במחלקה</w:t>
      </w:r>
      <w:r>
        <w:rPr>
          <w:rtl w:val="true"/>
        </w:rPr>
        <w:t xml:space="preserve">; </w:t>
      </w:r>
      <w:r>
        <w:rPr>
          <w:rtl w:val="true"/>
        </w:rPr>
        <w:t>ומשתמש בשפה אלימה ובוטה ובאלימות כלפי חפצים</w:t>
      </w:r>
      <w:r>
        <w:rPr>
          <w:rtl w:val="true"/>
        </w:rPr>
        <w:t xml:space="preserve">, </w:t>
      </w:r>
      <w:r>
        <w:rPr>
          <w:rtl w:val="true"/>
        </w:rPr>
        <w:t>בגינם צבר עד כה ארבע עבירות משמעת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צוין כי המשיב מתנהל כלפי אסירים אחרים באופן כוחני ומאיים עד כי סיגל לעצמו נורמות וערכים המאפיינים את העולם העברייני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זו מדרכה של ערכאת הערעור למצות את הדין עם הנאשם</w:t>
      </w:r>
      <w:r>
        <w:rPr>
          <w:rtl w:val="true"/>
        </w:rPr>
        <w:t xml:space="preserve">, </w:t>
      </w:r>
      <w:r>
        <w:rPr>
          <w:rtl w:val="true"/>
        </w:rPr>
        <w:t>ואין היא נוהגת להתערב בחומרת העונש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בהם גזר הדין מגלה סטייה בולטת מהענישה המקובלת במקרים דומים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7069/20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11</w:t>
      </w:r>
      <w:r>
        <w:rPr/>
        <w:t>.</w:t>
      </w:r>
      <w:r>
        <w:rPr/>
        <w:t>2</w:t>
      </w:r>
      <w:r>
        <w:rPr/>
        <w:t>.</w:t>
      </w:r>
      <w:r>
        <w:rPr/>
        <w:t>2021</w:t>
      </w:r>
      <w:r>
        <w:rPr>
          <w:rtl w:val="true"/>
        </w:rPr>
        <w:t xml:space="preserve">)).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;Times New Roman" w:hAnsi="FrankRuehl;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;Times New Roman" w:hAnsi="FrankRuehl;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"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spacing w:val="8"/>
          <w:rtl w:val="true"/>
        </w:rPr>
        <w:t>כפי שהודגש לא אחת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 xml:space="preserve">יש לנקוט במדיניות ענישה מחמירה כלפי עבירות הכוללות שימוש בנשק חם </w:t>
      </w:r>
      <w:r>
        <w:rPr>
          <w:spacing w:val="8"/>
          <w:rtl w:val="true"/>
        </w:rPr>
        <w:t>(</w:t>
      </w:r>
      <w:r>
        <w:rPr>
          <w:spacing w:val="8"/>
          <w:rtl w:val="true"/>
        </w:rPr>
        <w:t xml:space="preserve">ראו למשל </w:t>
      </w:r>
      <w:hyperlink r:id="rId20">
        <w:r>
          <w:rPr>
            <w:rStyle w:val="Hyperlink"/>
            <w:color w:val="0000FF"/>
            <w:spacing w:val="8"/>
            <w:u w:val="single"/>
            <w:rtl w:val="true"/>
          </w:rPr>
          <w:t>ע</w:t>
        </w:r>
        <w:r>
          <w:rPr>
            <w:rStyle w:val="Hyperlink"/>
            <w:color w:val="0000FF"/>
            <w:spacing w:val="8"/>
            <w:u w:val="single"/>
            <w:rtl w:val="true"/>
          </w:rPr>
          <w:t>"</w:t>
        </w:r>
        <w:r>
          <w:rPr>
            <w:rStyle w:val="Hyperlink"/>
            <w:color w:val="0000FF"/>
            <w:spacing w:val="8"/>
            <w:u w:val="single"/>
            <w:rtl w:val="true"/>
          </w:rPr>
          <w:t>פ</w:t>
        </w:r>
        <w:r>
          <w:rPr>
            <w:rStyle w:val="Hyperlink"/>
            <w:color w:val="0000FF"/>
            <w:spacing w:val="8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8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15</w:t>
      </w:r>
      <w:r>
        <w:rPr>
          <w:rtl w:val="true"/>
        </w:rPr>
        <w:t>–</w:t>
      </w:r>
      <w:r>
        <w:rPr/>
        <w:t>17</w:t>
      </w:r>
      <w:r>
        <w:rPr>
          <w:rtl w:val="true"/>
        </w:rPr>
        <w:t xml:space="preserve"> (</w:t>
      </w:r>
      <w:r>
        <w:rPr/>
        <w:t>5.11.2019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השימוש הנפוץ בנשק חם ככלי ליישוב סכסוכים תוך נטילת החוק לידי מבצע העבירה</w:t>
      </w:r>
      <w:r>
        <w:rPr>
          <w:rtl w:val="true"/>
        </w:rPr>
        <w:t xml:space="preserve">; </w:t>
      </w:r>
      <w:r>
        <w:rPr>
          <w:rtl w:val="true"/>
        </w:rPr>
        <w:t>הסיכון הנשקף משימוש בנשק כלפי הציבור כולו</w:t>
      </w:r>
      <w:r>
        <w:rPr>
          <w:rtl w:val="true"/>
        </w:rPr>
        <w:t xml:space="preserve">, </w:t>
      </w:r>
      <w:r>
        <w:rPr>
          <w:rtl w:val="true"/>
        </w:rPr>
        <w:t>וקורבן העבירה בפרט</w:t>
      </w:r>
      <w:r>
        <w:rPr>
          <w:rtl w:val="true"/>
        </w:rPr>
        <w:t xml:space="preserve">; </w:t>
      </w:r>
      <w:r>
        <w:rPr>
          <w:rtl w:val="true"/>
        </w:rPr>
        <w:t xml:space="preserve">והמחירים החברתיים הרבים הנלווים למעשים אלו </w:t>
      </w:r>
      <w:r>
        <w:rPr>
          <w:rtl w:val="true"/>
        </w:rPr>
        <w:t>–</w:t>
      </w:r>
      <w:r>
        <w:rPr>
          <w:rtl w:val="true"/>
        </w:rPr>
        <w:t xml:space="preserve"> בין היתר בשל הפגיעה בתחושת הביטחון הכרוכה בהם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מחייבים ענישה מוחשית ומרתיעה כלפי עבירות הכוללות שימוש בנשק חם כאמצעי ליישוב סכסוכים</w:t>
      </w:r>
      <w:r>
        <w:rPr>
          <w:rtl w:val="true"/>
        </w:rPr>
        <w:t xml:space="preserve">, </w:t>
      </w:r>
      <w:r>
        <w:rPr>
          <w:rtl w:val="true"/>
        </w:rPr>
        <w:t>במטרה לצמצם תופעה נפסדת זו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האופן שבו ירה המשיב במתלונן תוך הצמדת האקדח לירכו מטווח אפס</w:t>
      </w:r>
      <w:r>
        <w:rPr>
          <w:rtl w:val="true"/>
        </w:rPr>
        <w:t xml:space="preserve">, </w:t>
      </w:r>
      <w:r>
        <w:rPr>
          <w:rtl w:val="true"/>
        </w:rPr>
        <w:t>אשר לא מותיר ספק כי הירי נועד להביא לפגיעה בגופו</w:t>
      </w:r>
      <w:r>
        <w:rPr>
          <w:rtl w:val="true"/>
        </w:rPr>
        <w:t xml:space="preserve">; </w:t>
      </w:r>
      <w:r>
        <w:rPr>
          <w:rtl w:val="true"/>
        </w:rPr>
        <w:t>והימלטות המשיב מהמקום מבלי לסייע למתלונן</w:t>
      </w:r>
      <w:r>
        <w:rPr>
          <w:rtl w:val="true"/>
        </w:rPr>
        <w:t xml:space="preserve">, </w:t>
      </w:r>
      <w:r>
        <w:rPr>
          <w:rtl w:val="true"/>
        </w:rPr>
        <w:t xml:space="preserve">אשר נזקק לניתוח חירום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יש בהם כדי לבטא מידה רבה של אכזריות ואדישות באשר לנזק שגרם המשיב למתלונן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טענת המשיב כי יש להקל בעונשו מאחר שחשד כי המתלונן גנב אופנוע שבבעלותו ולוח שחמט בעל ערך סנטימנטלי עבורו </w:t>
      </w:r>
      <w:r>
        <w:rPr>
          <w:rtl w:val="true"/>
        </w:rPr>
        <w:t>–</w:t>
      </w:r>
      <w:r>
        <w:rPr>
          <w:rtl w:val="true"/>
        </w:rPr>
        <w:t xml:space="preserve"> אין בה כדי לסייע לו</w:t>
      </w:r>
      <w:r>
        <w:rPr>
          <w:rtl w:val="true"/>
        </w:rPr>
        <w:t xml:space="preserve">, </w:t>
      </w:r>
      <w:r>
        <w:rPr>
          <w:rtl w:val="true"/>
        </w:rPr>
        <w:t>כי אם להיפך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יש בהתנהלות מעין זו כדי ללמד על יצר הנקמנות של המשיב ועל המסוכנות הנשקפת ממנו בשל נטייתו ליישב את סכסוכיו תוך שימוש באלימות ובנשק חם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הכוחנית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והמאיימת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יתירה מזאת</w:t>
      </w:r>
      <w:r>
        <w:rPr>
          <w:rtl w:val="true"/>
        </w:rPr>
        <w:t xml:space="preserve">, </w:t>
      </w:r>
      <w:r>
        <w:rPr>
          <w:rtl w:val="true"/>
        </w:rPr>
        <w:t>הטלת ענישה ממשית נדרשת על אחת כמה וכמה כאשר נגרמה פגיעה לגוף ובנפש באמצעות כלי נשק אשר טרם נתפס</w:t>
      </w:r>
      <w:r>
        <w:rPr>
          <w:rtl w:val="true"/>
        </w:rPr>
        <w:t xml:space="preserve">, </w:t>
      </w:r>
      <w:r>
        <w:rPr>
          <w:rtl w:val="true"/>
        </w:rPr>
        <w:t>ועלול ליפול לידיים עברייניות</w:t>
      </w:r>
      <w:r>
        <w:rPr>
          <w:rtl w:val="true"/>
        </w:rPr>
        <w:t xml:space="preserve">, </w:t>
      </w:r>
      <w:r>
        <w:rPr>
          <w:rtl w:val="true"/>
        </w:rPr>
        <w:t>על כל המשתמע מכך</w:t>
      </w:r>
      <w:r>
        <w:rPr>
          <w:rtl w:val="true"/>
        </w:rPr>
        <w:t xml:space="preserve">. </w:t>
      </w:r>
      <w:r>
        <w:rPr>
          <w:rtl w:val="true"/>
        </w:rPr>
        <w:t>במקרים אלו</w:t>
      </w:r>
      <w:r>
        <w:rPr>
          <w:rtl w:val="true"/>
        </w:rPr>
        <w:t xml:space="preserve">, </w:t>
      </w:r>
      <w:r>
        <w:rPr>
          <w:rtl w:val="true"/>
        </w:rPr>
        <w:t>לא זו בלבד שהנזק הנגרם כתוצאה מביצוע העבירות עצמן חמור</w:t>
      </w:r>
      <w:r>
        <w:rPr>
          <w:rtl w:val="true"/>
        </w:rPr>
        <w:t xml:space="preserve">, </w:t>
      </w:r>
      <w:r>
        <w:rPr>
          <w:rtl w:val="true"/>
        </w:rPr>
        <w:t xml:space="preserve">אלא שפוטנציאל הנזק העתידי אף גדול יותר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11.8.2019</w:t>
      </w:r>
      <w:r>
        <w:rPr>
          <w:rtl w:val="true"/>
        </w:rPr>
        <w:t xml:space="preserve">)).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במכלול נסיבות אלו</w:t>
      </w:r>
      <w:r>
        <w:rPr>
          <w:rtl w:val="true"/>
        </w:rPr>
        <w:t xml:space="preserve">, </w:t>
      </w:r>
      <w:r>
        <w:rPr>
          <w:rtl w:val="true"/>
        </w:rPr>
        <w:t>אני סבור כי יש להחמיר בעונשו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באופן שעונש המאסר בפועל יעמוד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תוך הפעלת עונש המאסר המותנה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התלוי ועומד נגד המשיב ירוצה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במצטבר</w:t>
      </w:r>
      <w:r>
        <w:rPr>
          <w:rtl w:val="true"/>
        </w:rPr>
        <w:t xml:space="preserve"> אליו</w:t>
      </w:r>
      <w:r>
        <w:rPr>
          <w:rtl w:val="true"/>
        </w:rPr>
        <w:t xml:space="preserve">, </w:t>
      </w:r>
      <w:r>
        <w:rPr>
          <w:rtl w:val="true"/>
        </w:rPr>
        <w:t>כך שסך הכל יישא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–</w:t>
      </w:r>
      <w:r>
        <w:rPr>
          <w:rtl w:val="true"/>
        </w:rPr>
        <w:t xml:space="preserve"> וכך אציע לחבריי לעשות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>
          <w:spacing w:val="12"/>
        </w:rPr>
      </w:pPr>
      <w:r>
        <w:rPr>
          <w:spacing w:val="12"/>
          <w:rtl w:val="true"/>
        </w:rPr>
        <w:t>באשר לפיצוי המתלונן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לא מצאתי בהתנהלותו בבית המשפט המחוזי כדי להביא לשלילת הפיצוי לזכותו</w:t>
      </w:r>
      <w:r>
        <w:rPr>
          <w:spacing w:val="12"/>
          <w:rtl w:val="true"/>
        </w:rPr>
        <w:t xml:space="preserve">. </w:t>
      </w:r>
      <w:r>
        <w:rPr>
          <w:spacing w:val="12"/>
          <w:rtl w:val="true"/>
        </w:rPr>
        <w:t>על כן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 xml:space="preserve">אציע לחבריי להטיל על המשיב תשלום פיצוי למתלונן על סך </w:t>
      </w:r>
      <w:r>
        <w:rPr>
          <w:spacing w:val="12"/>
        </w:rPr>
        <w:t>10,000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ש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>ח</w:t>
      </w:r>
      <w:r>
        <w:rPr>
          <w:spacing w:val="1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איני סבור כי עלינו להתערב בהחלטת בית המשפט המחוזי שלא להורות על חילוט רכבו של המשיב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בפרט בשים לב כי סמכותו של בית המשפט להורות על חילוט רכוש על פי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–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היא סמכות שבשיקול דעת</w:t>
      </w:r>
      <w:r>
        <w:rPr>
          <w:rtl w:val="true"/>
        </w:rPr>
        <w:t xml:space="preserve">, </w:t>
      </w:r>
      <w:r>
        <w:rPr>
          <w:rtl w:val="true"/>
        </w:rPr>
        <w:t xml:space="preserve">אשר הפעלתה תלויה בין היתר בהשלכות חילוט הרכוש ובהשתלבותו במערך הענישה הכולל שיושת על הנאשם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4105/16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ט</w:t>
      </w:r>
      <w:r>
        <w:rPr>
          <w:rtl w:val="true"/>
        </w:rPr>
        <w:t>' (</w:t>
      </w:r>
      <w:r>
        <w:rPr/>
        <w:t>2.1.2007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6234/03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זיתאווי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9.3.2005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באופן שעונשו של המשיב בגין העבירות נשוא הערעור יעמוד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>
          <w:rtl w:val="true"/>
        </w:rPr>
        <w:t xml:space="preserve">עונש המאסר המותנה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שנגזר על המשיב 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35227-05-17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יופעל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במצטבר</w:t>
      </w:r>
      <w:r>
        <w:rPr>
          <w:rtl w:val="true"/>
        </w:rPr>
        <w:t xml:space="preserve"> לעונש המאסר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כך שעל המשיב יהא לרצות סך הכל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המשיב יחויב בפיצוי המתלונן בסך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 רכיבי הענישה יוותרו על כנם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.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פריבילגיה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7.6.2016</w:t>
      </w:r>
      <w:r>
        <w:rPr>
          <w:rtl w:val="true"/>
        </w:rPr>
        <w:t xml:space="preserve">)).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12.5.2019</w:t>
      </w:r>
      <w:r>
        <w:rPr>
          <w:rtl w:val="true"/>
        </w:rPr>
        <w:t xml:space="preserve">)).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מההתנהגות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4.3.2021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20091040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54678313-9104/20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9104/20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דוד טבצ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'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ניקוב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Garamond" w:hAnsi="Garamond" w:cs="Times New Roman;Times New Roman"/>
      <w:spacing w:val="1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9829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74918" TargetMode="External"/><Relationship Id="rId10" Type="http://schemas.openxmlformats.org/officeDocument/2006/relationships/hyperlink" Target="http://www.nevo.co.il/law/74918/32" TargetMode="External"/><Relationship Id="rId11" Type="http://schemas.openxmlformats.org/officeDocument/2006/relationships/hyperlink" Target="http://www.nevo.co.il/law/74918/39" TargetMode="External"/><Relationship Id="rId12" Type="http://schemas.openxmlformats.org/officeDocument/2006/relationships/hyperlink" Target="http://www.nevo.co.il/case/26398295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case/27078678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25836997" TargetMode="External"/><Relationship Id="rId22" Type="http://schemas.openxmlformats.org/officeDocument/2006/relationships/hyperlink" Target="http://www.nevo.co.il/law/74918/32" TargetMode="External"/><Relationship Id="rId23" Type="http://schemas.openxmlformats.org/officeDocument/2006/relationships/hyperlink" Target="http://www.nevo.co.il/law/74918/39" TargetMode="External"/><Relationship Id="rId24" Type="http://schemas.openxmlformats.org/officeDocument/2006/relationships/hyperlink" Target="http://www.nevo.co.il/law/74918" TargetMode="External"/><Relationship Id="rId25" Type="http://schemas.openxmlformats.org/officeDocument/2006/relationships/hyperlink" Target="http://www.nevo.co.il/case/5937268" TargetMode="External"/><Relationship Id="rId26" Type="http://schemas.openxmlformats.org/officeDocument/2006/relationships/hyperlink" Target="http://www.nevo.co.il/case/6055128" TargetMode="External"/><Relationship Id="rId27" Type="http://schemas.openxmlformats.org/officeDocument/2006/relationships/hyperlink" Target="http://www.nevo.co.il/case/22622602" TargetMode="External"/><Relationship Id="rId28" Type="http://schemas.openxmlformats.org/officeDocument/2006/relationships/hyperlink" Target="http://www.nevo.co.il/case/20770422" TargetMode="External"/><Relationship Id="rId29" Type="http://schemas.openxmlformats.org/officeDocument/2006/relationships/hyperlink" Target="http://www.nevo.co.il/case/21759543" TargetMode="External"/><Relationship Id="rId30" Type="http://schemas.openxmlformats.org/officeDocument/2006/relationships/hyperlink" Target="http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2021-03-07T10:38:00Z</dcterms:created>
  <dc:creator>h4</dc:creator>
  <dc:description/>
  <cp:keywords/>
  <dc:language>en-IL</dc:language>
  <cp:lastModifiedBy>orly</cp:lastModifiedBy>
  <cp:lastPrinted>2021-03-04T09:07:00Z</cp:lastPrinted>
  <dcterms:modified xsi:type="dcterms:W3CDTF">2021-03-07T10:38:00Z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טבצ'ניקוב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26398295:2;27078678;25824863;25836997;5937268;6055128;22622602;20770422;21759543</vt:lpwstr>
  </property>
  <property fmtid="{D5CDD505-2E9C-101B-9397-08002B2CF9AE}" pid="9" name="CITY">
    <vt:lpwstr/>
  </property>
  <property fmtid="{D5CDD505-2E9C-101B-9397-08002B2CF9AE}" pid="10" name="DATE">
    <vt:lpwstr>20210304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ארז;י' אלרון</vt:lpwstr>
  </property>
  <property fmtid="{D5CDD505-2E9C-101B-9397-08002B2CF9AE}" pid="14" name="LAWLISTTMP1">
    <vt:lpwstr>70301/329.a.1;144.b</vt:lpwstr>
  </property>
  <property fmtid="{D5CDD505-2E9C-101B-9397-08002B2CF9AE}" pid="15" name="LAWLISTTMP2">
    <vt:lpwstr>4216/007.a;007.c</vt:lpwstr>
  </property>
  <property fmtid="{D5CDD505-2E9C-101B-9397-08002B2CF9AE}" pid="16" name="LAWLISTTMP3">
    <vt:lpwstr>74918/032;039</vt:lpwstr>
  </property>
  <property fmtid="{D5CDD505-2E9C-101B-9397-08002B2CF9AE}" pid="17" name="LAWYER">
    <vt:lpwstr>אביב מזרחי;עדי שגב;ברכה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פיצויים והוצאות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504;1446;1447</vt:lpwstr>
  </property>
  <property fmtid="{D5CDD505-2E9C-101B-9397-08002B2CF9AE}" pid="50" name="NOSE31">
    <vt:lpwstr>התערבות במידת העונש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נשק</vt:lpwstr>
  </property>
  <property fmtid="{D5CDD505-2E9C-101B-9397-08002B2CF9AE}" pid="53" name="NOSE33">
    <vt:lpwstr>פיצויו של מי שניזוק על-ידי העבירה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15230;13800;9011</vt:lpwstr>
  </property>
  <property fmtid="{D5CDD505-2E9C-101B-9397-08002B2CF9AE}" pid="61" name="PADIDATE">
    <vt:lpwstr>20210307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9104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410120210304</vt:lpwstr>
  </property>
  <property fmtid="{D5CDD505-2E9C-101B-9397-08002B2CF9AE}" pid="71" name="TYPE_N_DATE">
    <vt:lpwstr>41020210304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