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9135/20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שמואל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כחלון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מ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38661-05-20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יצחק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</w:t>
      </w:r>
      <w:bookmarkEnd w:id="3"/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בסרגליק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מורגן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מלשבת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המשפט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לנציב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המאשימה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ההתאווררות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תלונה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לנציב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השחרור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בפתח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ולחלופין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מלשבת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המשפט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מהחלטותיו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לנציב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ולדיונים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מפרוטוקול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3" w:name="Writer_Name"/>
      <w:bookmarkEnd w:id="13"/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23.12.2020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38661-05-20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שלא לפסול עצמו מלדון בעניינו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כנגד המערער ושלושה נוספים הוגש בחודש מאי </w:t>
      </w:r>
      <w:r>
        <w:rPr>
          <w:rFonts w:cs="Century" w:ascii="Century" w:hAnsi="Century"/>
        </w:rPr>
        <w:t>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כתב אישום שבמסגרתו יוחסו למערער עבירות של סחיטה באיומים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הפרעה לשוטר בשעת מילוי תפקידו ואיומים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נוכח העבירות המיוחסות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ביקשה המאשימה את מעצרו של המערער עד תום ההליכים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והדיון בבקשה זו הועבר לטיפולו של המותב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מספר ישיבות שקיים בבקשה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הורה בית המשפט ביום </w:t>
      </w:r>
      <w:r>
        <w:rPr>
          <w:rFonts w:cs="Century" w:ascii="Century" w:hAnsi="Century"/>
        </w:rPr>
        <w:t>11.6.2020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שחרורו של המערער למעצר בית מלא בעיר יבנה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בפיקוח ובכפוף לתנאים נוספים שנקבעו בהחלטה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בהתחשב בגילו של המערער ובמצבו הרפואי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עררים שהגישו הצדדים על החלטה זו לבית המשפט המחוזי בתל אביב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יפו נמחקו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בהסכמתם </w:t>
      </w:r>
      <w:r>
        <w:rPr>
          <w:rFonts w:cs="Century" w:ascii="Century" w:hAnsi="Century"/>
          <w:rtl w:val="true"/>
        </w:rPr>
        <w:t>(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עמ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30309-06-20</w:t>
        </w:r>
      </w:hyperlink>
      <w:r>
        <w:rPr>
          <w:rFonts w:cs="Century" w:ascii="Century" w:hAnsi="Century"/>
          <w:rtl w:val="true"/>
        </w:rPr>
        <w:t xml:space="preserve">;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עמ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30373-06-20</w:t>
        </w:r>
      </w:hyperlink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לאמור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9.7.2020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התקבלה המלצת שירות המבחן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יועבר למעצר בית בביתו בחולון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בפיקוח אשתו וארבעה מפקחים נוספים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20.7.2020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קיום דיון בעניין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וכן בעניינם של יתר הנאשמים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דחה המותב את המלצת שירות המבחן והורה על המשך מעצר הבית של המערער בעיר יבנה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יותר למערער לצאת את מקום מעצר הבית למשך שלוש שעות מדי יום לשם התאווררות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ההתאווררות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ערר בעניינו של המערער שהוגש על החלטה זו לבית המשפט המחוזי בתל אביב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יפו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נדחה </w:t>
      </w:r>
      <w:r>
        <w:rPr>
          <w:rFonts w:cs="Century" w:ascii="Century" w:hAnsi="Century"/>
          <w:rtl w:val="true"/>
        </w:rPr>
        <w:t>(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עמ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59581-07-20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במהלך הדיון בערר הגיעו הצדדים להסכמה לפיה שעות ההתאווררות יורחבו ויעמדו על ארבע שעות מדי יום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14.9.2020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ההתאווררות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תשרי</w:t>
      </w:r>
      <w:r>
        <w:rPr>
          <w:rtl w:val="true"/>
        </w:rPr>
        <w:t xml:space="preserve">.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.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15.9.2020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ההבנה</w:t>
      </w:r>
      <w:r>
        <w:rPr>
          <w:rtl w:val="true"/>
        </w:rPr>
        <w:t xml:space="preserve">] </w:t>
      </w:r>
      <w:r>
        <w:rPr>
          <w:rtl w:val="true"/>
        </w:rPr>
        <w:t>לנטען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להדחות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והרחק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17.9.2020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13:30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העצורים</w:t>
      </w:r>
      <w:r>
        <w:rPr>
          <w:rtl w:val="true"/>
        </w:rPr>
        <w:t xml:space="preserve">, </w:t>
      </w:r>
      <w:r>
        <w:rPr>
          <w:rtl w:val="true"/>
        </w:rPr>
        <w:t>ובכפוף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17.9.2020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היחשפות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מאומתת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בנגיף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tl w:val="true"/>
        </w:rPr>
        <w:t xml:space="preserve">, </w:t>
      </w:r>
      <w:r>
        <w:rPr>
          <w:rtl w:val="true"/>
        </w:rPr>
        <w:t>ולגופם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בבידוד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מאומת</w:t>
      </w:r>
      <w:r>
        <w:rPr>
          <w:rtl w:val="true"/>
        </w:rPr>
        <w:t xml:space="preserve">,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בשגרה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 [</w:t>
      </w:r>
      <w:r>
        <w:rPr>
          <w:rtl w:val="true"/>
        </w:rPr>
        <w:t>ככל</w:t>
      </w:r>
      <w:r>
        <w:rPr>
          <w:rtl w:val="true"/>
        </w:rPr>
        <w:t xml:space="preserve">] </w:t>
      </w:r>
      <w:r>
        <w:rPr>
          <w:rtl w:val="true"/>
        </w:rPr>
        <w:t>שתגיע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מחולון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ממפקחי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שאושרו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18.9.2020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43941-09-20</w:t>
        </w:r>
      </w:hyperlink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</w:rPr>
        <w:t>4</w:t>
      </w:r>
      <w:r>
        <w:rPr>
          <w:rFonts w:cs="Arial TUR;Arial" w:ascii="Arial TUR;Arial" w:hAnsi="Arial TUR;Arial"/>
          <w:sz w:val="22"/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15.10.2020</w:t>
      </w:r>
      <w:r>
        <w:rPr>
          <w:rtl w:val="true"/>
        </w:rPr>
        <w:t xml:space="preserve"> </w:t>
      </w:r>
      <w:r>
        <w:rPr>
          <w:rtl w:val="true"/>
        </w:rPr>
        <w:t>התקיים הדיון בבקשת המערער להגדלת שעות ההתאווררות</w:t>
      </w:r>
      <w:r>
        <w:rPr>
          <w:rtl w:val="true"/>
        </w:rPr>
        <w:t xml:space="preserve">, </w:t>
      </w:r>
      <w:r>
        <w:rPr>
          <w:rtl w:val="true"/>
        </w:rPr>
        <w:t>ובסופו קבע בית המשפט כי יתאפשר למערער לצאת ממקום מעצר הבית בעיר יבנה בלבד ותחת פיקוח</w:t>
      </w:r>
      <w:r>
        <w:rPr>
          <w:rtl w:val="true"/>
        </w:rPr>
        <w:t xml:space="preserve">, </w:t>
      </w:r>
      <w:r>
        <w:rPr>
          <w:rtl w:val="true"/>
        </w:rPr>
        <w:t xml:space="preserve">בין השעות </w:t>
      </w:r>
      <w:r>
        <w:rPr/>
        <w:t>20:00-9:00</w:t>
      </w:r>
      <w:r>
        <w:rPr>
          <w:rtl w:val="true"/>
        </w:rPr>
        <w:t xml:space="preserve"> </w:t>
      </w:r>
      <w:r>
        <w:rPr>
          <w:rtl w:val="true"/>
        </w:rPr>
        <w:t>בכל יום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14.10.2020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22.12.2020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והובא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בציינו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].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</w:t>
      </w:r>
      <w:r>
        <w:rPr>
          <w:rtl w:val="true"/>
        </w:rPr>
        <w:t>]</w:t>
      </w:r>
      <w:r>
        <w:rPr>
          <w:rtl w:val="true"/>
        </w:rPr>
        <w:t>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tl w:val="true"/>
        </w:rPr>
        <w:t xml:space="preserve">]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;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פסלות</w:t>
      </w:r>
      <w:r>
        <w:rPr>
          <w:rtl w:val="true"/>
        </w:rPr>
        <w:t xml:space="preserve">]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 הודיע כי בכוונתו לערער על ההחלטה וביקש שלא לקיים דיון לגופם של דברים בטרם יוגש הערעור</w:t>
      </w:r>
      <w:r>
        <w:rPr>
          <w:rtl w:val="true"/>
        </w:rPr>
        <w:t xml:space="preserve">. </w:t>
      </w:r>
      <w:r>
        <w:rPr>
          <w:rtl w:val="true"/>
        </w:rPr>
        <w:t>בית המשפט בחן את חומר החקירה בעניינו של המערער וקבע כי יש להורות על מעצרו עד החלטה אחרת</w:t>
      </w:r>
      <w:r>
        <w:rPr>
          <w:rtl w:val="true"/>
        </w:rPr>
        <w:t xml:space="preserve">. </w:t>
      </w:r>
      <w:r>
        <w:rPr>
          <w:rtl w:val="true"/>
        </w:rPr>
        <w:t xml:space="preserve">הוא הוסיף וציין </w:t>
      </w:r>
      <w:r>
        <w:rPr>
          <w:rtl w:val="true"/>
        </w:rPr>
        <w:t>"</w:t>
      </w:r>
      <w:r>
        <w:rPr>
          <w:rtl w:val="true"/>
        </w:rPr>
        <w:t>אף כי הדבר לא התבקש</w:t>
      </w:r>
      <w:r>
        <w:rPr>
          <w:rtl w:val="true"/>
        </w:rPr>
        <w:t xml:space="preserve">, </w:t>
      </w:r>
      <w:r>
        <w:rPr>
          <w:rtl w:val="true"/>
        </w:rPr>
        <w:t>לא אוכל לעכב החלטתי זו נוכח אופי הדיון וטיבו</w:t>
      </w:r>
      <w:r>
        <w:rPr>
          <w:rtl w:val="true"/>
        </w:rPr>
        <w:t xml:space="preserve">". </w:t>
      </w:r>
      <w:r>
        <w:rPr>
          <w:rtl w:val="true"/>
        </w:rPr>
        <w:t xml:space="preserve">המשך הדיון נקבע ליום </w:t>
      </w:r>
      <w:r>
        <w:rPr/>
        <w:t>28.12.2020</w:t>
      </w:r>
      <w:r>
        <w:rPr>
          <w:rtl w:val="true"/>
        </w:rPr>
        <w:t xml:space="preserve">, </w:t>
      </w:r>
      <w:r>
        <w:rPr>
          <w:rtl w:val="true"/>
        </w:rPr>
        <w:t xml:space="preserve">אך נדחה בהמשך ליום </w:t>
      </w:r>
      <w:r>
        <w:rPr/>
        <w:t>3.1.2021</w:t>
      </w:r>
      <w:r>
        <w:rPr>
          <w:rtl w:val="true"/>
        </w:rPr>
        <w:t xml:space="preserve"> </w:t>
      </w:r>
      <w:r>
        <w:rPr>
          <w:rtl w:val="true"/>
        </w:rPr>
        <w:t xml:space="preserve">נוכח הודעת המערער כי הערעור יוגש רק ביום </w:t>
      </w:r>
      <w:r>
        <w:rPr/>
        <w:t>28.12.2020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מכאן הערעור שבפני</w:t>
      </w:r>
      <w:r>
        <w:rPr>
          <w:rtl w:val="true"/>
        </w:rPr>
        <w:t xml:space="preserve">, </w:t>
      </w:r>
      <w:r>
        <w:rPr>
          <w:rtl w:val="true"/>
        </w:rPr>
        <w:t>בו חוזר המערער על טענותיו בבית המשפט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המערער סבור כי דעתו של בית המשפט קמא </w:t>
      </w:r>
      <w:r>
        <w:rPr>
          <w:rtl w:val="true"/>
        </w:rPr>
        <w:t>"</w:t>
      </w:r>
      <w:r>
        <w:rPr>
          <w:rtl w:val="true"/>
        </w:rPr>
        <w:t>ננעלה</w:t>
      </w:r>
      <w:r>
        <w:rPr>
          <w:rtl w:val="true"/>
        </w:rPr>
        <w:t xml:space="preserve">" </w:t>
      </w:r>
      <w:r>
        <w:rPr>
          <w:rtl w:val="true"/>
        </w:rPr>
        <w:t>לחלוטין נגדו</w:t>
      </w:r>
      <w:r>
        <w:rPr>
          <w:rtl w:val="true"/>
        </w:rPr>
        <w:t xml:space="preserve">, </w:t>
      </w:r>
      <w:r>
        <w:rPr>
          <w:rtl w:val="true"/>
        </w:rPr>
        <w:t>ומוסיף וטוען כי הודיע במהלך הדיון שהתלונה שהגיש בנו היא על דעתו</w:t>
      </w:r>
      <w:r>
        <w:rPr>
          <w:rtl w:val="true"/>
        </w:rPr>
        <w:t xml:space="preserve">, </w:t>
      </w:r>
      <w:r>
        <w:rPr>
          <w:rtl w:val="true"/>
        </w:rPr>
        <w:t>הגם שהדבר לא נרשם בפרוטוקול הדיון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מוסיף וטוען כי המותב התערב בניהול ההליך עת הורה לשופט אחר אשר דן ביום </w:t>
      </w:r>
      <w:r>
        <w:rPr/>
        <w:t>16.9.2020</w:t>
      </w:r>
      <w:r>
        <w:rPr>
          <w:rtl w:val="true"/>
        </w:rPr>
        <w:t xml:space="preserve"> </w:t>
      </w:r>
      <w:r>
        <w:rPr>
          <w:rtl w:val="true"/>
        </w:rPr>
        <w:t xml:space="preserve">בעניין מעצרם של יתר הנאשמים בכתב האישום </w:t>
      </w:r>
      <w:r>
        <w:rPr>
          <w:rtl w:val="true"/>
        </w:rPr>
        <w:t>(</w:t>
      </w:r>
      <w:r>
        <w:rPr>
          <w:rtl w:val="true"/>
        </w:rPr>
        <w:t>שהתלונה הוגשה אף כנגדו</w:t>
      </w:r>
      <w:r>
        <w:rPr>
          <w:rtl w:val="true"/>
        </w:rPr>
        <w:t xml:space="preserve">), </w:t>
      </w:r>
      <w:r>
        <w:rPr>
          <w:rtl w:val="true"/>
        </w:rPr>
        <w:t>לא לדון בבקשתו של המערער לריצוי מעצרו בתקופת החגים בביתו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 כי משמעות דחיית בקשת הפסלות ודחיית מועד הדיון לגופן של טענות המערער היא כי המערער נותר במעצר ללא הצדקה של ממש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tl w:val="true"/>
        </w:rPr>
        <w:t xml:space="preserve">במבט צופה פני עתיד </w:t>
      </w:r>
      <w:r>
        <w:rPr>
          <w:rtl w:val="true"/>
        </w:rPr>
        <w:t>–</w:t>
      </w:r>
      <w:r>
        <w:rPr>
          <w:rtl w:val="true"/>
        </w:rPr>
        <w:t xml:space="preserve"> הרי אין כל ספק כי המערער לא יישב במעצר</w:t>
      </w:r>
      <w:r>
        <w:rPr>
          <w:rtl w:val="true"/>
        </w:rPr>
        <w:t xml:space="preserve">" </w:t>
      </w:r>
      <w:r>
        <w:rPr>
          <w:rtl w:val="true"/>
        </w:rPr>
        <w:t>והיה ניתן להעביר את הדיון בבקשה לגופה למותב אחר אשר יכריע בה באופן מידי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בדיון ההוכחות בהליך העיקרי שהתקיים ביום </w:t>
      </w:r>
      <w:r>
        <w:rPr/>
        <w:t>28.12.2020</w:t>
      </w:r>
      <w:r>
        <w:rPr>
          <w:rtl w:val="true"/>
        </w:rPr>
        <w:t xml:space="preserve"> </w:t>
      </w:r>
      <w:r>
        <w:rPr>
          <w:rtl w:val="true"/>
        </w:rPr>
        <w:t>התגלה שאשתו של המתלונן בתיק היא קלדנית בבית המשפט המחוזי או בבית משפט השלום בתל אביב</w:t>
      </w:r>
      <w:r>
        <w:rPr>
          <w:rtl w:val="true"/>
        </w:rPr>
        <w:t>-</w:t>
      </w:r>
      <w:r>
        <w:rPr>
          <w:rtl w:val="true"/>
        </w:rPr>
        <w:t>יפו מזה שנים רבות</w:t>
      </w:r>
      <w:r>
        <w:rPr>
          <w:rtl w:val="true"/>
        </w:rPr>
        <w:t xml:space="preserve">. </w:t>
      </w:r>
      <w:r>
        <w:rPr>
          <w:rtl w:val="true"/>
        </w:rPr>
        <w:t>המערער מוסיף וטוען כי לשיטתו בקשת הפסלות הועלתה במועד הראוי</w:t>
      </w:r>
      <w:r>
        <w:rPr>
          <w:rtl w:val="true"/>
        </w:rPr>
        <w:t xml:space="preserve">, </w:t>
      </w:r>
      <w:r>
        <w:rPr>
          <w:rtl w:val="true"/>
        </w:rPr>
        <w:t>ועל כן לא היה מקום לקבוע כי לא כך הוגשה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מהחלטותיו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9408/17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ולבניה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13.12.2017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יתר טענות המערער מתייחסות להחלטות ולדיונים מלפני מספר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ובדין ייחס לכך בית המשפט קמא משקל בהחלטתו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למעלה מהצורך אציין כי אף לגופם של דברים לא מצאתי כי התנהלותו של המותב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מפרוטוקול הדיונים ומההחלטות שניתנו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מקימה חשש ממשי למשוא פנים שעשוי להצדיק את פסילתו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את העברת הדיון למותב אחר מטעמים של מראית פני הצדק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לבסוף אציין כי חלק מטענות המערער ביחס להתנהלותו של המותב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ובפרט הטענה כאילו המותב הנחה את השופט שדן בעניין מעצרם של יתר הנאשמים לא לדון בעניינו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נטענו בעלמא וללא ביסוס כלשהו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 לא מצאתי לנכון להתייחס אליהן לגופן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הערעור נדחה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30.12.2020</w:t>
      </w:r>
      <w:r>
        <w:rPr>
          <w:rtl w:val="true"/>
        </w:rPr>
        <w:t xml:space="preserve">). </w:t>
      </w:r>
      <w:bookmarkEnd w:id="14"/>
    </w:p>
    <w:p>
      <w:pPr>
        <w:pStyle w:val="Ruller4"/>
        <w:ind w:end="0"/>
        <w:jc w:val="both"/>
        <w:rPr/>
      </w:pPr>
      <w:r>
        <w:rPr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20091350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ה א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  <w:szCs w:val="22"/>
        </w:rPr>
        <w:t>54678313-9135/20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9135/20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שמואל כחלון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678281" TargetMode="External"/><Relationship Id="rId3" Type="http://schemas.openxmlformats.org/officeDocument/2006/relationships/hyperlink" Target="http://www.nevo.co.il/law/74849" TargetMode="External"/><Relationship Id="rId4" Type="http://schemas.openxmlformats.org/officeDocument/2006/relationships/hyperlink" Target="http://www.nevo.co.il/law/74849/77a" TargetMode="External"/><Relationship Id="rId5" Type="http://schemas.openxmlformats.org/officeDocument/2006/relationships/hyperlink" Target="http://www.nevo.co.il/law/74849/77a" TargetMode="External"/><Relationship Id="rId6" Type="http://schemas.openxmlformats.org/officeDocument/2006/relationships/hyperlink" Target="http://www.nevo.co.il/law/74849" TargetMode="External"/><Relationship Id="rId7" Type="http://schemas.openxmlformats.org/officeDocument/2006/relationships/hyperlink" Target="http://www.nevo.co.il/law/74849/77a" TargetMode="External"/><Relationship Id="rId8" Type="http://schemas.openxmlformats.org/officeDocument/2006/relationships/hyperlink" Target="http://www.nevo.co.il/law/74849" TargetMode="External"/><Relationship Id="rId9" Type="http://schemas.openxmlformats.org/officeDocument/2006/relationships/hyperlink" Target="http://www.nevo.co.il/case/26678281" TargetMode="External"/><Relationship Id="rId10" Type="http://schemas.openxmlformats.org/officeDocument/2006/relationships/hyperlink" Target="http://www.nevo.co.il/case/26752197" TargetMode="External"/><Relationship Id="rId11" Type="http://schemas.openxmlformats.org/officeDocument/2006/relationships/hyperlink" Target="http://www.nevo.co.il/case/26752121" TargetMode="External"/><Relationship Id="rId12" Type="http://schemas.openxmlformats.org/officeDocument/2006/relationships/hyperlink" Target="http://www.nevo.co.il/case/26876634" TargetMode="External"/><Relationship Id="rId13" Type="http://schemas.openxmlformats.org/officeDocument/2006/relationships/hyperlink" Target="http://www.nevo.co.il/case/27014894" TargetMode="External"/><Relationship Id="rId14" Type="http://schemas.openxmlformats.org/officeDocument/2006/relationships/hyperlink" Target="http://www.nevo.co.il/law/74849/77a" TargetMode="External"/><Relationship Id="rId15" Type="http://schemas.openxmlformats.org/officeDocument/2006/relationships/hyperlink" Target="http://www.nevo.co.il/law/74849" TargetMode="External"/><Relationship Id="rId16" Type="http://schemas.openxmlformats.org/officeDocument/2006/relationships/hyperlink" Target="http://www.nevo.co.il/case/23507765" TargetMode="External"/><Relationship Id="rId17" Type="http://schemas.openxmlformats.org/officeDocument/2006/relationships/hyperlink" Target="http://supreme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2021-01-03T10:44:00Z</dcterms:created>
  <dc:creator>h4</dc:creator>
  <dc:description/>
  <cp:keywords/>
  <dc:language>en-IL</dc:language>
  <cp:lastModifiedBy>orly</cp:lastModifiedBy>
  <cp:lastPrinted>2020-12-30T11:22:00Z</cp:lastPrinted>
  <dcterms:modified xsi:type="dcterms:W3CDTF">2021-01-03T10:44:00Z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שמואל כחלון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26678281:2;26752197;26752121;26876634;27014894;23507765</vt:lpwstr>
  </property>
  <property fmtid="{D5CDD505-2E9C-101B-9397-08002B2CF9AE}" pid="9" name="CITY">
    <vt:lpwstr/>
  </property>
  <property fmtid="{D5CDD505-2E9C-101B-9397-08002B2CF9AE}" pid="10" name="DATE">
    <vt:lpwstr>20201230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74849/077a</vt:lpwstr>
  </property>
  <property fmtid="{D5CDD505-2E9C-101B-9397-08002B2CF9AE}" pid="15" name="LAWYER">
    <vt:lpwstr>אייל בסרגליק;רז מורגן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14;14</vt:lpwstr>
  </property>
  <property fmtid="{D5CDD505-2E9C-101B-9397-08002B2CF9AE}" pid="37" name="NOSE21">
    <vt:lpwstr>שופטים</vt:lpwstr>
  </property>
  <property fmtid="{D5CDD505-2E9C-101B-9397-08002B2CF9AE}" pid="38" name="NOSE210">
    <vt:lpwstr/>
  </property>
  <property fmtid="{D5CDD505-2E9C-101B-9397-08002B2CF9AE}" pid="39" name="NOSE22">
    <vt:lpwstr>פסלות שופט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341;336</vt:lpwstr>
  </property>
  <property fmtid="{D5CDD505-2E9C-101B-9397-08002B2CF9AE}" pid="48" name="NOSE31">
    <vt:lpwstr>פסילה</vt:lpwstr>
  </property>
  <property fmtid="{D5CDD505-2E9C-101B-9397-08002B2CF9AE}" pid="49" name="NOSE310">
    <vt:lpwstr/>
  </property>
  <property fmtid="{D5CDD505-2E9C-101B-9397-08002B2CF9AE}" pid="50" name="NOSE32">
    <vt:lpwstr>עילות הפסלות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2803;17180</vt:lpwstr>
  </property>
  <property fmtid="{D5CDD505-2E9C-101B-9397-08002B2CF9AE}" pid="59" name="PADIDATE">
    <vt:lpwstr>20210103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9135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410120201230</vt:lpwstr>
  </property>
  <property fmtid="{D5CDD505-2E9C-101B-9397-08002B2CF9AE}" pid="69" name="TYPE_N_DATE">
    <vt:lpwstr>41020201230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