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7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spacing w:lineRule="auto" w:line="240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</w:p>
        </w:tc>
      </w:tr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spacing w:lineRule="auto" w:line="240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;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9168/18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  <w:sz w:val="16"/>
          <w:szCs w:val="20"/>
        </w:rPr>
      </w:pPr>
      <w:r>
        <w:rPr>
          <w:rFonts w:cs="Miriam"/>
          <w:b/>
          <w:bCs/>
          <w:sz w:val="16"/>
          <w:szCs w:val="20"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סולברג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קרא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אלרון</w:t>
            </w:r>
          </w:p>
        </w:tc>
      </w:tr>
    </w:tbl>
    <w:p>
      <w:pPr>
        <w:pStyle w:val="Ruller31"/>
        <w:spacing w:lineRule="auto" w:line="240"/>
        <w:ind w:end="0"/>
        <w:jc w:val="start"/>
        <w:rPr>
          <w:rFonts w:cs="Miriam"/>
          <w:b/>
          <w:bCs/>
          <w:sz w:val="18"/>
          <w:szCs w:val="24"/>
        </w:rPr>
      </w:pPr>
      <w:r>
        <w:rPr>
          <w:rFonts w:cs="Miriam"/>
          <w:b/>
          <w:bCs/>
          <w:sz w:val="18"/>
          <w:szCs w:val="24"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Times New Roman" w:hAnsi="David;Times New Roman" w:cs="David;Times New Roman"/>
              </w:rPr>
            </w:pPr>
            <w:bookmarkStart w:id="3" w:name="FirstAppellant"/>
            <w:bookmarkEnd w:id="3"/>
            <w:r>
              <w:rPr>
                <w:rFonts w:ascii="David;Times New Roman" w:hAnsi="David;Times New Roman"/>
                <w:rtl w:val="true"/>
              </w:rPr>
              <w:t>המערער</w:t>
            </w:r>
            <w:r>
              <w:rPr>
                <w:rFonts w:cs="David;Times New Roman" w:ascii="David;Times New Roman" w:hAnsi="David;Times New Roman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טארק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קשור</w:t>
            </w:r>
          </w:p>
        </w:tc>
      </w:tr>
    </w:tbl>
    <w:p>
      <w:pPr>
        <w:pStyle w:val="Ruller31"/>
        <w:spacing w:lineRule="auto" w:line="240"/>
        <w:ind w:end="0"/>
        <w:jc w:val="start"/>
        <w:rPr>
          <w:sz w:val="16"/>
          <w:szCs w:val="22"/>
        </w:rPr>
      </w:pPr>
      <w:r>
        <w:rPr>
          <w:sz w:val="16"/>
          <w:szCs w:val="22"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;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;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spacing w:lineRule="auto" w:line="240"/>
        <w:ind w:end="0"/>
        <w:jc w:val="start"/>
        <w:rPr>
          <w:sz w:val="16"/>
          <w:szCs w:val="22"/>
        </w:rPr>
      </w:pPr>
      <w:r>
        <w:rPr>
          <w:sz w:val="16"/>
          <w:szCs w:val="22"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Times New Roman" w:hAnsi="David;Times New Roman" w:cs="David;Times New Roman"/>
              </w:rPr>
            </w:pPr>
            <w:r>
              <w:rPr>
                <w:rFonts w:ascii="David;Times New Roman" w:hAnsi="David;Times New Roman"/>
                <w:rtl w:val="true"/>
              </w:rPr>
              <w:t>המשיב</w:t>
            </w:r>
            <w:r>
              <w:rPr>
                <w:rFonts w:ascii="David;Times New Roman" w:hAnsi="David;Times New Roman"/>
                <w:rtl w:val="true"/>
              </w:rPr>
              <w:t>ה</w:t>
            </w:r>
            <w:r>
              <w:rPr>
                <w:rFonts w:cs="David;Times New Roman" w:ascii="David;Times New Roman" w:hAnsi="David;Times New Roman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spacing w:lineRule="auto" w:line="240"/>
        <w:ind w:end="0"/>
        <w:jc w:val="both"/>
        <w:rPr>
          <w:sz w:val="18"/>
          <w:szCs w:val="24"/>
        </w:rPr>
      </w:pPr>
      <w:r>
        <w:rPr>
          <w:sz w:val="18"/>
          <w:szCs w:val="24"/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ירושלים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;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31849-09-17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;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יום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20.11.2018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השופטת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ר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פרידמן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פלדמן</w:t>
            </w:r>
          </w:p>
        </w:tc>
      </w:tr>
    </w:tbl>
    <w:p>
      <w:pPr>
        <w:pStyle w:val="Ruller31"/>
        <w:spacing w:lineRule="auto" w:line="240"/>
        <w:ind w:end="0"/>
        <w:jc w:val="both"/>
        <w:rPr>
          <w:sz w:val="18"/>
          <w:szCs w:val="24"/>
        </w:rPr>
      </w:pPr>
      <w:r>
        <w:rPr>
          <w:sz w:val="18"/>
          <w:szCs w:val="24"/>
          <w:rtl w:val="true"/>
        </w:rPr>
      </w:r>
    </w:p>
    <w:tbl>
      <w:tblPr>
        <w:bidiVisual w:val="true"/>
        <w:tblW w:w="8364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61"/>
        <w:gridCol w:w="2551"/>
        <w:gridCol w:w="2552"/>
      </w:tblGrid>
      <w:tr>
        <w:trPr/>
        <w:tc>
          <w:tcPr>
            <w:tcW w:w="3261" w:type="dxa"/>
            <w:tcBorders/>
          </w:tcPr>
          <w:p>
            <w:pPr>
              <w:pStyle w:val="BodyRuller1"/>
              <w:ind w:end="0"/>
              <w:jc w:val="start"/>
              <w:rPr>
                <w:rFonts w:ascii="Century" w:hAnsi="Century" w:cs="Century"/>
                <w:spacing w:val="10"/>
                <w:sz w:val="26"/>
                <w:szCs w:val="26"/>
              </w:rPr>
            </w:pPr>
            <w:r>
              <w:rPr>
                <w:rFonts w:ascii="Century" w:hAnsi="Century" w:cs="Century"/>
                <w:spacing w:val="10"/>
                <w:sz w:val="26"/>
                <w:sz w:val="26"/>
                <w:szCs w:val="26"/>
                <w:rtl w:val="true"/>
              </w:rPr>
              <w:t>תאריך הישיבה</w:t>
            </w:r>
            <w:r>
              <w:rPr>
                <w:rFonts w:cs="Century" w:ascii="Century" w:hAnsi="Century"/>
                <w:spacing w:val="10"/>
                <w:sz w:val="26"/>
                <w:szCs w:val="26"/>
                <w:rtl w:val="true"/>
              </w:rPr>
              <w:t>:</w:t>
            </w:r>
          </w:p>
        </w:tc>
        <w:tc>
          <w:tcPr>
            <w:tcW w:w="2551" w:type="dxa"/>
            <w:tcBorders/>
          </w:tcPr>
          <w:p>
            <w:pPr>
              <w:pStyle w:val="BodyRuller1"/>
              <w:ind w:end="0"/>
              <w:jc w:val="start"/>
              <w:rPr>
                <w:rFonts w:ascii="Century" w:hAnsi="Century" w:cs="Century"/>
                <w:spacing w:val="10"/>
                <w:sz w:val="26"/>
                <w:szCs w:val="26"/>
              </w:rPr>
            </w:pPr>
            <w:r>
              <w:rPr>
                <w:rFonts w:ascii="Century" w:hAnsi="Century" w:cs="Century"/>
                <w:spacing w:val="10"/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Century" w:ascii="Century" w:hAnsi="Century"/>
                <w:spacing w:val="10"/>
                <w:sz w:val="26"/>
                <w:szCs w:val="26"/>
                <w:rtl w:val="true"/>
              </w:rPr>
              <w:t>"</w:t>
            </w:r>
            <w:r>
              <w:rPr>
                <w:rFonts w:ascii="Century" w:hAnsi="Century" w:cs="Century"/>
                <w:spacing w:val="10"/>
                <w:sz w:val="26"/>
                <w:sz w:val="26"/>
                <w:szCs w:val="26"/>
                <w:rtl w:val="true"/>
              </w:rPr>
              <w:t>ז בשבט התשע</w:t>
            </w:r>
            <w:r>
              <w:rPr>
                <w:rFonts w:cs="Century" w:ascii="Century" w:hAnsi="Century"/>
                <w:spacing w:val="10"/>
                <w:sz w:val="26"/>
                <w:szCs w:val="26"/>
                <w:rtl w:val="true"/>
              </w:rPr>
              <w:t>"</w:t>
            </w:r>
            <w:r>
              <w:rPr>
                <w:rFonts w:ascii="Century" w:hAnsi="Century" w:cs="Century"/>
                <w:spacing w:val="10"/>
                <w:sz w:val="26"/>
                <w:sz w:val="26"/>
                <w:szCs w:val="26"/>
                <w:rtl w:val="true"/>
              </w:rPr>
              <w:t>ט</w:t>
            </w:r>
          </w:p>
        </w:tc>
        <w:tc>
          <w:tcPr>
            <w:tcW w:w="2552" w:type="dxa"/>
            <w:tcBorders/>
          </w:tcPr>
          <w:p>
            <w:pPr>
              <w:pStyle w:val="BodyRuller1"/>
              <w:ind w:end="0"/>
              <w:jc w:val="start"/>
              <w:rPr>
                <w:rFonts w:ascii="Century" w:hAnsi="Century" w:cs="Century"/>
                <w:spacing w:val="10"/>
                <w:sz w:val="26"/>
                <w:szCs w:val="26"/>
              </w:rPr>
            </w:pPr>
            <w:r>
              <w:rPr>
                <w:rFonts w:cs="Century" w:ascii="Century" w:hAnsi="Century"/>
                <w:spacing w:val="10"/>
                <w:sz w:val="26"/>
                <w:szCs w:val="26"/>
                <w:rtl w:val="true"/>
              </w:rPr>
              <w:t>(</w:t>
            </w:r>
            <w:r>
              <w:rPr>
                <w:rFonts w:cs="Century" w:ascii="Century" w:hAnsi="Century"/>
                <w:spacing w:val="10"/>
                <w:sz w:val="26"/>
                <w:szCs w:val="26"/>
              </w:rPr>
              <w:t>23.1.2019</w:t>
            </w:r>
            <w:r>
              <w:rPr>
                <w:rFonts w:cs="Century" w:ascii="Century" w:hAnsi="Century"/>
                <w:spacing w:val="10"/>
                <w:sz w:val="26"/>
                <w:szCs w:val="26"/>
                <w:rtl w:val="true"/>
              </w:rPr>
              <w:t>)</w:t>
            </w:r>
          </w:p>
        </w:tc>
      </w:tr>
    </w:tbl>
    <w:p>
      <w:pPr>
        <w:pStyle w:val="Ruller31"/>
        <w:spacing w:lineRule="auto" w:line="240"/>
        <w:ind w:end="0"/>
        <w:jc w:val="start"/>
        <w:rPr>
          <w:sz w:val="18"/>
          <w:szCs w:val="24"/>
        </w:rPr>
      </w:pPr>
      <w:r>
        <w:rPr>
          <w:sz w:val="18"/>
          <w:szCs w:val="24"/>
          <w:rtl w:val="true"/>
        </w:rPr>
      </w:r>
    </w:p>
    <w:tbl>
      <w:tblPr>
        <w:bidiVisual w:val="true"/>
        <w:tblW w:w="8364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64"/>
        <w:gridCol w:w="5100"/>
      </w:tblGrid>
      <w:tr>
        <w:trPr/>
        <w:tc>
          <w:tcPr>
            <w:tcW w:w="326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0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שאול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עזרא</w:t>
            </w:r>
          </w:p>
        </w:tc>
      </w:tr>
      <w:tr>
        <w:trPr/>
        <w:tc>
          <w:tcPr>
            <w:tcW w:w="326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המשיבה</w:t>
            </w:r>
            <w:r>
              <w:rPr>
                <w:rtl w:val="true"/>
              </w:rPr>
              <w:t>:</w:t>
            </w:r>
          </w:p>
        </w:tc>
        <w:tc>
          <w:tcPr>
            <w:tcW w:w="510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נילי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פינקלשטיין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bookmarkStart w:id="5" w:name="LawTable"/>
      <w:bookmarkEnd w:id="5"/>
      <w:r>
        <w:rPr>
          <w:rFonts w:ascii="FrankRuehl" w:hAnsi="FrankRuehl"/>
          <w:spacing w:val="0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hyperlink r:id="rId3"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1977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  <w:r>
        <w:rPr>
          <w:rFonts w:ascii="FrankRuehl" w:hAnsi="FrankRuehl"/>
          <w:spacing w:val="0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333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335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380</w:t>
        </w:r>
      </w:hyperlink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cs="FrankRuehl" w:ascii="FrankRuehl" w:hAnsi="FrankRuehl"/>
          <w:spacing w:val="0"/>
          <w:sz w:val="24"/>
          <w:szCs w:val="24"/>
          <w:rtl w:val="true"/>
        </w:rPr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bookmarkStart w:id="6" w:name="ABSTRACT_START"/>
      <w:bookmarkStart w:id="7" w:name="LawTable_End"/>
      <w:bookmarkEnd w:id="6"/>
      <w:bookmarkEnd w:id="7"/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מיני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-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רציו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נדחה ערעור על העונש שהושת על המערער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שכלל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</w:rPr>
        <w:t>36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חודשי מאסר בפועל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בגין ביצוע עבירות אלימות חמורות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 עמד על הצורך לעקור מן השורש את נגע האלימות הפושה בחברה ואת תופעת השימוש בנשק קר ליישוב סכסוכים ולנקוט בענישה משמעותית לשם כך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ופסק כי עונשו של המערער מבטא באופן ראוי את מכלול שיקולי הענישה ואין מקום להתערב בו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עבירות אלימות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התערבות ערכאת ערעור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שיקולים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עונשין – ענישה – מתחם הענישה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המערער הורשע בבימ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 המחוזי בעבירות של חבלה חמורה בנסיבות מחמירות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ותקיפה הגורמת חבלה ממשית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 המחוזי קבע כי מתחם העונש ההולם נע בין שנה ל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-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</w:rPr>
        <w:t>3.5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שנות מאסר בפועל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(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להלן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מתחם העונש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),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והטיל על המערער עונש כולל של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</w:rPr>
        <w:t>36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חודשי מאסר לריצוי בפועל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מתוכם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</w:rPr>
        <w:t>3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חודשי מאסר מותנה שהופעל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ומאסר מותנה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הערעור נסב על חומרת העונש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בית המשפט העליון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(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מפי השופט קרא ובהסכמת השופטים סולברג ואלרון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דחה את הערעור ופסק כי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התערבות ערכאת הערעור בעונש שקבעה הערכאה הדיונית שמורה למקרים חריגים שבהם נפלה טעות מהותית בגזר הדין או כשהעונש חורג במידה ניכרת ממדיניות הענישה הנוהגת או הראויה במקרים דומים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עניינו של המערער אינו עומד באמות מידה אלו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במקרה זה תחילת האירוע בוויכוח שפרץ בין המערער למתלונן במקום ציבורי בשל עניין של מה בכך וסופו בחבלה שהצריכה טיפול רפואי משמעותי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בשל שימוש שעשה המערער בנשק קר – בקבוק שבור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אף שבשלב הראשון הותקף המערער בידי המתלונן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בחזרתו למקום האירוע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לאחר שכבר הסתיים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כשבידו הבקבוק השבור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הביא המערער להסלמה והובילו לתוצאות האמורות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כבר נפסק אודות הצורך לעקור מן השורש את נגע האלימות הפושה בחברה ואת תופעת השימוש בנשק קר ליישוב סכסוכים ולנקוט בענישה משמעותית לשם כך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מנעד הענישה מגוון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וכל מקרה על פי נסיבותיו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במקרה זה בימ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 קמא התייחס לענישה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על צידה המחמיר והמקל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וקבע מתחם ענישה תוך מתן משקל ראוי לכלל נסיבות האירוע לחומרה ולקולא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בכלל זה ניתן משקל מכריע לעובדה כי חלקו השני של האירוע התרחש בשל החלטת המערער לחזור למקום כשהוא מצויד בבקבוק השבור והנזק המשמעותי שנגרם למתלונן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לצד זאת ניתן משקל גם לנסיבות לקולא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שעיקרן בכך שחלקו הראשון של האירוע היה ספונטני ובמהלכו הותקף המערער על ידי המתלונן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בנסיבות אלו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מתחם העונש משקף איזון ראוי בין השיקולים ואין בטענות המערער כדי להצדיק התערבות בו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כך גם באשר לקביעת עונשו של המערער בגדר המתחם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ברף העליון שבו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לחובת המערער נזקף עברו הפלילי המכביד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הכולל עבירות אלימות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עונשי המאסר המשמעותיים שריצה בעבר ועונשי המאסר המותנים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לרבות עונש המאסר המותנה שהיה תלוי ועומד נגדו בעת ביצוע העבירות כאן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לא הרתיעו את המערער מלשוב ולבצע עבירות אלימות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נסיבות הקולה שהציג המערער נשקלו בבימ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 קמא ובהם הפגיעה הצפויה במשפחתו והסולחה בין המערער למתלונן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סולחה עשויה אמנם להוות שיקול לקולה בגזירת העונש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אולם זאת כשהיא נלווית להודאה וחרטה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מסמכי הסולחה אינם מלמדים על חרטה והודאה מצד המערער ואין בהם כדי להצדיק הקלה בעונש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המערער מימש את זכותו לנהל משפט הוכחות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הדבר לא נזקף לחובתו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אלא שנמנעה ממנו ההקלה השמורה למי שמודה בתחילת ההליך בשל נטילת האחריות והחיסכון בזמן שיפוטי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כמו כן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לנוכח הפער בין מידת האלימות וחלקו של המערער בשלב השני של האירוע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עת שב למקום האירוע מספר דקות לאחר שחלקו הראשון הסתיים ללא נפגעים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ואז דקר את המתלונן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אין בסיס לטענת אכיפה בררנית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לסיכום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לא נמצא מקום להתערבות בעונשו של המערער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המבטא באופן ראוי את מכלול שיקולי הענישה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31"/>
        <w:spacing w:lineRule="auto" w:line="240"/>
        <w:ind w:end="0"/>
        <w:jc w:val="start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cs="Times New Roman;Times New Roman"/>
          <w:spacing w:val="0"/>
          <w:sz w:val="24"/>
          <w:szCs w:val="26"/>
          <w:rtl w:val="true"/>
        </w:rPr>
      </w:r>
      <w:bookmarkStart w:id="8" w:name="ABSTRACT_END"/>
      <w:bookmarkStart w:id="9" w:name="ABSTRACT_END"/>
      <w:bookmarkEnd w:id="9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spacing w:lineRule="auto" w:line="240"/>
              <w:ind w:end="0"/>
              <w:jc w:val="center"/>
              <w:rPr/>
            </w:pPr>
            <w:bookmarkStart w:id="10" w:name="PsakDin"/>
            <w:bookmarkStart w:id="11" w:name="BeginProtocol"/>
            <w:bookmarkStart w:id="12" w:name="secretary"/>
            <w:bookmarkEnd w:id="10"/>
            <w:bookmarkEnd w:id="11"/>
            <w:bookmarkEnd w:id="12"/>
            <w:r>
              <w:rPr>
                <w:rtl w:val="true"/>
              </w:rPr>
              <w:t>פסק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קרא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בירושלים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השופטת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פרידמן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פלדמן</w:t>
      </w:r>
      <w:r>
        <w:rPr>
          <w:rtl w:val="true"/>
        </w:rPr>
        <w:t xml:space="preserve">) </w:t>
      </w:r>
      <w:r>
        <w:rPr>
          <w:rtl w:val="true"/>
        </w:rPr>
        <w:t>ב</w:t>
      </w:r>
      <w:hyperlink r:id="rId7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31849-09-17</w:t>
        </w:r>
      </w:hyperlink>
      <w:r>
        <w:rPr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20.11.2018</w:t>
      </w:r>
      <w:r>
        <w:rPr>
          <w:rtl w:val="true"/>
        </w:rPr>
        <w:t xml:space="preserve">, </w:t>
      </w:r>
      <w:r>
        <w:rPr>
          <w:rtl w:val="true"/>
        </w:rPr>
        <w:t>בגדרו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מתוכם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מותנה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שהופעל</w:t>
      </w:r>
      <w:r>
        <w:rPr>
          <w:rtl w:val="true"/>
        </w:rPr>
        <w:t xml:space="preserve">, </w:t>
      </w:r>
      <w:r>
        <w:rPr>
          <w:rtl w:val="true"/>
        </w:rPr>
        <w:t>ומאסר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רקע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7.10.2018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ניהול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הוכחות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333</w:t>
        </w:r>
      </w:hyperlink>
      <w:r>
        <w:rPr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hyperlink r:id="rId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החוק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ותקיפה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הגורמת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ממשית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380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תמצית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כתב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/>
        <w:t>2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3.9.2017</w:t>
      </w:r>
      <w:r>
        <w:rPr>
          <w:rtl w:val="true"/>
        </w:rPr>
        <w:t xml:space="preserve"> </w:t>
      </w:r>
      <w:r>
        <w:rPr>
          <w:rtl w:val="true"/>
        </w:rPr>
        <w:t>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לשעה</w:t>
      </w:r>
      <w:r>
        <w:rPr>
          <w:rFonts w:eastAsia="Arial TUR;Arial" w:cs="Arial TUR;Arial"/>
          <w:rtl w:val="true"/>
        </w:rPr>
        <w:t xml:space="preserve"> </w:t>
      </w:r>
      <w:r>
        <w:rPr/>
        <w:t>02:00</w:t>
      </w:r>
      <w:r>
        <w:rPr>
          <w:rtl w:val="true"/>
        </w:rPr>
        <w:t xml:space="preserve"> </w:t>
      </w:r>
      <w:r>
        <w:rPr>
          <w:rtl w:val="true"/>
        </w:rPr>
        <w:t>שהו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Century"/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שיכונו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>: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המתלוננים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ביחד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הוורדים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בירושלים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השפעת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אלכוהול</w:t>
      </w:r>
      <w:r>
        <w:rPr>
          <w:rtl w:val="true"/>
        </w:rPr>
        <w:t xml:space="preserve">.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סטרו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ברגלו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שרט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בחזהו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בקבוק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זכוכית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הבקבוק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השבור</w:t>
      </w:r>
      <w:r>
        <w:rPr>
          <w:rtl w:val="true"/>
        </w:rPr>
        <w:t xml:space="preserve">) </w:t>
      </w:r>
      <w:r>
        <w:rPr>
          <w:rtl w:val="true"/>
        </w:rPr>
        <w:t>ולאחר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עזב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המקום</w:t>
      </w:r>
      <w:r>
        <w:rPr>
          <w:rtl w:val="true"/>
        </w:rPr>
        <w:t xml:space="preserve">.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אוחז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בבקבוק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השבור</w:t>
      </w:r>
      <w:r>
        <w:rPr>
          <w:rtl w:val="true"/>
        </w:rPr>
        <w:t xml:space="preserve">, </w:t>
      </w:r>
      <w:r>
        <w:rPr>
          <w:rtl w:val="true"/>
        </w:rPr>
        <w:t>ניגש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החזיק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חפץ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ודקר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הבקבוק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השבור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מהמקום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חתך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השמאלית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נזקק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לניתוח</w:t>
      </w:r>
      <w:r>
        <w:rPr>
          <w:rtl w:val="true"/>
        </w:rPr>
        <w:t xml:space="preserve">, </w:t>
      </w:r>
      <w:r>
        <w:rPr>
          <w:rtl w:val="true"/>
        </w:rPr>
        <w:t>לגיבוס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פיזיותרפי</w:t>
      </w:r>
      <w:r>
        <w:rPr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ההליך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המחוזי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שדקר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שעזב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שנשמעו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והוצגו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ראיות</w:t>
      </w:r>
      <w:r>
        <w:rPr>
          <w:rtl w:val="true"/>
        </w:rPr>
        <w:t xml:space="preserve">,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שהתעמת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הנדרשת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שדקר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דינו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קמא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בבואו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בביעורן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והביטחון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הנהוגה</w:t>
      </w:r>
      <w:r>
        <w:rPr>
          <w:rtl w:val="true"/>
        </w:rPr>
        <w:t xml:space="preserve">, </w:t>
      </w:r>
      <w:r>
        <w:rPr>
          <w:rtl w:val="true"/>
        </w:rPr>
        <w:t>הנעה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נסיבותיו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בחפץ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;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בחירתו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ולדקור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לעזוב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. </w:t>
      </w:r>
      <w:r>
        <w:rPr>
          <w:rtl w:val="true"/>
        </w:rPr>
        <w:t>לקולה</w:t>
      </w:r>
      <w:r>
        <w:rPr>
          <w:rtl w:val="true"/>
        </w:rPr>
        <w:t xml:space="preserve">, </w:t>
      </w:r>
      <w:r>
        <w:rPr>
          <w:rtl w:val="true"/>
        </w:rPr>
        <w:t>הביא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תחילת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מתוכננת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הותקף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בקבוק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מראש</w:t>
      </w:r>
      <w:r>
        <w:rPr>
          <w:rtl w:val="true"/>
        </w:rPr>
        <w:t xml:space="preserve">. </w:t>
      </w:r>
      <w:r>
        <w:rPr>
          <w:rtl w:val="true"/>
        </w:rPr>
        <w:t>בהתחשב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וחצי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בקביעת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, </w:t>
      </w:r>
      <w:r>
        <w:rPr>
          <w:rtl w:val="true"/>
        </w:rPr>
        <w:t>זקף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המכביד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וריצוי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הנוכחית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שתלוי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ועומד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התחשב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הצפויה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במשפחתו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ובסולחה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שנעשתה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בחלקו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הטיל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/>
        <w:t>33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והפעיל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מותנה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;Arial" w:cs="Arial TUR;Arial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חציו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בחופף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וחציו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במצטבר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התקופה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הכוללת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הועמדה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ומאסר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מותנה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למשך</w:t>
      </w:r>
      <w:r>
        <w:rPr>
          <w:rFonts w:eastAsia="Arial TUR;Arial" w:cs="Arial TUR;Arial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הצדדים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/>
        <w:t>6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לקיצור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 xml:space="preserve">. </w:t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עקרון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שיקולי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קיבלו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ביטוי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, </w:t>
      </w:r>
      <w:r>
        <w:rPr>
          <w:rtl w:val="true"/>
        </w:rPr>
        <w:t>ובכלל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הסולחה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שנעשתה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שבעצם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והודאה</w:t>
      </w:r>
      <w:r>
        <w:rPr>
          <w:rtl w:val="true"/>
        </w:rPr>
        <w:t xml:space="preserve">;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תחילת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מתוכננת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הותקף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; </w:t>
      </w:r>
      <w:r>
        <w:rPr>
          <w:rtl w:val="true"/>
        </w:rPr>
        <w:t>הדקירה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בוצעה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בקבוק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הצטייד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מועד</w:t>
      </w:r>
      <w:r>
        <w:rPr>
          <w:rtl w:val="true"/>
        </w:rPr>
        <w:t xml:space="preserve">; </w:t>
      </w:r>
      <w:r>
        <w:rPr>
          <w:rtl w:val="true"/>
        </w:rPr>
        <w:t>וקיומה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אכיפה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בררנית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הוגשו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שתקפו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נגרמה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הונחה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רפואית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קורבן</w:t>
      </w:r>
      <w:r>
        <w:rPr>
          <w:rtl w:val="true"/>
        </w:rPr>
        <w:t xml:space="preserve">. </w:t>
      </w:r>
      <w:r>
        <w:rPr>
          <w:rtl w:val="true"/>
        </w:rPr>
        <w:t>לבסוף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האישיות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במשפחתו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ובשיקומו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זכותו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לנהל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הוכחות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הולמת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וראויה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. </w:t>
      </w:r>
      <w:r>
        <w:rPr>
          <w:rtl w:val="true"/>
        </w:rPr>
        <w:t>לשיטתה</w:t>
      </w:r>
      <w:r>
        <w:rPr>
          <w:rtl w:val="true"/>
        </w:rPr>
        <w:t xml:space="preserve">,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ובהינתן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להקלה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במיקומו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לסולחה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כהבעת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חרטה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האכיפה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הבררנית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המשמעותי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בייחוד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הסלמת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מחזרתו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הופסק</w:t>
      </w:r>
      <w:r>
        <w:rPr>
          <w:rtl w:val="true"/>
        </w:rPr>
        <w:t xml:space="preserve">. </w:t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לטובת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חפף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בחלקו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שהפעיל</w:t>
      </w:r>
      <w:r>
        <w:rPr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בנימוקי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ושמענו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הגענו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להידחות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9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התערבות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הערכאה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חריגים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ניכרת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הראויה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1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9910/17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גריפולינה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3.5.2018</w:t>
      </w:r>
      <w:r>
        <w:rPr>
          <w:rtl w:val="true"/>
        </w:rPr>
        <w:t xml:space="preserve">); </w:t>
      </w:r>
      <w:hyperlink r:id="rId1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8317/16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אלקיעאן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4.6.2017</w:t>
      </w:r>
      <w:r>
        <w:rPr>
          <w:rFonts w:cs="Century" w:ascii="Century" w:hAnsi="Century"/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10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תחילתו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בוויכוח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שפרץ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ציבורי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וסופו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שהצריכה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רפואי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שימוש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בקבוק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שבור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הותקף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בחזרתו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הסתיים</w:t>
      </w:r>
      <w:r>
        <w:rPr>
          <w:rtl w:val="true"/>
        </w:rPr>
        <w:t xml:space="preserve">, </w:t>
      </w:r>
      <w:r>
        <w:rPr>
          <w:rtl w:val="true"/>
        </w:rPr>
        <w:t>כשבידו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הבקבוק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השבור</w:t>
      </w:r>
      <w:r>
        <w:rPr>
          <w:rtl w:val="true"/>
        </w:rPr>
        <w:t xml:space="preserve">, </w:t>
      </w:r>
      <w:r>
        <w:rPr>
          <w:rtl w:val="true"/>
        </w:rPr>
        <w:t>הביא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להסלמה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והובילו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לתוצאות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האמורות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לעקור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בחברה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תופעת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ליישוב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סכסוכים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ולנקוט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1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4173/07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16.8.2007</w:t>
      </w:r>
      <w:r>
        <w:rPr>
          <w:rtl w:val="true"/>
        </w:rPr>
        <w:t xml:space="preserve">)). </w:t>
      </w:r>
      <w:r>
        <w:rPr>
          <w:rtl w:val="true"/>
        </w:rPr>
        <w:t>אמנם</w:t>
      </w:r>
      <w:r>
        <w:rPr>
          <w:rtl w:val="true"/>
        </w:rPr>
        <w:t xml:space="preserve">, </w:t>
      </w:r>
      <w:r>
        <w:rPr>
          <w:rtl w:val="true"/>
        </w:rPr>
        <w:t>וכפי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מנעד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נסיבותיו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לענישה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המחמיר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ולבסוף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ולקולא</w:t>
      </w:r>
      <w:r>
        <w:rPr>
          <w:rtl w:val="true"/>
        </w:rPr>
        <w:t xml:space="preserve">. </w:t>
      </w:r>
      <w:r>
        <w:rPr>
          <w:rtl w:val="true"/>
        </w:rPr>
        <w:t>בכלל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מכריע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התרחש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החלטתו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מצוייד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בבקבוק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והנזק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המשמעותי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 xml:space="preserve">, </w:t>
      </w:r>
      <w:r>
        <w:rPr>
          <w:rtl w:val="true"/>
        </w:rPr>
        <w:t>שנזקק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לניתוח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ולטיפול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פיזיותרפי</w:t>
      </w:r>
      <w:r>
        <w:rPr>
          <w:rtl w:val="true"/>
        </w:rPr>
        <w:t xml:space="preserve">. </w:t>
      </w:r>
      <w:r>
        <w:rPr>
          <w:rtl w:val="true"/>
        </w:rPr>
        <w:t>לצד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הקולא</w:t>
      </w:r>
      <w:r>
        <w:rPr>
          <w:rtl w:val="true"/>
        </w:rPr>
        <w:t xml:space="preserve">, </w:t>
      </w:r>
      <w:r>
        <w:rPr>
          <w:rtl w:val="true"/>
        </w:rPr>
        <w:t>שעיקרן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שחלקו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ספונטני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ובמהלכו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הותקף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איזון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מצאנו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להצדיק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והשוו</w:t>
      </w:r>
      <w:r>
        <w:rPr>
          <w:rtl w:val="true"/>
        </w:rPr>
        <w:t xml:space="preserve">: </w:t>
      </w:r>
      <w:hyperlink r:id="rId15">
        <w:r>
          <w:rPr>
            <w:rStyle w:val="Hyperlink"/>
            <w:color w:val="0000FF"/>
            <w:u w:val="single"/>
          </w:rPr>
          <w:t>6729/16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סבין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21.12.2017</w:t>
      </w:r>
      <w:r>
        <w:rPr>
          <w:rtl w:val="true"/>
        </w:rPr>
        <w:t xml:space="preserve">); </w:t>
      </w:r>
      <w:hyperlink r:id="rId1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935/14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אוסטרחוביץ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30.11.2014</w:t>
      </w:r>
      <w:r>
        <w:rPr>
          <w:rFonts w:cs="Century" w:ascii="Century" w:hAnsi="Century"/>
          <w:rtl w:val="true"/>
        </w:rPr>
        <w:t>)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12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, </w:t>
      </w:r>
      <w:r>
        <w:rPr>
          <w:rtl w:val="true"/>
        </w:rPr>
        <w:t>ברף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</w:t>
      </w:r>
      <w:r>
        <w:rPr>
          <w:rtl w:val="true"/>
        </w:rPr>
        <w:t xml:space="preserve">. </w:t>
      </w:r>
      <w:r>
        <w:rPr>
          <w:rtl w:val="true"/>
        </w:rPr>
        <w:t>לחובת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נזקף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המכביד</w:t>
      </w:r>
      <w:r>
        <w:rPr>
          <w:rtl w:val="true"/>
        </w:rPr>
        <w:t xml:space="preserve">, </w:t>
      </w:r>
      <w:r>
        <w:rPr>
          <w:rtl w:val="true"/>
        </w:rPr>
        <w:t>הכולל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. </w:t>
      </w:r>
      <w:r>
        <w:rPr>
          <w:rtl w:val="true"/>
        </w:rPr>
        <w:t>עונשי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המשמעותיים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שריצה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ועונשי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המותנים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תלוי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ועומד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הרתיעו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מלשוב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.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שהציג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. </w:t>
      </w:r>
      <w:r>
        <w:rPr>
          <w:rtl w:val="true"/>
        </w:rPr>
        <w:t>בכלל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הובאה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הצפויה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במשפחתו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והסולחה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למתלוננים</w:t>
      </w:r>
      <w:r>
        <w:rPr>
          <w:rtl w:val="true"/>
        </w:rPr>
        <w:t xml:space="preserve">. </w:t>
      </w:r>
      <w:r>
        <w:rPr>
          <w:rtl w:val="true"/>
        </w:rPr>
        <w:t>סולחה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עשויה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בגזירת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נלווית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להודאה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וחרטה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hyperlink r:id="rId1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5998/15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עקול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ובראן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/>
        <w:t>27.6.2016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1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5883/15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ציאם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מזוז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/>
        <w:t>24.11.2016</w:t>
      </w:r>
      <w:r>
        <w:rPr>
          <w:rtl w:val="true"/>
        </w:rPr>
        <w:t xml:space="preserve">); </w:t>
      </w:r>
      <w:hyperlink r:id="rId1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635/05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דענא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חשין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/>
        <w:t>26.11.2007</w:t>
      </w:r>
      <w:r>
        <w:rPr>
          <w:rtl w:val="true"/>
        </w:rPr>
        <w:t xml:space="preserve">)).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מסמכי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הסולחה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שצורפו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מלמדים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והודאה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להצדיק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חרטה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זכותו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לנהל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הוכחות</w:t>
      </w:r>
      <w:r>
        <w:rPr>
          <w:rtl w:val="true"/>
        </w:rPr>
        <w:t xml:space="preserve">. </w:t>
      </w:r>
      <w:r>
        <w:rPr>
          <w:rtl w:val="true"/>
        </w:rPr>
        <w:t>בניגוד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לנטען</w:t>
      </w:r>
      <w:r>
        <w:rPr>
          <w:rtl w:val="true"/>
        </w:rPr>
        <w:t xml:space="preserve">, </w:t>
      </w:r>
      <w:r>
        <w:rPr>
          <w:rtl w:val="true"/>
        </w:rPr>
        <w:t>הדבר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נזקף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נענש</w:t>
      </w:r>
      <w:r>
        <w:rPr>
          <w:rtl w:val="true"/>
        </w:rPr>
        <w:t xml:space="preserve">"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שטען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שנמנעה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ההקלה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בתחילת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נטילת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והחיסכון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הנלווים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>.</w:t>
      </w:r>
      <w:r>
        <w:rPr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מצדיקות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מטעמים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אכיפה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בררנית</w:t>
      </w:r>
      <w:r>
        <w:rPr>
          <w:rtl w:val="true"/>
        </w:rPr>
        <w:t xml:space="preserve">.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הותקף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עמדה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והובאה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בקביעת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. </w:t>
      </w:r>
      <w:r>
        <w:rPr>
          <w:rtl w:val="true"/>
        </w:rPr>
        <w:t>לנוכח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וחלקו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שחלקו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נפגעים</w:t>
      </w:r>
      <w:r>
        <w:rPr>
          <w:rtl w:val="true"/>
        </w:rPr>
        <w:t xml:space="preserve">, </w:t>
      </w:r>
      <w:r>
        <w:rPr>
          <w:rtl w:val="true"/>
        </w:rPr>
        <w:t>ואז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אכיפה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בררנית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14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סיכומם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מצאנו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להתערבותנו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משעונשו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מבטא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.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תלוי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ועומד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הופעל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בחלקו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סוף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26.2.2019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6"/>
        <w:gridCol w:w="2787"/>
        <w:gridCol w:w="2790"/>
      </w:tblGrid>
      <w:tr>
        <w:trPr/>
        <w:tc>
          <w:tcPr>
            <w:tcW w:w="2786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90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;Times New Roman"/>
          <w:sz w:val="16"/>
          <w:rtl w:val="true"/>
        </w:rPr>
        <w:t xml:space="preserve">   </w:t>
      </w:r>
      <w:r>
        <w:rPr>
          <w:sz w:val="16"/>
        </w:rPr>
        <w:t>18091680</w:t>
      </w:r>
      <w:r>
        <w:rPr>
          <w:sz w:val="16"/>
          <w:rtl w:val="true"/>
        </w:rPr>
        <w:t>_</w:t>
      </w:r>
      <w:r>
        <w:rPr>
          <w:sz w:val="16"/>
        </w:rPr>
        <w:t>Q01.docx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עכ</w:t>
      </w:r>
      <w:r>
        <w:rPr>
          <w:sz w:val="16"/>
          <w:sz w:val="16"/>
          <w:rtl w:val="true"/>
        </w:rPr>
        <w:t>ב</w:t>
      </w:r>
      <w:r>
        <w:rPr>
          <w:rtl w:val="true"/>
        </w:rPr>
        <w:t>+</w:t>
      </w:r>
      <w:r>
        <w:rPr>
          <w:rtl w:val="true"/>
        </w:rPr>
        <w:t>סח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20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Fonts w:cs="David;Times New Roman" w:ascii="David;Times New Roman" w:hAnsi="David;Times New Roman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Fonts w:ascii="David;Times New Roman" w:hAnsi="David;Times New Roman"/>
          <w:color w:val="000000"/>
          <w:szCs w:val="22"/>
          <w:rtl w:val="true"/>
        </w:rPr>
        <w:t>נ</w:t>
      </w:r>
      <w:r>
        <w:rPr>
          <w:rFonts w:cs="David;Times New Roman" w:ascii="David;Times New Roman" w:hAnsi="David;Times New Roman"/>
          <w:color w:val="000000"/>
          <w:szCs w:val="22"/>
          <w:rtl w:val="true"/>
        </w:rPr>
        <w:t xml:space="preserve">' </w:t>
      </w:r>
      <w:r>
        <w:rPr>
          <w:rFonts w:ascii="David;Times New Roman" w:hAnsi="David;Times New Roman"/>
          <w:color w:val="000000"/>
          <w:szCs w:val="22"/>
          <w:rtl w:val="true"/>
        </w:rPr>
        <w:t xml:space="preserve">סולברג </w:t>
      </w:r>
      <w:r>
        <w:rPr>
          <w:rFonts w:cs="David;Times New Roman" w:ascii="David;Times New Roman" w:hAnsi="David;Times New Roman"/>
          <w:color w:val="000000"/>
          <w:szCs w:val="22"/>
        </w:rPr>
        <w:t>54678313-9168/18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21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22"/>
      <w:footerReference w:type="default" r:id="rId23"/>
      <w:type w:val="nextPage"/>
      <w:pgSz w:w="11906" w:h="16838"/>
      <w:pgMar w:left="1797" w:right="1797" w:gutter="0" w:header="567" w:top="1701" w:footer="397" w:bottom="1588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David">
    <w:altName w:val="Times New Roman"/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8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;Times New Roman" w:hAnsi="David;Times New Roman" w:cs="David;Times New Roman"/>
        <w:color w:val="000000"/>
        <w:sz w:val="22"/>
        <w:szCs w:val="22"/>
      </w:rPr>
    </w:pP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 xml:space="preserve">עפ </w:t>
    </w:r>
    <w:r>
      <w:rPr>
        <w:rFonts w:cs="David;Times New Roman" w:ascii="David;Times New Roman" w:hAnsi="David;Times New Roman"/>
        <w:color w:val="000000"/>
        <w:sz w:val="22"/>
        <w:szCs w:val="22"/>
      </w:rPr>
      <w:t>9168/18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טארק קשור נ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'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;Times New Roman" w:hAnsi="Times New Roman;Times New Roman" w:eastAsia="Times New Roman;Times New Roman" w:cs="David;Times New Roman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;Times New Roman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;Times New Roman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;Times New Roman"/>
    </w:rPr>
  </w:style>
  <w:style w:type="character" w:styleId="CharChar1">
    <w:name w:val=" Char Char1"/>
    <w:qFormat/>
    <w:rPr>
      <w:rFonts w:cs="David;Times New Roman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;Times New Roman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;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;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;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2981946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333" TargetMode="External"/><Relationship Id="rId5" Type="http://schemas.openxmlformats.org/officeDocument/2006/relationships/hyperlink" Target="http://www.nevo.co.il/law/70301/335.a.1" TargetMode="External"/><Relationship Id="rId6" Type="http://schemas.openxmlformats.org/officeDocument/2006/relationships/hyperlink" Target="http://www.nevo.co.il/law/70301/380" TargetMode="External"/><Relationship Id="rId7" Type="http://schemas.openxmlformats.org/officeDocument/2006/relationships/hyperlink" Target="http://www.nevo.co.il/case/22981946" TargetMode="External"/><Relationship Id="rId8" Type="http://schemas.openxmlformats.org/officeDocument/2006/relationships/hyperlink" Target="http://www.nevo.co.il/law/70301/333" TargetMode="External"/><Relationship Id="rId9" Type="http://schemas.openxmlformats.org/officeDocument/2006/relationships/hyperlink" Target="http://www.nevo.co.il/law/70301/335.a.1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0301/380" TargetMode="External"/><Relationship Id="rId12" Type="http://schemas.openxmlformats.org/officeDocument/2006/relationships/hyperlink" Target="http://www.nevo.co.il/case/23751286" TargetMode="External"/><Relationship Id="rId13" Type="http://schemas.openxmlformats.org/officeDocument/2006/relationships/hyperlink" Target="http://www.nevo.co.il/case/21524670" TargetMode="External"/><Relationship Id="rId14" Type="http://schemas.openxmlformats.org/officeDocument/2006/relationships/hyperlink" Target="http://www.nevo.co.il/case/637380" TargetMode="External"/><Relationship Id="rId15" Type="http://schemas.openxmlformats.org/officeDocument/2006/relationships/hyperlink" Target="http://www.nevo.co.il/case/21479224" TargetMode="External"/><Relationship Id="rId16" Type="http://schemas.openxmlformats.org/officeDocument/2006/relationships/hyperlink" Target="http://www.nevo.co.il/case/18653821" TargetMode="External"/><Relationship Id="rId17" Type="http://schemas.openxmlformats.org/officeDocument/2006/relationships/hyperlink" Target="http://www.nevo.co.il/case/21472945" TargetMode="External"/><Relationship Id="rId18" Type="http://schemas.openxmlformats.org/officeDocument/2006/relationships/hyperlink" Target="http://www.nevo.co.il/case/21472953" TargetMode="External"/><Relationship Id="rId19" Type="http://schemas.openxmlformats.org/officeDocument/2006/relationships/hyperlink" Target="http://www.nevo.co.il/case/5714901" TargetMode="External"/><Relationship Id="rId20" Type="http://schemas.openxmlformats.org/officeDocument/2006/relationships/hyperlink" Target="http://supreme.court.gov.il/" TargetMode="External"/><Relationship Id="rId21" Type="http://schemas.openxmlformats.org/officeDocument/2006/relationships/hyperlink" Target="http://www.nevo.co.il/advertisements/nevo-100.doc" TargetMode="External"/><Relationship Id="rId22" Type="http://schemas.openxmlformats.org/officeDocument/2006/relationships/header" Target="header1.xml"/><Relationship Id="rId23" Type="http://schemas.openxmlformats.org/officeDocument/2006/relationships/footer" Target="footer1.xml"/><Relationship Id="rId24" Type="http://schemas.openxmlformats.org/officeDocument/2006/relationships/fontTable" Target="fontTable.xml"/><Relationship Id="rId25" Type="http://schemas.openxmlformats.org/officeDocument/2006/relationships/settings" Target="settings.xml"/><Relationship Id="rId2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2019-02-28T11:21:00Z</dcterms:created>
  <dc:creator>h3</dc:creator>
  <dc:description/>
  <cp:keywords/>
  <dc:language>en-IL</dc:language>
  <cp:lastModifiedBy>orly</cp:lastModifiedBy>
  <cp:lastPrinted>2019-02-26T15:02:00Z</cp:lastPrinted>
  <dcterms:modified xsi:type="dcterms:W3CDTF">2019-02-28T11:21:00Z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טארק קשור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22981946:2;23751286;21524670;637380;21479224;18653821;21472945;21472953;5714901</vt:lpwstr>
  </property>
  <property fmtid="{D5CDD505-2E9C-101B-9397-08002B2CF9AE}" pid="9" name="CITY">
    <vt:lpwstr/>
  </property>
  <property fmtid="{D5CDD505-2E9C-101B-9397-08002B2CF9AE}" pid="10" name="DATE">
    <vt:lpwstr>20190226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נ' סולברג;ג' קרא;י' אלרון</vt:lpwstr>
  </property>
  <property fmtid="{D5CDD505-2E9C-101B-9397-08002B2CF9AE}" pid="14" name="LAWLISTTMP1">
    <vt:lpwstr>70301/333;335.a.1;380</vt:lpwstr>
  </property>
  <property fmtid="{D5CDD505-2E9C-101B-9397-08002B2CF9AE}" pid="15" name="LAWYER">
    <vt:lpwstr>נילי פינקלשטיין;שאול עזרא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פאני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>עונשין</vt:lpwstr>
  </property>
  <property fmtid="{D5CDD505-2E9C-101B-9397-08002B2CF9AE}" pid="29" name="NOSE13">
    <vt:lpwstr>עונשין</vt:lpwstr>
  </property>
  <property fmtid="{D5CDD505-2E9C-101B-9397-08002B2CF9AE}" pid="30" name="NOSE14">
    <vt:lpwstr>עונשין</vt:lpwstr>
  </property>
  <property fmtid="{D5CDD505-2E9C-101B-9397-08002B2CF9AE}" pid="31" name="NOSE15">
    <vt:lpwstr/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77;77;77;77</vt:lpwstr>
  </property>
  <property fmtid="{D5CDD505-2E9C-101B-9397-08002B2CF9AE}" pid="37" name="NOSE21">
    <vt:lpwstr>ענישה</vt:lpwstr>
  </property>
  <property fmtid="{D5CDD505-2E9C-101B-9397-08002B2CF9AE}" pid="38" name="NOSE210">
    <vt:lpwstr/>
  </property>
  <property fmtid="{D5CDD505-2E9C-101B-9397-08002B2CF9AE}" pid="39" name="NOSE22">
    <vt:lpwstr>ענישה</vt:lpwstr>
  </property>
  <property fmtid="{D5CDD505-2E9C-101B-9397-08002B2CF9AE}" pid="40" name="NOSE23">
    <vt:lpwstr>ענישה</vt:lpwstr>
  </property>
  <property fmtid="{D5CDD505-2E9C-101B-9397-08002B2CF9AE}" pid="41" name="NOSE24">
    <vt:lpwstr>ענישה</vt:lpwstr>
  </property>
  <property fmtid="{D5CDD505-2E9C-101B-9397-08002B2CF9AE}" pid="42" name="NOSE25">
    <vt:lpwstr/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1446;1446;1446;1446</vt:lpwstr>
  </property>
  <property fmtid="{D5CDD505-2E9C-101B-9397-08002B2CF9AE}" pid="48" name="NOSE31">
    <vt:lpwstr>מדיניות ענישה: עבירות אלימות</vt:lpwstr>
  </property>
  <property fmtid="{D5CDD505-2E9C-101B-9397-08002B2CF9AE}" pid="49" name="NOSE310">
    <vt:lpwstr/>
  </property>
  <property fmtid="{D5CDD505-2E9C-101B-9397-08002B2CF9AE}" pid="50" name="NOSE32">
    <vt:lpwstr>מדיניות ענישה: התערבות ערכאת ערעור</vt:lpwstr>
  </property>
  <property fmtid="{D5CDD505-2E9C-101B-9397-08002B2CF9AE}" pid="51" name="NOSE33">
    <vt:lpwstr>מדיניות ענישה: שיקולים</vt:lpwstr>
  </property>
  <property fmtid="{D5CDD505-2E9C-101B-9397-08002B2CF9AE}" pid="52" name="NOSE34">
    <vt:lpwstr>מתחם הענישה</vt:lpwstr>
  </property>
  <property fmtid="{D5CDD505-2E9C-101B-9397-08002B2CF9AE}" pid="53" name="NOSE35">
    <vt:lpwstr/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8984;8982;8994;14985</vt:lpwstr>
  </property>
  <property fmtid="{D5CDD505-2E9C-101B-9397-08002B2CF9AE}" pid="59" name="PADIDATE">
    <vt:lpwstr>20190228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</vt:lpwstr>
  </property>
  <property fmtid="{D5CDD505-2E9C-101B-9397-08002B2CF9AE}" pid="64" name="PROCNUM">
    <vt:lpwstr>9168</vt:lpwstr>
  </property>
  <property fmtid="{D5CDD505-2E9C-101B-9397-08002B2CF9AE}" pid="65" name="PROCYEAR">
    <vt:lpwstr>18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410120190226</vt:lpwstr>
  </property>
  <property fmtid="{D5CDD505-2E9C-101B-9397-08002B2CF9AE}" pid="69" name="TYPE_N_DATE">
    <vt:lpwstr>41020190226</vt:lpwstr>
  </property>
  <property fmtid="{D5CDD505-2E9C-101B-9397-08002B2CF9AE}" pid="70" name="VOLUME">
    <vt:lpwstr/>
  </property>
  <property fmtid="{D5CDD505-2E9C-101B-9397-08002B2CF9AE}" pid="71" name="WORDNUMPAGES">
    <vt:lpwstr>7</vt:lpwstr>
  </property>
</Properties>
</file>