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9203/18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אלעד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גבר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היועץ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לממשלה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לומפ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תה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62059-12-17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21.10.2018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2.5.2019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אביגדור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פלדמן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יהל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עובד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ימימה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אברמוביץ</w:t>
            </w:r>
            <w:r>
              <w:rPr>
                <w:rtl w:val="true"/>
              </w:rPr>
              <w:t>'</w:t>
              <w:tab/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קרוננברג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ההסגרה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1954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ישראל – מדינת הלאום של העם היהודי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428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כבוד האדם וחירותו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לנשיאת עונש מאסר במדינת אזרחותו של האסיר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1996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8" w:name="Links_Start"/>
      <w:bookmarkEnd w:id="8"/>
      <w:r>
        <w:rPr>
          <w:rFonts w:ascii="FrankRuehl" w:hAnsi="FrankRuehl" w:cs="FrankRuehl"/>
          <w:sz w:val="24"/>
          <w:sz w:val="24"/>
          <w:rtl w:val="true"/>
        </w:rPr>
        <w:t>ספרות</w:t>
      </w:r>
      <w:hyperlink r:id="rId22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אסף הרדוף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הפשע המקוון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</w:rPr>
          <w:t>2010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9" w:name="Links_Kitvei_Start"/>
      <w:bookmarkStart w:id="10" w:name="Links_End"/>
      <w:bookmarkStart w:id="11" w:name="Links_Kitvei_Start"/>
      <w:bookmarkStart w:id="12" w:name="Links_End"/>
      <w:bookmarkEnd w:id="11"/>
      <w:bookmarkEnd w:id="12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13" w:name="Links_Kitvei_Start"/>
      <w:bookmarkEnd w:id="13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24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שגית מור ואסנת עין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דור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עדות מוגבלת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מוגבלות וקול בהליך הפלילי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משפט וממשל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כרך טז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דצמבר </w:t>
        </w:r>
        <w:r>
          <w:rPr>
            <w:rStyle w:val="Hyperlink"/>
            <w:rFonts w:cs="FrankRuehl" w:ascii="FrankRuehl" w:hAnsi="FrankRuehl"/>
            <w:sz w:val="24"/>
          </w:rPr>
          <w:t>2014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187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4" w:name="Links_Kitvei_End"/>
      <w:bookmarkStart w:id="15" w:name="Links_Kitvei_End"/>
      <w:bookmarkEnd w:id="15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16" w:name="ABSTRACT_START"/>
      <w:bookmarkEnd w:id="16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מרבית הזיקות של העבירות המיוחסות למערער קשורות בעבותות לארצות הברית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וכי אין להתערב בקביעה בדבר הסגרתו אליה לצורך העמדתו לדין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לא מצא כי השיהוי בנקיטת ההליכים נגד המערער עולה כדי פגיעה בתקנת הציבור במידה שתצדיק אי הסגרה וכך גם בנוגע לסבל שעשוי להיגרם לו מההסגרה בשל מצבו הרפואי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אף לא מצא כי למערער עומדת הגנה מן הצדק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משלא הוכח כי ההחלטה להסגירו נגועה באכיפה בררנית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 – סייגים להסגרה – מרכז הכובד של העבירה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 – סייגים להסגרה – תקנת הציבור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 – סייגים להסגרה – התיישנות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 – סייגים להסגרה – הגנה מן הצדק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 – סייגים להסגרה – התיישנות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ערעור על פסק דין של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 בו הוכרז המערער כבר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 לארצות הברית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נגד המערער הוגש כתב אישום לבימ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 הפדרלי של מדינת קליפורניה בגין הפקה של פורנוגרפיית ילדים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כפיה ושידול קטין לביצוע מעשים מיניים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סחיטה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והפצת פורנוגרפיית ילדים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המחלוקת בהליך נסובה על מספר שאלות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האם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מרכז הכובד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של העבירות המיוחסות למערער הוא בארצות הברית או בישראל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השלכת חוק יסוד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הלאום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האם נפל שיהוי בהליכי ההסגרה של המערער במידה שעולה כדי פגיעה בתקנת הציבור או כדי עיוות דין המצדיקים אי הסגרה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האם הסגרת המערער עולה כדי אכיפה בררנית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האם יש הצדקה בריאותית למניעת הסגרת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מפי השופט פוגלמן ובהסכמת השופטות ברק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ארז 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וילנר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דחה את הערעור ופסק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עמד על המסגרת הנורמטיבית של דיני ההסגרה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בציינו כי אין חולק שהתנאים המקדמיים להסגרה מתקיימים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קיים הסכם הסגרה בין ממשלת ישראל לממשלת ארצות הברית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העבירות המיוחסות למערער הן עבירות הסגרה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כמשמעותן בחוק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הראיות שהוצגו בעניין המערער מקיימות את הרף הראייתי הנדרש לצורך הסגרה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למרכז הכובד של העבירות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בענייננו לשתי המדינות יש סמכות שיפוט להעמיד לדין את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ההכרעה בשאלה לאיזו מדינה עדיפות לקיים את הבירור המשפטי נעשית בהתאם למירב הזיקות של העבירות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דהיינו היכן נמצא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מרכז הכובד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של העבירות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ככלל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תינתן עדיפות למקום הפיזי של ביצוע העבירה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אך כל מקרה ייבחן לגופו על פי הזיקות שהוא מקיים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מרכז הכובד במקרה זה מצוי בארצות הברית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אמנם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מקום ביצוע העבירה והחקירה היו בישראל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והמערער הוא אזרח ישראלי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ולכן קיימת זיקה לישראל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ברם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עבירות מסוג זה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באמצעות מחשב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שביצע המערער אינן מוגבלות לתחום טריטוריאלי צר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לפיכך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נכון להצביע על מרכז הכובד בנסיבות אלה לפי מיקומן של הנפגעות בארצות הברית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והערכים החברתיים שנפגעו מצויים בעיקר שם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אף אם המערער ביצע מעשים דומים כלפי קורבנות ישראלים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בכך כדי להסיט את מרכז הכובד שכן מדובר היה בעיקר בפעולות ישירות כלפי קורבנות בישראל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שאינן מתמצות בתווך המקוון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והמערער כבר הועמד לדין על עבירות אלה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אמנם ניהול ההליך אינו צפוי להיות מורכב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משהמערער בחר להודות במיוחס לו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אך הדבר אינו מאיין את הקשר של מעשיו לארצות הברית ואת האינטרס להעמידו לדין שם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הנפגעות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שהמערער ניצל את תמימותן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זכאיות להשמיע קולן בשפתן ובארצן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והאינטרס של המערער לנהל את ההליך בארצו אינו גובר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חקיקת חוק יסוד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הלאום אינה מטה את הכף לטובת אי הסגרה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חוק היסוד לא נועד להגן על עבריינים בישראל ולא שינה את המצב הנורמטיבי המאפשר הסגרה מישראל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וכבר נפסק כי חוק ההסגרה אינו בלתי חוקתי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והמצב הנורמטיבי בהוספת חוק יסוד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הלאום לא השתנה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סייג להסגרה הינו פגיעה בתקנת הציבור שאחת הצורות לה היא שיהוי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במקרה זה אין לומר שהשיהוי בהליכי ההסגרה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חריג במידה המצדיקה את אי הסגרת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אף אם חלק מהשיהוי היה בלתי מחויב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שכן אין מדובר בתוצאה בלתי צודקת ובלתי מידתית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אמנם הזכות להליך הוגן חלה גם בענייני הסגרה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אך לא נמצא כי זכות המערער להליך הוגן בנוגע לניהול הליך ההסגרה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נפגעה בשל פרק הזמן שחלף מאז ביצוע המעשים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 למצער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 נפגעה במידה המצדיקה את אי הסגרתו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טענת המערער לאכיפה בררנית בהשוואה לעניין פלוני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נדחתה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בהעדר הוכחת הפליה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מכל מקום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אף בהנחה שהאכיפה הייתה נבדלת במידת מה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מדובר בפגם חמור בהתנהלות הרשות שיצדיק התערבות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לומר שמצבו הרפואי של המערער – אוטיזם בדרגה גבוהה והפרעות אישיות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וכי הוא אינו מסוגל להתנהל באופן עצמאי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מונע הסגרה או עמידה לדין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הטענה בדבר התיישנות עבירת הסחיטה נדחתה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שכן הן מבחינת הדין הישראלי והן מבחינת הדין במדינת קליפורניה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העבירה לא התיישנה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 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/>
          <w:spacing w:val="0"/>
          <w:szCs w:val="26"/>
          <w:rtl w:val="true"/>
        </w:rPr>
      </w:r>
      <w:bookmarkStart w:id="17" w:name="ABSTRACT_END"/>
      <w:bookmarkStart w:id="18" w:name="ABSTRACT_END"/>
      <w:bookmarkEnd w:id="1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9" w:name="PsakDin"/>
            <w:bookmarkStart w:id="20" w:name="BeginProtocol"/>
            <w:bookmarkStart w:id="21" w:name="secretary"/>
            <w:bookmarkEnd w:id="19"/>
            <w:bookmarkEnd w:id="20"/>
            <w:bookmarkEnd w:id="2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spacing w:lineRule="auto" w:line="36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BODYVERDICT"/>
        <w:spacing w:lineRule="auto" w:line="36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לומפ</w:t>
      </w:r>
      <w:r>
        <w:rPr>
          <w:rtl w:val="true"/>
        </w:rPr>
        <w:t xml:space="preserve">) </w:t>
      </w:r>
      <w:r>
        <w:rPr>
          <w:rtl w:val="true"/>
        </w:rPr>
        <w:t>שבגדרו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1954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הצריכות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13.3.2017</w:t>
      </w:r>
      <w:r>
        <w:rPr>
          <w:rtl w:val="true"/>
        </w:rPr>
        <w:t xml:space="preserve"> </w:t>
      </w:r>
      <w:r>
        <w:rPr>
          <w:rtl w:val="true"/>
        </w:rPr>
        <w:t xml:space="preserve">הגישה ממשלת ארצות הברית בקשה להסגיר לידיה את המערער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ההסגרה</w:t>
      </w:r>
      <w:r>
        <w:rPr>
          <w:rtl w:val="true"/>
        </w:rPr>
        <w:t xml:space="preserve">), </w:t>
      </w:r>
      <w:r>
        <w:rPr>
          <w:rtl w:val="true"/>
        </w:rPr>
        <w:t xml:space="preserve">יליד </w:t>
      </w:r>
      <w:r>
        <w:rPr/>
        <w:t>1982</w:t>
      </w:r>
      <w:r>
        <w:rPr>
          <w:rtl w:val="true"/>
        </w:rPr>
        <w:t xml:space="preserve">. </w:t>
      </w:r>
      <w:r>
        <w:rPr>
          <w:rtl w:val="true"/>
        </w:rPr>
        <w:t>על פי בקשת ההסגרה</w:t>
      </w:r>
      <w:r>
        <w:rPr>
          <w:rtl w:val="true"/>
        </w:rPr>
        <w:t xml:space="preserve">, </w:t>
      </w:r>
      <w:r>
        <w:rPr>
          <w:rtl w:val="true"/>
        </w:rPr>
        <w:t xml:space="preserve">במהלך השנים </w:t>
      </w:r>
      <w:r>
        <w:rPr/>
        <w:t>2011-2010</w:t>
      </w:r>
      <w:r>
        <w:rPr>
          <w:rtl w:val="true"/>
        </w:rPr>
        <w:t xml:space="preserve"> </w:t>
      </w:r>
      <w:r>
        <w:rPr>
          <w:rtl w:val="true"/>
        </w:rPr>
        <w:t>נהג המערע</w:t>
      </w:r>
      <w:bookmarkStart w:id="22" w:name="Carmel"/>
      <w:bookmarkEnd w:id="22"/>
      <w:r>
        <w:rPr>
          <w:rtl w:val="true"/>
        </w:rPr>
        <w:t>ר ליצור קשר עם קטינות באמצעות פלטפורמה מקוונת לצורך תיעודן בעת ביצוע מעשים מיניים</w:t>
      </w:r>
      <w:r>
        <w:rPr>
          <w:rtl w:val="true"/>
        </w:rPr>
        <w:t xml:space="preserve">. </w:t>
      </w:r>
      <w:r>
        <w:rPr>
          <w:rtl w:val="true"/>
        </w:rPr>
        <w:t>המערער הקליט את הקטינות לעתים</w:t>
      </w:r>
      <w:r>
        <w:rPr>
          <w:rtl w:val="true"/>
        </w:rPr>
        <w:t xml:space="preserve">, </w:t>
      </w:r>
      <w:r>
        <w:rPr>
          <w:rtl w:val="true"/>
        </w:rPr>
        <w:t>ללא ידיעתן</w:t>
      </w:r>
      <w:r>
        <w:rPr>
          <w:rtl w:val="true"/>
        </w:rPr>
        <w:t xml:space="preserve">, </w:t>
      </w:r>
      <w:r>
        <w:rPr>
          <w:rtl w:val="true"/>
        </w:rPr>
        <w:t>ולעתים תוך הצגת עצמו כנער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פנה המערער אל הקטינות באמצעות רשתות חברתיות</w:t>
      </w:r>
      <w:r>
        <w:rPr>
          <w:rtl w:val="true"/>
        </w:rPr>
        <w:t xml:space="preserve">, </w:t>
      </w:r>
      <w:r>
        <w:rPr>
          <w:rtl w:val="true"/>
        </w:rPr>
        <w:t>ושידלן לבצע מעשים בעלי אופי מיני בוטה תוך כדי שידור וידאו חי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לפי הבקשה</w:t>
      </w:r>
      <w:r>
        <w:rPr>
          <w:rtl w:val="true"/>
        </w:rPr>
        <w:t xml:space="preserve">, </w:t>
      </w:r>
      <w:r>
        <w:rPr>
          <w:rtl w:val="true"/>
        </w:rPr>
        <w:t>על ידי איומים כי התיעוד שברשותו יועבר למכריהן ולהוריהן אם תסרבנה</w:t>
      </w:r>
      <w:r>
        <w:rPr>
          <w:rtl w:val="true"/>
        </w:rPr>
        <w:t xml:space="preserve">. </w:t>
      </w:r>
      <w:r>
        <w:rPr>
          <w:rtl w:val="true"/>
        </w:rPr>
        <w:t>קטינות רבות נענו לסחיטה שהפעיל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ואחרות סירבו </w:t>
      </w:r>
      <w:r>
        <w:rPr>
          <w:rtl w:val="true"/>
        </w:rPr>
        <w:t>–</w:t>
      </w:r>
      <w:r>
        <w:rPr>
          <w:rtl w:val="true"/>
        </w:rPr>
        <w:t xml:space="preserve"> אז מימש המערער את איומיו</w:t>
      </w:r>
      <w:r>
        <w:rPr>
          <w:rtl w:val="true"/>
        </w:rPr>
        <w:t xml:space="preserve">. </w:t>
      </w:r>
      <w:r>
        <w:rPr>
          <w:rtl w:val="true"/>
        </w:rPr>
        <w:t>לפי הבקשה</w:t>
      </w:r>
      <w:r>
        <w:rPr>
          <w:rtl w:val="true"/>
        </w:rPr>
        <w:t xml:space="preserve">, </w:t>
      </w:r>
      <w:r>
        <w:rPr>
          <w:rtl w:val="true"/>
        </w:rPr>
        <w:t>המשיב פנה בדרך זו לכ</w:t>
      </w:r>
      <w:r>
        <w:rPr>
          <w:rtl w:val="true"/>
        </w:rPr>
        <w:t>-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 xml:space="preserve">קטינות בגילים </w:t>
      </w:r>
      <w:r>
        <w:rPr/>
        <w:t>17-12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והחזיק ברשותו מספר גדול של תמונות וסרטונים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לפי בקשת ההסגרה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15.8.2014</w:t>
      </w:r>
      <w:r>
        <w:rPr>
          <w:rtl w:val="true"/>
        </w:rPr>
        <w:t xml:space="preserve"> </w:t>
      </w:r>
      <w:r>
        <w:rPr>
          <w:rtl w:val="true"/>
        </w:rPr>
        <w:t xml:space="preserve">הוגש כתב אישום נגד המערער לבית המשפט המחוזי הפדרלי של מדינת קליפורניה על ידי חבר מושבעים גדול </w:t>
      </w:r>
      <w:r>
        <w:rPr>
          <w:rtl w:val="true"/>
        </w:rPr>
        <w:t>(</w:t>
      </w:r>
      <w:r>
        <w:rPr>
          <w:rFonts w:cs="Century" w:ascii="Century" w:hAnsi="Century"/>
          <w:sz w:val="22"/>
        </w:rPr>
        <w:t>Grand Jury</w:t>
      </w:r>
      <w:r>
        <w:rPr>
          <w:rtl w:val="true"/>
        </w:rPr>
        <w:t xml:space="preserve">), </w:t>
      </w:r>
      <w:r>
        <w:rPr>
          <w:rFonts w:ascii="Calibri;Arial Rounded MT Bold" w:hAnsi="Calibri;Arial Rounded MT Bold" w:cs="Calibri;Arial Rounded MT Bold"/>
          <w:rtl w:val="true"/>
        </w:rPr>
        <w:t>בגין</w:t>
      </w:r>
      <w:r>
        <w:rPr>
          <w:rFonts w:ascii="Calibri;Arial Rounded MT Bold" w:hAnsi="Calibri;Arial Rounded MT Bold" w:cs="Calibri;Arial Rounded MT Bold"/>
          <w:rtl w:val="true"/>
        </w:rPr>
        <w:t xml:space="preserve"> </w:t>
      </w:r>
      <w:r>
        <w:rPr>
          <w:rFonts w:ascii="Calibri;Arial Rounded MT Bold" w:hAnsi="Calibri;Arial Rounded MT Bold" w:cs="Calibri;Arial Rounded MT Bold"/>
          <w:rtl w:val="true"/>
        </w:rPr>
        <w:t>הפקה</w:t>
      </w:r>
      <w:r>
        <w:rPr>
          <w:rFonts w:ascii="Calibri;Arial Rounded MT Bold" w:hAnsi="Calibri;Arial Rounded MT Bold" w:cs="Calibri;Arial Rounded MT Bold"/>
          <w:rtl w:val="true"/>
        </w:rPr>
        <w:t xml:space="preserve"> </w:t>
      </w:r>
      <w:r>
        <w:rPr>
          <w:rFonts w:ascii="Calibri;Arial Rounded MT Bold" w:hAnsi="Calibri;Arial Rounded MT Bold" w:cs="Calibri;Arial Rounded MT Bold"/>
          <w:rtl w:val="true"/>
        </w:rPr>
        <w:t>של</w:t>
      </w:r>
      <w:r>
        <w:rPr>
          <w:rFonts w:ascii="Calibri;Arial Rounded MT Bold" w:hAnsi="Calibri;Arial Rounded MT Bold" w:cs="Calibri;Arial Rounded MT Bold"/>
          <w:rtl w:val="true"/>
        </w:rPr>
        <w:t xml:space="preserve"> </w:t>
      </w:r>
      <w:r>
        <w:rPr>
          <w:rFonts w:ascii="Calibri;Arial Rounded MT Bold" w:hAnsi="Calibri;Arial Rounded MT Bold" w:cs="Calibri;Arial Rounded MT Bold"/>
          <w:rtl w:val="true"/>
        </w:rPr>
        <w:t>פורנוגרפיית</w:t>
      </w:r>
      <w:r>
        <w:rPr>
          <w:rFonts w:ascii="Calibri;Arial Rounded MT Bold" w:hAnsi="Calibri;Arial Rounded MT Bold" w:cs="Calibri;Arial Rounded MT Bold"/>
          <w:rtl w:val="true"/>
        </w:rPr>
        <w:t xml:space="preserve"> </w:t>
      </w:r>
      <w:r>
        <w:rPr>
          <w:rFonts w:ascii="Calibri;Arial Rounded MT Bold" w:hAnsi="Calibri;Arial Rounded MT Bold" w:cs="Calibri;Arial Rounded MT Bold"/>
          <w:rtl w:val="true"/>
        </w:rPr>
        <w:t>ילדים</w:t>
      </w:r>
      <w:r>
        <w:rPr>
          <w:rFonts w:cs="Calibri;Arial Rounded MT Bold" w:ascii="Calibri;Arial Rounded MT Bold" w:hAnsi="Calibri;Arial Rounded MT Bold"/>
          <w:rtl w:val="true"/>
        </w:rPr>
        <w:t>;</w:t>
      </w:r>
      <w:r>
        <w:rPr>
          <w:rFonts w:cs="Calibri;Arial Rounded MT Bold" w:ascii="Calibri;Arial Rounded MT Bold" w:hAnsi="Calibri;Arial Rounded MT Bold"/>
          <w:rtl w:val="true"/>
        </w:rPr>
        <w:t xml:space="preserve"> </w:t>
      </w:r>
      <w:r>
        <w:rPr>
          <w:rFonts w:ascii="Calibri;Arial Rounded MT Bold" w:hAnsi="Calibri;Arial Rounded MT Bold" w:cs="Calibri;Arial Rounded MT Bold"/>
          <w:rtl w:val="true"/>
        </w:rPr>
        <w:t>כפיה</w:t>
      </w:r>
      <w:r>
        <w:rPr>
          <w:rFonts w:ascii="Calibri;Arial Rounded MT Bold" w:hAnsi="Calibri;Arial Rounded MT Bold" w:cs="Calibri;Arial Rounded MT Bold"/>
          <w:rtl w:val="true"/>
        </w:rPr>
        <w:t xml:space="preserve"> </w:t>
      </w:r>
      <w:r>
        <w:rPr>
          <w:rFonts w:ascii="Calibri;Arial Rounded MT Bold" w:hAnsi="Calibri;Arial Rounded MT Bold" w:cs="Calibri;Arial Rounded MT Bold"/>
          <w:rtl w:val="true"/>
        </w:rPr>
        <w:t>ושידול</w:t>
      </w:r>
      <w:r>
        <w:rPr>
          <w:rFonts w:ascii="Calibri;Arial Rounded MT Bold" w:hAnsi="Calibri;Arial Rounded MT Bold" w:cs="Calibri;Arial Rounded MT Bold"/>
          <w:rtl w:val="true"/>
        </w:rPr>
        <w:t xml:space="preserve"> </w:t>
      </w:r>
      <w:r>
        <w:rPr>
          <w:rFonts w:ascii="Calibri;Arial Rounded MT Bold" w:hAnsi="Calibri;Arial Rounded MT Bold" w:cs="Calibri;Arial Rounded MT Bold"/>
          <w:rtl w:val="true"/>
        </w:rPr>
        <w:t>קטין</w:t>
      </w:r>
      <w:r>
        <w:rPr>
          <w:rFonts w:ascii="Calibri;Arial Rounded MT Bold" w:hAnsi="Calibri;Arial Rounded MT Bold" w:cs="Calibri;Arial Rounded MT Bold"/>
          <w:rtl w:val="true"/>
        </w:rPr>
        <w:t xml:space="preserve"> </w:t>
      </w:r>
      <w:r>
        <w:rPr>
          <w:rFonts w:ascii="Calibri;Arial Rounded MT Bold" w:hAnsi="Calibri;Arial Rounded MT Bold" w:cs="Calibri;Arial Rounded MT Bold"/>
          <w:rtl w:val="true"/>
        </w:rPr>
        <w:t>לביצוע</w:t>
      </w:r>
      <w:r>
        <w:rPr>
          <w:rFonts w:ascii="Calibri;Arial Rounded MT Bold" w:hAnsi="Calibri;Arial Rounded MT Bold" w:cs="Calibri;Arial Rounded MT Bold"/>
          <w:rtl w:val="true"/>
        </w:rPr>
        <w:t xml:space="preserve"> </w:t>
      </w:r>
      <w:r>
        <w:rPr>
          <w:rFonts w:ascii="Calibri;Arial Rounded MT Bold" w:hAnsi="Calibri;Arial Rounded MT Bold" w:cs="Calibri;Arial Rounded MT Bold"/>
          <w:rtl w:val="true"/>
        </w:rPr>
        <w:t>מעשים</w:t>
      </w:r>
      <w:r>
        <w:rPr>
          <w:rFonts w:ascii="Calibri;Arial Rounded MT Bold" w:hAnsi="Calibri;Arial Rounded MT Bold" w:cs="Calibri;Arial Rounded MT Bold"/>
          <w:rtl w:val="true"/>
        </w:rPr>
        <w:t xml:space="preserve"> </w:t>
      </w:r>
      <w:r>
        <w:rPr>
          <w:rFonts w:ascii="Calibri;Arial Rounded MT Bold" w:hAnsi="Calibri;Arial Rounded MT Bold" w:cs="Calibri;Arial Rounded MT Bold"/>
          <w:rtl w:val="true"/>
        </w:rPr>
        <w:t>מיניים</w:t>
      </w:r>
      <w:r>
        <w:rPr>
          <w:rFonts w:cs="Calibri;Arial Rounded MT Bold" w:ascii="Calibri;Arial Rounded MT Bold" w:hAnsi="Calibri;Arial Rounded MT Bold"/>
          <w:rtl w:val="true"/>
        </w:rPr>
        <w:t>;</w:t>
      </w:r>
      <w:r>
        <w:rPr>
          <w:rFonts w:cs="Calibri;Arial Rounded MT Bold" w:ascii="Calibri;Arial Rounded MT Bold" w:hAnsi="Calibri;Arial Rounded MT Bold"/>
          <w:rtl w:val="true"/>
        </w:rPr>
        <w:t xml:space="preserve"> </w:t>
      </w:r>
      <w:r>
        <w:rPr>
          <w:rFonts w:ascii="Calibri;Arial Rounded MT Bold" w:hAnsi="Calibri;Arial Rounded MT Bold" w:cs="Calibri;Arial Rounded MT Bold"/>
          <w:rtl w:val="true"/>
        </w:rPr>
        <w:t>סחיטה</w:t>
      </w:r>
      <w:r>
        <w:rPr>
          <w:rFonts w:cs="Calibri;Arial Rounded MT Bold" w:ascii="Calibri;Arial Rounded MT Bold" w:hAnsi="Calibri;Arial Rounded MT Bold"/>
          <w:rtl w:val="true"/>
        </w:rPr>
        <w:t>;</w:t>
      </w:r>
      <w:r>
        <w:rPr>
          <w:rFonts w:cs="Calibri;Arial Rounded MT Bold" w:ascii="Calibri;Arial Rounded MT Bold" w:hAnsi="Calibri;Arial Rounded MT Bold"/>
          <w:rtl w:val="true"/>
        </w:rPr>
        <w:t xml:space="preserve"> </w:t>
      </w:r>
      <w:r>
        <w:rPr>
          <w:rFonts w:ascii="Calibri;Arial Rounded MT Bold" w:hAnsi="Calibri;Arial Rounded MT Bold" w:cs="Calibri;Arial Rounded MT Bold"/>
          <w:rtl w:val="true"/>
        </w:rPr>
        <w:t>והפצת</w:t>
      </w:r>
      <w:r>
        <w:rPr>
          <w:rFonts w:ascii="Calibri;Arial Rounded MT Bold" w:hAnsi="Calibri;Arial Rounded MT Bold" w:cs="Calibri;Arial Rounded MT Bold"/>
          <w:rtl w:val="true"/>
        </w:rPr>
        <w:t xml:space="preserve"> </w:t>
      </w:r>
      <w:r>
        <w:rPr>
          <w:rFonts w:ascii="Calibri;Arial Rounded MT Bold" w:hAnsi="Calibri;Arial Rounded MT Bold" w:cs="Calibri;Arial Rounded MT Bold"/>
          <w:rtl w:val="true"/>
        </w:rPr>
        <w:t>פורנוגרפי</w:t>
      </w:r>
      <w:r>
        <w:rPr>
          <w:rFonts w:ascii="Calibri;Arial Rounded MT Bold" w:hAnsi="Calibri;Arial Rounded MT Bold" w:cs="Calibri;Arial Rounded MT Bold"/>
          <w:rtl w:val="true"/>
        </w:rPr>
        <w:t>י</w:t>
      </w:r>
      <w:r>
        <w:rPr>
          <w:rFonts w:ascii="Calibri;Arial Rounded MT Bold" w:hAnsi="Calibri;Arial Rounded MT Bold" w:cs="Calibri;Arial Rounded MT Bold"/>
          <w:rtl w:val="true"/>
        </w:rPr>
        <w:t>ת</w:t>
      </w:r>
      <w:r>
        <w:rPr>
          <w:rFonts w:ascii="Calibri;Arial Rounded MT Bold" w:hAnsi="Calibri;Arial Rounded MT Bold" w:cs="Calibri;Arial Rounded MT Bold"/>
          <w:rtl w:val="true"/>
        </w:rPr>
        <w:t xml:space="preserve"> </w:t>
      </w:r>
      <w:r>
        <w:rPr>
          <w:rFonts w:ascii="Calibri;Arial Rounded MT Bold" w:hAnsi="Calibri;Arial Rounded MT Bold" w:cs="Calibri;Arial Rounded MT Bold"/>
          <w:rtl w:val="true"/>
        </w:rPr>
        <w:t>ילדים</w:t>
      </w:r>
      <w:r>
        <w:rPr>
          <w:rFonts w:cs="Calibri;Arial Rounded MT Bold" w:ascii="Calibri;Arial Rounded MT Bold" w:hAnsi="Calibri;Arial Rounded MT Bold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כתב האישום כולל מעשים הנוגעים ל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נפגעות</w:t>
      </w:r>
      <w:r>
        <w:rPr>
          <w:rtl w:val="true"/>
        </w:rPr>
        <w:t xml:space="preserve">. </w:t>
      </w:r>
      <w:r>
        <w:rPr>
          <w:rtl w:val="true"/>
        </w:rPr>
        <w:t>בה בעת</w:t>
      </w:r>
      <w:r>
        <w:rPr>
          <w:rtl w:val="true"/>
        </w:rPr>
        <w:t xml:space="preserve">, </w:t>
      </w:r>
      <w:r>
        <w:rPr>
          <w:rtl w:val="true"/>
        </w:rPr>
        <w:t>הוצא נגד המערער צו מעצר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בקשת ההסגרה נתמכה בתצהיר התובעת לאנה מורטון</w:t>
      </w:r>
      <w:r>
        <w:rPr>
          <w:rtl w:val="true"/>
        </w:rPr>
        <w:t>-</w:t>
      </w:r>
      <w:r>
        <w:rPr>
          <w:rtl w:val="true"/>
        </w:rPr>
        <w:t xml:space="preserve">אוונס </w:t>
      </w:r>
      <w:r>
        <w:rPr>
          <w:rtl w:val="true"/>
        </w:rPr>
        <w:t>(</w:t>
      </w:r>
      <w:r>
        <w:rPr>
          <w:rFonts w:cs="Century" w:ascii="Century" w:hAnsi="Century"/>
          <w:sz w:val="22"/>
        </w:rPr>
        <w:t>Lana Morton-Owens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תצהיר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מורטון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אוונס</w:t>
      </w:r>
      <w:r>
        <w:rPr>
          <w:rtl w:val="true"/>
        </w:rPr>
        <w:t xml:space="preserve">). </w:t>
      </w:r>
      <w:r>
        <w:rPr>
          <w:rtl w:val="true"/>
        </w:rPr>
        <w:t>התצהיר מפרט את הראיות נגד המערער</w:t>
      </w:r>
      <w:r>
        <w:rPr>
          <w:rtl w:val="true"/>
        </w:rPr>
        <w:t xml:space="preserve">: </w:t>
      </w:r>
      <w:r>
        <w:rPr>
          <w:rtl w:val="true"/>
        </w:rPr>
        <w:t>עדויות נפגעות</w:t>
      </w:r>
      <w:r>
        <w:rPr>
          <w:rtl w:val="true"/>
        </w:rPr>
        <w:t xml:space="preserve">, </w:t>
      </w:r>
      <w:r>
        <w:rPr>
          <w:rtl w:val="true"/>
        </w:rPr>
        <w:t>מידע מהפלטפורמות שבהן השתמש המערער</w:t>
      </w:r>
      <w:r>
        <w:rPr>
          <w:rtl w:val="true"/>
        </w:rPr>
        <w:t xml:space="preserve">, </w:t>
      </w:r>
      <w:r>
        <w:rPr>
          <w:rtl w:val="true"/>
        </w:rPr>
        <w:t>תוכן המכשירים הדיגיטליים שנתפסו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1.11.2017</w:t>
      </w:r>
      <w:r>
        <w:rPr>
          <w:rtl w:val="true"/>
        </w:rPr>
        <w:t xml:space="preserve"> </w:t>
      </w:r>
      <w:r>
        <w:rPr>
          <w:rtl w:val="true"/>
        </w:rPr>
        <w:t>הורתה שרת המשפטים להביא את המערער לפני בית המשפט המחוזי בירושלים</w:t>
      </w:r>
      <w:r>
        <w:rPr>
          <w:rtl w:val="true"/>
        </w:rPr>
        <w:t xml:space="preserve">, </w:t>
      </w:r>
      <w:r>
        <w:rPr>
          <w:rtl w:val="true"/>
        </w:rPr>
        <w:t>לצורך קביעה אם הוא 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 כי בד בבד עם הגשת העתירה להכריז על המערער כבר הסגרה</w:t>
      </w:r>
      <w:r>
        <w:rPr>
          <w:rtl w:val="true"/>
        </w:rPr>
        <w:t xml:space="preserve">, </w:t>
      </w:r>
      <w:r>
        <w:rPr>
          <w:rtl w:val="true"/>
        </w:rPr>
        <w:t>הוגשה בקשה למעצרו עד לתום הליכי ההסגרה</w:t>
      </w:r>
      <w:r>
        <w:rPr>
          <w:rtl w:val="true"/>
        </w:rPr>
        <w:t xml:space="preserve">, </w:t>
      </w:r>
      <w:r>
        <w:rPr>
          <w:rtl w:val="true"/>
        </w:rPr>
        <w:t>וכי בהסכמת הצדדים הוא שהה במעצר בפיקוח אלקטרוני תוך כדי ניהול ההליך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להשלמת התמונה</w:t>
      </w:r>
      <w:r>
        <w:rPr>
          <w:rtl w:val="true"/>
        </w:rPr>
        <w:t xml:space="preserve">, </w:t>
      </w:r>
      <w:r>
        <w:rPr>
          <w:rtl w:val="true"/>
        </w:rPr>
        <w:t>יצוין כי מספר שנים לפני הגשת בקשת ההסגרה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2.2.2012</w:t>
      </w:r>
      <w:r>
        <w:rPr>
          <w:rtl w:val="true"/>
        </w:rPr>
        <w:t xml:space="preserve">, </w:t>
      </w:r>
      <w:r>
        <w:rPr>
          <w:rtl w:val="true"/>
        </w:rPr>
        <w:t xml:space="preserve">הרשיע בית משפט השלום בירושלים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רון</w:t>
      </w:r>
      <w:r>
        <w:rPr>
          <w:rtl w:val="true"/>
        </w:rPr>
        <w:t xml:space="preserve">) </w:t>
      </w:r>
      <w:r>
        <w:rPr>
          <w:rtl w:val="true"/>
        </w:rPr>
        <w:t>את המערער על יסוד הודאתו בעבירות של פגיעה במזיד בפרטיות הזולת וחדירה לחומר מחשב שלא כדין</w:t>
      </w:r>
      <w:r>
        <w:rPr>
          <w:rtl w:val="true"/>
        </w:rPr>
        <w:t xml:space="preserve">. </w:t>
      </w:r>
      <w:r>
        <w:rPr>
          <w:rtl w:val="true"/>
        </w:rPr>
        <w:t xml:space="preserve">על המערער הוטל עונש מאסר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אשר בוצעו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וכן תשלום פיצויים וקנס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36144-08-11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גבר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22.2.2012</w:t>
      </w:r>
      <w:r>
        <w:rPr>
          <w:rtl w:val="true"/>
        </w:rPr>
        <w:t xml:space="preserve">)). </w:t>
      </w:r>
      <w:r>
        <w:rPr>
          <w:rtl w:val="true"/>
        </w:rPr>
        <w:t>באותו הליך נפגעות העבירה היו ישראליות וחלק מהעבירות בוצעו ישירות מולן ולא באמצעות מחשב</w:t>
      </w:r>
      <w:r>
        <w:rPr>
          <w:rtl w:val="true"/>
        </w:rPr>
        <w:t xml:space="preserve">. </w:t>
      </w:r>
      <w:r>
        <w:rPr>
          <w:rtl w:val="true"/>
        </w:rPr>
        <w:t>טענת המערער שלפיה יש לתקן את כתב האישום ולהרשיעו גם בעבירות נוספות שבהן הודה נדחתה</w:t>
      </w:r>
      <w:r>
        <w:rPr>
          <w:rtl w:val="true"/>
        </w:rPr>
        <w:t xml:space="preserve">, </w:t>
      </w:r>
      <w:r>
        <w:rPr>
          <w:rtl w:val="true"/>
        </w:rPr>
        <w:t xml:space="preserve">וכך גם ערעור שהגיש בנושא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44985-02-12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9.5.2012</w:t>
      </w:r>
      <w:r>
        <w:rPr>
          <w:rtl w:val="true"/>
        </w:rPr>
        <w:t xml:space="preserve">)).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נדחתה עתירה שהגיש המערער בעניין זה לבג</w:t>
      </w:r>
      <w:r>
        <w:rPr>
          <w:rtl w:val="true"/>
        </w:rPr>
        <w:t>"</w:t>
      </w:r>
      <w:r>
        <w:rPr>
          <w:rtl w:val="true"/>
        </w:rPr>
        <w:t xml:space="preserve">ץ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8501/11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אלכסנדר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רון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15.12.2011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בג</w:t>
      </w:r>
      <w:r>
        <w:rPr>
          <w:rtl w:val="true"/>
        </w:rPr>
        <w:t>"</w:t>
      </w:r>
      <w:r>
        <w:rPr>
          <w:rtl w:val="true"/>
        </w:rPr>
        <w:t xml:space="preserve">ץ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גבר</w:t>
      </w:r>
      <w:r>
        <w:rPr>
          <w:rtl w:val="true"/>
        </w:rPr>
        <w:t>)).</w:t>
      </w:r>
    </w:p>
    <w:p>
      <w:pPr>
        <w:pStyle w:val="Ruller41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29.11.2018</w:t>
      </w:r>
      <w:r>
        <w:rPr>
          <w:rtl w:val="true"/>
        </w:rPr>
        <w:t xml:space="preserve"> </w:t>
      </w:r>
      <w:r>
        <w:rPr>
          <w:rtl w:val="true"/>
        </w:rPr>
        <w:t xml:space="preserve">קבע בית המשפט המחוזי בירושלים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לומפ</w:t>
      </w:r>
      <w:r>
        <w:rPr>
          <w:rtl w:val="true"/>
        </w:rPr>
        <w:t xml:space="preserve">) </w:t>
      </w:r>
      <w:r>
        <w:rPr>
          <w:rtl w:val="true"/>
        </w:rPr>
        <w:t>כי המערער הוא בר</w:t>
      </w:r>
      <w:r>
        <w:rPr>
          <w:rtl w:val="true"/>
        </w:rPr>
        <w:t>-</w:t>
      </w:r>
      <w:r>
        <w:rPr>
          <w:rtl w:val="true"/>
        </w:rPr>
        <w:t>הסגרה לארצות הברית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קבע בית המשפט כי בין ישראל לבין ארצות הברית קיים הסכם בדבר הסגרת עבריינים</w:t>
      </w:r>
      <w:r>
        <w:rPr>
          <w:rtl w:val="true"/>
        </w:rPr>
        <w:t xml:space="preserve">, </w:t>
      </w:r>
      <w:r>
        <w:rPr>
          <w:rtl w:val="true"/>
        </w:rPr>
        <w:t xml:space="preserve">כמצוות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; </w:t>
      </w:r>
      <w:r>
        <w:rPr>
          <w:rtl w:val="true"/>
        </w:rPr>
        <w:t xml:space="preserve">וכי מתקיימת דרישת </w:t>
      </w:r>
      <w:r>
        <w:rPr>
          <w:rtl w:val="true"/>
        </w:rPr>
        <w:t>"</w:t>
      </w:r>
      <w:r>
        <w:rPr>
          <w:rtl w:val="true"/>
        </w:rPr>
        <w:t>הפליליות הכפולה</w:t>
      </w:r>
      <w:r>
        <w:rPr>
          <w:rtl w:val="true"/>
        </w:rPr>
        <w:t xml:space="preserve">" </w:t>
      </w:r>
      <w:r>
        <w:rPr>
          <w:rtl w:val="true"/>
        </w:rPr>
        <w:t>בעניין המערער</w:t>
      </w:r>
      <w:r>
        <w:rPr>
          <w:rtl w:val="true"/>
        </w:rPr>
        <w:t xml:space="preserve">, </w:t>
      </w:r>
      <w:r>
        <w:rPr>
          <w:rtl w:val="true"/>
        </w:rPr>
        <w:t>קרי שהעבירה שבגינה הוא הועמד לדין בארצות</w:t>
      </w:r>
      <w:r>
        <w:rPr>
          <w:rtl w:val="true"/>
        </w:rPr>
        <w:t>-</w:t>
      </w:r>
      <w:r>
        <w:rPr>
          <w:rtl w:val="true"/>
        </w:rPr>
        <w:t>הברית היא עבירה בישראל שדינה מאסר של שנה או יותר</w:t>
      </w:r>
      <w:r>
        <w:rPr>
          <w:rtl w:val="true"/>
        </w:rPr>
        <w:t xml:space="preserve">. </w:t>
      </w:r>
      <w:r>
        <w:rPr>
          <w:rtl w:val="true"/>
        </w:rPr>
        <w:t xml:space="preserve">עוד נקבע כי בעניין המערער קיימות ראיות מספיקות להעמדה לדין בישראל </w:t>
      </w:r>
      <w:r>
        <w:rPr>
          <w:rtl w:val="true"/>
        </w:rPr>
        <w:t>–</w:t>
      </w:r>
      <w:r>
        <w:rPr>
          <w:rtl w:val="true"/>
        </w:rPr>
        <w:t xml:space="preserve"> או </w:t>
      </w:r>
      <w:r>
        <w:rPr>
          <w:rtl w:val="true"/>
        </w:rPr>
        <w:t>"</w:t>
      </w:r>
      <w:r>
        <w:rPr>
          <w:rtl w:val="true"/>
        </w:rPr>
        <w:t>אחיזה לאישום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וכי המערער כלל לא חלק על כך</w:t>
      </w:r>
      <w:r>
        <w:rPr>
          <w:rtl w:val="true"/>
        </w:rPr>
        <w:t xml:space="preserve">, </w:t>
      </w:r>
      <w:r>
        <w:rPr>
          <w:rtl w:val="true"/>
        </w:rPr>
        <w:t>למעט בנוגע לפרט מס</w:t>
      </w:r>
      <w:r>
        <w:rPr>
          <w:rtl w:val="true"/>
        </w:rPr>
        <w:t xml:space="preserve">'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 xml:space="preserve">לכתב האישום </w:t>
      </w:r>
      <w:r>
        <w:rPr>
          <w:rtl w:val="true"/>
        </w:rPr>
        <w:t>–</w:t>
      </w:r>
      <w:r>
        <w:rPr>
          <w:rtl w:val="true"/>
        </w:rPr>
        <w:t xml:space="preserve"> טענה שנקבע שמקומה להתברר בהליך העיקרי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ישראלי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המרשתת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ישראליות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ישראליות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חקיקת</w:t>
      </w:r>
      <w:r>
        <w:rPr>
          <w:rFonts w:eastAsia="Arial TUR;Arial" w:cs="Arial TUR;Arial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הלאום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היהודי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יסוד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הלאום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לשיהוי בהגשת בקשת ההסגרה</w:t>
      </w:r>
      <w:r>
        <w:rPr>
          <w:rtl w:val="true"/>
        </w:rPr>
        <w:t xml:space="preserve">, </w:t>
      </w:r>
      <w:r>
        <w:rPr>
          <w:rtl w:val="true"/>
        </w:rPr>
        <w:t>נקבע כי ההסגרה אינה פוגעת בתקנת הציבור</w:t>
      </w:r>
      <w:r>
        <w:rPr>
          <w:rtl w:val="true"/>
        </w:rPr>
        <w:t xml:space="preserve">. </w:t>
      </w:r>
      <w:r>
        <w:rPr>
          <w:rtl w:val="true"/>
        </w:rPr>
        <w:t>בית המשפט ציין כי יש להחיל את הסייג בצמצום</w:t>
      </w:r>
      <w:r>
        <w:rPr>
          <w:rtl w:val="true"/>
        </w:rPr>
        <w:t xml:space="preserve">, </w:t>
      </w:r>
      <w:r>
        <w:rPr>
          <w:rtl w:val="true"/>
        </w:rPr>
        <w:t>וכי קיים נטל כבד לצורך הוכחתו</w:t>
      </w:r>
      <w:r>
        <w:rPr>
          <w:rtl w:val="true"/>
        </w:rPr>
        <w:t xml:space="preserve">, </w:t>
      </w:r>
      <w:r>
        <w:rPr>
          <w:rtl w:val="true"/>
        </w:rPr>
        <w:t>נוכח האינטרסים החשובים המגולמים בדיני ההסגרה</w:t>
      </w:r>
      <w:r>
        <w:rPr>
          <w:rtl w:val="true"/>
        </w:rPr>
        <w:t xml:space="preserve">. </w:t>
      </w:r>
      <w:r>
        <w:rPr>
          <w:rtl w:val="true"/>
        </w:rPr>
        <w:t>בית המשפט קבע כי השיהוי</w:t>
      </w:r>
      <w:r>
        <w:rPr>
          <w:rtl w:val="true"/>
        </w:rPr>
        <w:t xml:space="preserve">, </w:t>
      </w:r>
      <w:r>
        <w:rPr>
          <w:rtl w:val="true"/>
        </w:rPr>
        <w:t xml:space="preserve">שאכן נפל בהגשת הבקשה </w:t>
      </w:r>
      <w:r>
        <w:rPr>
          <w:rtl w:val="true"/>
        </w:rPr>
        <w:t>–</w:t>
      </w:r>
      <w:r>
        <w:rPr>
          <w:rtl w:val="true"/>
        </w:rPr>
        <w:t xml:space="preserve"> כ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שנים ממועד חשיפת הראיות נגדו ועד הגשתה </w:t>
      </w:r>
      <w:r>
        <w:rPr>
          <w:rtl w:val="true"/>
        </w:rPr>
        <w:t>–</w:t>
      </w:r>
      <w:r>
        <w:rPr>
          <w:rtl w:val="true"/>
        </w:rPr>
        <w:t xml:space="preserve"> אינו מצדיק את אי הסגרת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שכן אין מדובר בנסיבות </w:t>
      </w:r>
      <w:r>
        <w:rPr>
          <w:rtl w:val="true"/>
        </w:rPr>
        <w:t>"</w:t>
      </w:r>
      <w:r>
        <w:rPr>
          <w:rtl w:val="true"/>
        </w:rPr>
        <w:t>חריגות שבחריגות</w:t>
      </w:r>
      <w:r>
        <w:rPr>
          <w:rtl w:val="true"/>
        </w:rPr>
        <w:t xml:space="preserve">" </w:t>
      </w:r>
      <w:r>
        <w:rPr>
          <w:rtl w:val="true"/>
        </w:rPr>
        <w:t>של שיהוי כמובנן בהלכה הפסוקה</w:t>
      </w:r>
      <w:r>
        <w:rPr>
          <w:rtl w:val="true"/>
        </w:rPr>
        <w:t xml:space="preserve">. </w:t>
      </w:r>
      <w:r>
        <w:rPr>
          <w:rtl w:val="true"/>
        </w:rPr>
        <w:t>בית המשפט ציין כי החקירה ארכה זמן רב בשל זיהויין של הנפגעות הרבות וראיונות שנערכו לרבות מהן</w:t>
      </w:r>
      <w:r>
        <w:rPr>
          <w:rtl w:val="true"/>
        </w:rPr>
        <w:t xml:space="preserve">; </w:t>
      </w:r>
      <w:r>
        <w:rPr>
          <w:rtl w:val="true"/>
        </w:rPr>
        <w:t>בדיקת נפח גדול של חומרים דיגיטליים</w:t>
      </w:r>
      <w:r>
        <w:rPr>
          <w:rtl w:val="true"/>
        </w:rPr>
        <w:t xml:space="preserve">; </w:t>
      </w:r>
      <w:r>
        <w:rPr>
          <w:rtl w:val="true"/>
        </w:rPr>
        <w:t>ומכשולים ראייתיים נוספים</w:t>
      </w:r>
      <w:r>
        <w:rPr>
          <w:rtl w:val="true"/>
        </w:rPr>
        <w:t xml:space="preserve">, </w:t>
      </w:r>
      <w:r>
        <w:rPr>
          <w:rtl w:val="true"/>
        </w:rPr>
        <w:t>אשר לא הושפעו רק משיקולי כוח אדם כטענת המערער</w:t>
      </w:r>
      <w:r>
        <w:rPr>
          <w:rtl w:val="true"/>
        </w:rPr>
        <w:t xml:space="preserve">. </w:t>
      </w:r>
      <w:r>
        <w:rPr>
          <w:rtl w:val="true"/>
        </w:rPr>
        <w:t>בית המשפט ציין כי הערכאה הרלוונטית בארצות הברית תוכל לדון בשאלת השיהוי כחלק מבחינת הטענה בדבר עינוי דין לכאורה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37053-04-17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22.11.2018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תועבה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אקטיבי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שיצטרכו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שבאזרחיה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כי יש להעמידו לדין בישראל</w:t>
      </w:r>
      <w:r>
        <w:rPr>
          <w:rtl w:val="true"/>
        </w:rPr>
        <w:t xml:space="preserve">, </w:t>
      </w:r>
      <w:r>
        <w:rPr>
          <w:rtl w:val="true"/>
        </w:rPr>
        <w:t>ולא להסגירו לצורך העמדה לדין בארצות הברית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מרכז הכובד של העבירות המיוחסות לו מצוי בישראל</w:t>
      </w:r>
      <w:r>
        <w:rPr>
          <w:rtl w:val="true"/>
        </w:rPr>
        <w:t xml:space="preserve">, </w:t>
      </w:r>
      <w:r>
        <w:rPr>
          <w:rtl w:val="true"/>
        </w:rPr>
        <w:t>שכן העבירות בוצעו בישראל וכאן נאסף חומר החקירה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במהלך העמדתו לדין בשנת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הוא הודה בכלל העבירות שעליהן נחקר</w:t>
      </w:r>
      <w:r>
        <w:rPr>
          <w:rtl w:val="true"/>
        </w:rPr>
        <w:t xml:space="preserve">, </w:t>
      </w:r>
      <w:r>
        <w:rPr>
          <w:rtl w:val="true"/>
        </w:rPr>
        <w:t>גם אלה שנכללות בכתב האישום האמריקני</w:t>
      </w:r>
      <w:r>
        <w:rPr>
          <w:rtl w:val="true"/>
        </w:rPr>
        <w:t xml:space="preserve">, </w:t>
      </w:r>
      <w:r>
        <w:rPr>
          <w:rtl w:val="true"/>
        </w:rPr>
        <w:t>וביקש להישפט עליהן בארץ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בקשתו נדחתה שכן החקירה בנוגע ליתר העבירות טרם הושלמה באותה העת</w:t>
      </w:r>
      <w:r>
        <w:rPr>
          <w:rtl w:val="true"/>
        </w:rPr>
        <w:t xml:space="preserve">. </w:t>
      </w:r>
      <w:r>
        <w:rPr>
          <w:rtl w:val="true"/>
        </w:rPr>
        <w:t>המערער טוען כי נוכח הודאתו</w:t>
      </w:r>
      <w:r>
        <w:rPr>
          <w:rtl w:val="true"/>
        </w:rPr>
        <w:t xml:space="preserve">, </w:t>
      </w:r>
      <w:r>
        <w:rPr>
          <w:rtl w:val="true"/>
        </w:rPr>
        <w:t>ונוכח התבססות האישומים על חומרים ממחשבו</w:t>
      </w:r>
      <w:r>
        <w:rPr>
          <w:rtl w:val="true"/>
        </w:rPr>
        <w:t xml:space="preserve">, </w:t>
      </w:r>
      <w:r>
        <w:rPr>
          <w:rtl w:val="true"/>
        </w:rPr>
        <w:t>כלל אין צורך להביא לעדות את נפגעות העבירות</w:t>
      </w:r>
      <w:r>
        <w:rPr>
          <w:rtl w:val="true"/>
        </w:rPr>
        <w:t xml:space="preserve">. </w:t>
      </w:r>
      <w:r>
        <w:rPr>
          <w:rtl w:val="true"/>
        </w:rPr>
        <w:t>עוד טוען המערער כי על רקע חקיקת חוק יסוד</w:t>
      </w:r>
      <w:r>
        <w:rPr>
          <w:rtl w:val="true"/>
        </w:rPr>
        <w:t xml:space="preserve">: </w:t>
      </w:r>
      <w:r>
        <w:rPr>
          <w:rtl w:val="true"/>
        </w:rPr>
        <w:t>הלאום</w:t>
      </w:r>
      <w:r>
        <w:rPr>
          <w:rtl w:val="true"/>
        </w:rPr>
        <w:t xml:space="preserve">, </w:t>
      </w:r>
      <w:r>
        <w:rPr>
          <w:rtl w:val="true"/>
        </w:rPr>
        <w:t>שקבע כעקרון יסוד את הזיקה של יהודים אזרחי ישראל למדינתם</w:t>
      </w:r>
      <w:r>
        <w:rPr>
          <w:rtl w:val="true"/>
        </w:rPr>
        <w:t xml:space="preserve">, </w:t>
      </w:r>
      <w:r>
        <w:rPr>
          <w:rtl w:val="true"/>
        </w:rPr>
        <w:t xml:space="preserve">יש להורות על העמדתו לדין בישראל </w:t>
      </w:r>
      <w:r>
        <w:rPr>
          <w:rtl w:val="true"/>
        </w:rPr>
        <w:t>–</w:t>
      </w:r>
      <w:r>
        <w:rPr>
          <w:rtl w:val="true"/>
        </w:rPr>
        <w:t xml:space="preserve"> בהיותו אזרח ישראלי יהודי </w:t>
      </w:r>
      <w:r>
        <w:rPr>
          <w:rtl w:val="true"/>
        </w:rPr>
        <w:t>–</w:t>
      </w:r>
      <w:r>
        <w:rPr>
          <w:rtl w:val="true"/>
        </w:rPr>
        <w:t xml:space="preserve"> שכן במקרה דנא חוק היסוד מלמד שמרכז הכובד הוא בישראל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הליך גירוש </w:t>
      </w:r>
      <w:r>
        <w:rPr>
          <w:rtl w:val="true"/>
        </w:rPr>
        <w:t>–</w:t>
      </w:r>
      <w:r>
        <w:rPr>
          <w:rtl w:val="true"/>
        </w:rPr>
        <w:t xml:space="preserve"> ולו זמני </w:t>
      </w:r>
      <w:r>
        <w:rPr>
          <w:rtl w:val="true"/>
        </w:rPr>
        <w:t>–</w:t>
      </w:r>
      <w:r>
        <w:rPr>
          <w:rtl w:val="true"/>
        </w:rPr>
        <w:t xml:space="preserve"> של אזרח ישראלי</w:t>
      </w:r>
      <w:r>
        <w:rPr>
          <w:rtl w:val="true"/>
        </w:rPr>
        <w:t xml:space="preserve">, </w:t>
      </w:r>
      <w:r>
        <w:rPr>
          <w:rtl w:val="true"/>
        </w:rPr>
        <w:t>עשוי שלא לעלות בקנה אחד עם ערכיה של מדינת ישראל</w:t>
      </w:r>
      <w:r>
        <w:rPr>
          <w:rtl w:val="true"/>
        </w:rPr>
        <w:t xml:space="preserve">. </w:t>
      </w:r>
      <w:r>
        <w:rPr>
          <w:rtl w:val="true"/>
        </w:rPr>
        <w:t xml:space="preserve">המערער טוען כי בענייננו אין מדובר בסתירה מפורשת בין 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 לבין חוק יסוד</w:t>
      </w:r>
      <w:r>
        <w:rPr>
          <w:rtl w:val="true"/>
        </w:rPr>
        <w:t xml:space="preserve">: </w:t>
      </w:r>
      <w:r>
        <w:rPr>
          <w:rtl w:val="true"/>
        </w:rPr>
        <w:t>הלאום</w:t>
      </w:r>
      <w:r>
        <w:rPr>
          <w:rtl w:val="true"/>
        </w:rPr>
        <w:t xml:space="preserve">, </w:t>
      </w:r>
      <w:r>
        <w:rPr>
          <w:rtl w:val="true"/>
        </w:rPr>
        <w:t>וזאת בשונה מהמקרה ב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2490/18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8.1.2019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ורנו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כתב האישום האמריקני הוגש בשיהוי ניכר</w:t>
      </w:r>
      <w:r>
        <w:rPr>
          <w:rtl w:val="true"/>
        </w:rPr>
        <w:t xml:space="preserve">, </w:t>
      </w:r>
      <w:r>
        <w:rPr>
          <w:rtl w:val="true"/>
        </w:rPr>
        <w:t xml:space="preserve">על אף שהוא מתבסס על חומרים שנאספו כבר בשנת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ומבלי שניתן לכך הסבר שמניח את הדעת</w:t>
      </w:r>
      <w:r>
        <w:rPr>
          <w:rtl w:val="true"/>
        </w:rPr>
        <w:t xml:space="preserve">. </w:t>
      </w:r>
      <w:r>
        <w:rPr>
          <w:rtl w:val="true"/>
        </w:rPr>
        <w:t>המערער טוען כי אין בסיס לטענה כי נדרש זמן כה ממושך לצורך השלמת החקירה</w:t>
      </w:r>
      <w:r>
        <w:rPr>
          <w:rtl w:val="true"/>
        </w:rPr>
        <w:t xml:space="preserve">. </w:t>
      </w:r>
      <w:r>
        <w:rPr>
          <w:rtl w:val="true"/>
        </w:rPr>
        <w:t xml:space="preserve">עוד טוען המערער כי הוא חי בצל סכנת ההסגרה מזה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מה שגובה ממנו ומאמו</w:t>
      </w:r>
      <w:r>
        <w:rPr>
          <w:rtl w:val="true"/>
        </w:rPr>
        <w:t xml:space="preserve">, </w:t>
      </w:r>
      <w:r>
        <w:rPr>
          <w:rtl w:val="true"/>
        </w:rPr>
        <w:t>משפחתו היחידה</w:t>
      </w:r>
      <w:r>
        <w:rPr>
          <w:rtl w:val="true"/>
        </w:rPr>
        <w:t xml:space="preserve">, </w:t>
      </w:r>
      <w:r>
        <w:rPr>
          <w:rtl w:val="true"/>
        </w:rPr>
        <w:t>מחירים נפשיים וכלכליים כבדים</w:t>
      </w:r>
      <w:r>
        <w:rPr>
          <w:rtl w:val="true"/>
        </w:rPr>
        <w:t xml:space="preserve">; </w:t>
      </w:r>
      <w:r>
        <w:rPr>
          <w:rtl w:val="true"/>
        </w:rPr>
        <w:t>וכי הדבר עולה כדי עינוי דין ופוגע בזכותו להליך הוגן</w:t>
      </w:r>
      <w:r>
        <w:rPr>
          <w:rtl w:val="true"/>
        </w:rPr>
        <w:t xml:space="preserve">. </w:t>
      </w:r>
      <w:r>
        <w:rPr>
          <w:rtl w:val="true"/>
        </w:rPr>
        <w:t>נטען כי לא היה מקום להותיר את הדיון בכך לערכאה האמריקנית</w:t>
      </w:r>
      <w:r>
        <w:rPr>
          <w:rtl w:val="true"/>
        </w:rPr>
        <w:t xml:space="preserve">. </w:t>
      </w:r>
      <w:r>
        <w:rPr>
          <w:rtl w:val="true"/>
        </w:rPr>
        <w:t>המערער מציין כי מעולם לא נמלט מהדין וכי לקח אחריות על מעשיו</w:t>
      </w:r>
      <w:r>
        <w:rPr>
          <w:rtl w:val="true"/>
        </w:rPr>
        <w:t xml:space="preserve">, </w:t>
      </w:r>
      <w:r>
        <w:rPr>
          <w:rtl w:val="true"/>
        </w:rPr>
        <w:t>וטוען כי יש לתת משקל לכך בהחלטה על הסגרתו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מעלה מספר טענות נוספות</w:t>
      </w:r>
      <w:r>
        <w:rPr>
          <w:rtl w:val="true"/>
        </w:rPr>
        <w:t xml:space="preserve">. </w:t>
      </w:r>
      <w:r>
        <w:rPr>
          <w:rtl w:val="true"/>
        </w:rPr>
        <w:t>אשר לעבירת הסחיטה שמיוחסת למערער</w:t>
      </w:r>
      <w:r>
        <w:rPr>
          <w:rtl w:val="true"/>
        </w:rPr>
        <w:t xml:space="preserve">, </w:t>
      </w:r>
      <w:r>
        <w:rPr>
          <w:rtl w:val="true"/>
        </w:rPr>
        <w:t xml:space="preserve">הוא מציין כי זו התיישנה בדין האמריקני כבר בשנת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כך שלא מתקיימת דרישת הפליליות הכפולה ואין להסגירו בגינה עבירה זו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טוען לאכיפה בררנית בהשוואה לעניין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אשר כאמור לא הוסגר לארצות הברית</w:t>
      </w:r>
      <w:r>
        <w:rPr>
          <w:rtl w:val="true"/>
        </w:rPr>
        <w:t xml:space="preserve">, </w:t>
      </w:r>
      <w:r>
        <w:rPr>
          <w:rtl w:val="true"/>
        </w:rPr>
        <w:t>חרף זיקות רבות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אין מדובר במקרים שונים</w:t>
      </w:r>
      <w:r>
        <w:rPr>
          <w:rtl w:val="true"/>
        </w:rPr>
        <w:t xml:space="preserve">. </w:t>
      </w:r>
      <w:r>
        <w:rPr>
          <w:rtl w:val="true"/>
        </w:rPr>
        <w:t>עוד טוען המערער כי לאישום מס</w:t>
      </w:r>
      <w:r>
        <w:rPr>
          <w:rtl w:val="true"/>
        </w:rPr>
        <w:t xml:space="preserve">'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בכתב האישום האמריקני אין אחיזה</w:t>
      </w:r>
      <w:r>
        <w:rPr>
          <w:rtl w:val="true"/>
        </w:rPr>
        <w:t xml:space="preserve">, </w:t>
      </w:r>
      <w:r>
        <w:rPr>
          <w:rtl w:val="true"/>
        </w:rPr>
        <w:t>שכן הוא מתייחס למועד שבו היה המערער במעצר</w:t>
      </w:r>
      <w:r>
        <w:rPr>
          <w:rtl w:val="true"/>
        </w:rPr>
        <w:t xml:space="preserve">, </w:t>
      </w:r>
      <w:r>
        <w:rPr>
          <w:rtl w:val="true"/>
        </w:rPr>
        <w:t>ולכן לא היה יכול לבצע את המעשים המיוחסים 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 טוען כי אין עילה להתערבות בהחלטת בית המשפט המחוזי</w:t>
      </w:r>
      <w:r>
        <w:rPr>
          <w:rtl w:val="true"/>
        </w:rPr>
        <w:t xml:space="preserve">, </w:t>
      </w:r>
      <w:r>
        <w:rPr>
          <w:rtl w:val="true"/>
        </w:rPr>
        <w:t>וכי יש להותיר את ההכרזה על המערער כבר</w:t>
      </w:r>
      <w:r>
        <w:rPr>
          <w:rtl w:val="true"/>
        </w:rPr>
        <w:t>-</w:t>
      </w:r>
      <w:r>
        <w:rPr>
          <w:rtl w:val="true"/>
        </w:rPr>
        <w:t>הסגרה על כנה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מירב הזיקות של העבירות שביצע המערער לכאורה הן לארצות הברית</w:t>
      </w:r>
      <w:r>
        <w:rPr>
          <w:rtl w:val="true"/>
        </w:rPr>
        <w:t xml:space="preserve">, </w:t>
      </w:r>
      <w:r>
        <w:rPr>
          <w:rtl w:val="true"/>
        </w:rPr>
        <w:t>שכן שם התרחשה הפגיעה בקורבנות ושם נפתחו ההליכים המשפטיים נגד המערער</w:t>
      </w:r>
      <w:r>
        <w:rPr>
          <w:rtl w:val="true"/>
        </w:rPr>
        <w:t xml:space="preserve">. </w:t>
      </w:r>
      <w:r>
        <w:rPr>
          <w:rtl w:val="true"/>
        </w:rPr>
        <w:t>נטען כי מרכז הכובד אינו מצוי בישראל</w:t>
      </w:r>
      <w:r>
        <w:rPr>
          <w:rtl w:val="true"/>
        </w:rPr>
        <w:t xml:space="preserve">, </w:t>
      </w:r>
      <w:r>
        <w:rPr>
          <w:rtl w:val="true"/>
        </w:rPr>
        <w:t>שכן המערער היה יכול לבצע את מעשיו מכל מדינה אחרת</w:t>
      </w:r>
      <w:r>
        <w:rPr>
          <w:rtl w:val="true"/>
        </w:rPr>
        <w:t xml:space="preserve">, </w:t>
      </w:r>
      <w:r>
        <w:rPr>
          <w:rtl w:val="true"/>
        </w:rPr>
        <w:t>וכי פעולות החקירה בישראל בוצעו בעקבות בקשה לעזרה משפטית שהגישה ארצות הברית</w:t>
      </w:r>
      <w:r>
        <w:rPr>
          <w:rtl w:val="true"/>
        </w:rPr>
        <w:t xml:space="preserve">. </w:t>
      </w:r>
      <w:r>
        <w:rPr>
          <w:rtl w:val="true"/>
        </w:rPr>
        <w:t>לטענת המשיב</w:t>
      </w:r>
      <w:r>
        <w:rPr>
          <w:rtl w:val="true"/>
        </w:rPr>
        <w:t xml:space="preserve">, </w:t>
      </w:r>
      <w:r>
        <w:rPr>
          <w:rtl w:val="true"/>
        </w:rPr>
        <w:t>ראוי לאפשר לנפגעות העבירות לקחת חלק בהליך המשפטי בארצן ובשפתן</w:t>
      </w:r>
      <w:r>
        <w:rPr>
          <w:rtl w:val="true"/>
        </w:rPr>
        <w:t xml:space="preserve">, </w:t>
      </w:r>
      <w:r>
        <w:rPr>
          <w:rtl w:val="true"/>
        </w:rPr>
        <w:t>ולאפשר להן לבחור אם להעיד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לרשויות התביעה שיקול דעת רחב</w:t>
      </w:r>
      <w:r>
        <w:rPr>
          <w:rtl w:val="true"/>
        </w:rPr>
        <w:t xml:space="preserve">, </w:t>
      </w:r>
      <w:r>
        <w:rPr>
          <w:rtl w:val="true"/>
        </w:rPr>
        <w:t>והן בחרו שלא להעמיד לדין את הנאשם על המעשים שכוונו לקטינות בארצות הברית אלא רק למעשים שבוצעו במישרין בישראל</w:t>
      </w:r>
      <w:r>
        <w:rPr>
          <w:rtl w:val="true"/>
        </w:rPr>
        <w:t xml:space="preserve">. </w:t>
      </w:r>
      <w:r>
        <w:rPr>
          <w:rtl w:val="true"/>
        </w:rPr>
        <w:t>המשיב מציין כי טענת המערער כי היה מקום לצרף את כתבי האישום נגדו נדחתה זה מכבר</w:t>
      </w:r>
      <w:r>
        <w:rPr>
          <w:rtl w:val="true"/>
        </w:rPr>
        <w:t xml:space="preserve">. </w:t>
      </w:r>
      <w:r>
        <w:rPr>
          <w:rtl w:val="true"/>
        </w:rPr>
        <w:t>אשר להשלכות חוק יסוד</w:t>
      </w:r>
      <w:r>
        <w:rPr>
          <w:rtl w:val="true"/>
        </w:rPr>
        <w:t xml:space="preserve">: </w:t>
      </w:r>
      <w:r>
        <w:rPr>
          <w:rtl w:val="true"/>
        </w:rPr>
        <w:t>הלאום</w:t>
      </w:r>
      <w:r>
        <w:rPr>
          <w:rtl w:val="true"/>
        </w:rPr>
        <w:t xml:space="preserve">, </w:t>
      </w:r>
      <w:r>
        <w:rPr>
          <w:rtl w:val="true"/>
        </w:rPr>
        <w:t>נטען כי כפי שכבר נפסק</w:t>
      </w:r>
      <w:r>
        <w:rPr>
          <w:rtl w:val="true"/>
        </w:rPr>
        <w:t xml:space="preserve">, </w:t>
      </w:r>
      <w:r>
        <w:rPr>
          <w:rtl w:val="true"/>
        </w:rPr>
        <w:t>אין בו כדי למנוע הסגרה של אזרח ישראלי</w:t>
      </w:r>
      <w:r>
        <w:rPr>
          <w:rtl w:val="true"/>
        </w:rPr>
        <w:t xml:space="preserve">, </w:t>
      </w:r>
      <w:r>
        <w:rPr>
          <w:rtl w:val="true"/>
        </w:rPr>
        <w:t xml:space="preserve">בפרט נוכח הסייג הקבוע </w:t>
      </w:r>
      <w:hyperlink r:id="rId3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המאפשר לאזרח ישראלי שאת בעונש מאסר </w:t>
      </w:r>
      <w:r>
        <w:rPr>
          <w:rtl w:val="true"/>
        </w:rPr>
        <w:t>–</w:t>
      </w:r>
      <w:r>
        <w:rPr>
          <w:rtl w:val="true"/>
        </w:rPr>
        <w:t xml:space="preserve"> אם יוטל כזה </w:t>
      </w:r>
      <w:r>
        <w:rPr>
          <w:rtl w:val="true"/>
        </w:rPr>
        <w:t>–</w:t>
      </w:r>
      <w:r>
        <w:rPr>
          <w:rtl w:val="true"/>
        </w:rPr>
        <w:t xml:space="preserve"> בישראל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בעניין הטענה לשיהוי</w:t>
      </w:r>
      <w:r>
        <w:rPr>
          <w:rtl w:val="true"/>
        </w:rPr>
        <w:t xml:space="preserve">, </w:t>
      </w:r>
      <w:r>
        <w:rPr>
          <w:rtl w:val="true"/>
        </w:rPr>
        <w:t>טוען המשיב כי לא נפל שיהוי העולה כדי פגיעה בתקנת הציבור</w:t>
      </w:r>
      <w:r>
        <w:rPr>
          <w:rtl w:val="true"/>
        </w:rPr>
        <w:t xml:space="preserve">, </w:t>
      </w:r>
      <w:r>
        <w:rPr>
          <w:rtl w:val="true"/>
        </w:rPr>
        <w:t>נוכח מורכבות החקירה והקשר המתמשך בין הרשויות בישראל ובארצות הברית</w:t>
      </w:r>
      <w:r>
        <w:rPr>
          <w:rtl w:val="true"/>
        </w:rPr>
        <w:t xml:space="preserve">. </w:t>
      </w:r>
      <w:r>
        <w:rPr>
          <w:rtl w:val="true"/>
        </w:rPr>
        <w:t xml:space="preserve">נטען כי כתב האישום הוגש רק בשנת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משום שמדובר היה בהיקף גדול של נפגעות עבירה</w:t>
      </w:r>
      <w:r>
        <w:rPr>
          <w:rtl w:val="true"/>
        </w:rPr>
        <w:t xml:space="preserve">: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קטינות הפזורות ברחבי ארצות הברית</w:t>
      </w:r>
      <w:r>
        <w:rPr>
          <w:rtl w:val="true"/>
        </w:rPr>
        <w:t xml:space="preserve">; </w:t>
      </w:r>
      <w:r>
        <w:rPr>
          <w:rtl w:val="true"/>
        </w:rPr>
        <w:t>וכי הליכי הסגרה אורכים זמן רב</w:t>
      </w:r>
      <w:r>
        <w:rPr>
          <w:rtl w:val="true"/>
        </w:rPr>
        <w:t xml:space="preserve">, </w:t>
      </w:r>
      <w:r>
        <w:rPr>
          <w:rtl w:val="true"/>
        </w:rPr>
        <w:t>ובמסגרתם אף נדרשו הרשויות לבצע פעולות משלימות לצורך אימות התצהירים שנגבו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ליתר הטענות</w:t>
      </w:r>
      <w:r>
        <w:rPr>
          <w:rtl w:val="true"/>
        </w:rPr>
        <w:t xml:space="preserve">. </w:t>
      </w:r>
      <w:r>
        <w:rPr>
          <w:rtl w:val="true"/>
        </w:rPr>
        <w:t>בכל הנוגע לטענת האכיפה הבררנית</w:t>
      </w:r>
      <w:r>
        <w:rPr>
          <w:rtl w:val="true"/>
        </w:rPr>
        <w:t xml:space="preserve">, </w:t>
      </w:r>
      <w:r>
        <w:rPr>
          <w:rtl w:val="true"/>
        </w:rPr>
        <w:t xml:space="preserve">נטען כי 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 האמור אינו דומה לענייננו</w:t>
      </w:r>
      <w:r>
        <w:rPr>
          <w:rtl w:val="true"/>
        </w:rPr>
        <w:t xml:space="preserve">, </w:t>
      </w:r>
      <w:r>
        <w:rPr>
          <w:rtl w:val="true"/>
        </w:rPr>
        <w:t>וכי ניתוח מרכז הכובד בעניין זה היה שונה לחלוטין</w:t>
      </w:r>
      <w:r>
        <w:rPr>
          <w:rtl w:val="true"/>
        </w:rPr>
        <w:t xml:space="preserve">. </w:t>
      </w:r>
      <w:r>
        <w:rPr>
          <w:rtl w:val="true"/>
        </w:rPr>
        <w:t>בעניין טענת המערער להתיישנות עבירת הסחיטה</w:t>
      </w:r>
      <w:r>
        <w:rPr>
          <w:rtl w:val="true"/>
        </w:rPr>
        <w:t xml:space="preserve">, </w:t>
      </w:r>
      <w:r>
        <w:rPr>
          <w:rtl w:val="true"/>
        </w:rPr>
        <w:t>טוען המשיב כי יש לבחון התיישנות בראי הדין הישראלי</w:t>
      </w:r>
      <w:r>
        <w:rPr>
          <w:rtl w:val="true"/>
        </w:rPr>
        <w:t xml:space="preserve">, </w:t>
      </w:r>
      <w:r>
        <w:rPr>
          <w:rtl w:val="true"/>
        </w:rPr>
        <w:t xml:space="preserve">בהתאם </w:t>
      </w:r>
      <w:hyperlink r:id="rId41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וכי מכיוון שעבירת סחיטה באיומים היא מסוג פשע </w:t>
      </w:r>
      <w:r>
        <w:rPr>
          <w:rtl w:val="true"/>
        </w:rPr>
        <w:t>–</w:t>
      </w:r>
      <w:r>
        <w:rPr>
          <w:rtl w:val="true"/>
        </w:rPr>
        <w:t xml:space="preserve"> היא טרם התיישנה</w:t>
      </w:r>
      <w:r>
        <w:rPr>
          <w:rtl w:val="true"/>
        </w:rPr>
        <w:t xml:space="preserve">; </w:t>
      </w:r>
      <w:r>
        <w:rPr>
          <w:rtl w:val="true"/>
        </w:rPr>
        <w:t>וממילא פעולות החקירה והגשת כתב האישום עצרו את מירוץ ההתיישנות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בנוגע לאישום מס</w:t>
      </w:r>
      <w:r>
        <w:rPr>
          <w:rtl w:val="true"/>
        </w:rPr>
        <w:t xml:space="preserve">' </w:t>
      </w:r>
      <w:r>
        <w:rPr/>
        <w:t>53</w:t>
      </w:r>
      <w:r>
        <w:rPr>
          <w:rtl w:val="true"/>
        </w:rPr>
        <w:t xml:space="preserve">, </w:t>
      </w:r>
      <w:r>
        <w:rPr>
          <w:rtl w:val="true"/>
        </w:rPr>
        <w:t xml:space="preserve">נטען כי כתב האישום מציין כי המעשה בוצע בתאריך מסוים </w:t>
      </w:r>
      <w:r>
        <w:rPr>
          <w:rtl w:val="true"/>
        </w:rPr>
        <w:t>"</w:t>
      </w:r>
      <w:r>
        <w:rPr>
          <w:rtl w:val="true"/>
        </w:rPr>
        <w:t>או בסמוך לכך</w:t>
      </w:r>
      <w:r>
        <w:rPr>
          <w:rtl w:val="true"/>
        </w:rPr>
        <w:t xml:space="preserve">", </w:t>
      </w:r>
      <w:r>
        <w:rPr>
          <w:rtl w:val="true"/>
        </w:rPr>
        <w:t>וכי מדובר בטענת הגנה אשר נכון יהיה לבחנה במסגרת ההליך הפלילי בערכאה המבררת בארצות הברית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להוספת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הגיש בקשה להוספת ראיות חדשות בערעור </w:t>
      </w:r>
      <w:r>
        <w:rPr>
          <w:rtl w:val="true"/>
        </w:rPr>
        <w:t>–</w:t>
      </w:r>
      <w:r>
        <w:rPr>
          <w:rtl w:val="true"/>
        </w:rPr>
        <w:t xml:space="preserve"> אבחונים נפשיים שעבר לאחר מתן פסק הדין </w:t>
      </w:r>
      <w:r>
        <w:rPr>
          <w:rtl w:val="true"/>
        </w:rPr>
        <w:t>–</w:t>
      </w:r>
      <w:r>
        <w:rPr>
          <w:rtl w:val="true"/>
        </w:rPr>
        <w:t xml:space="preserve"> אשר עשויות לשנות את ההכרעה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. </w:t>
      </w:r>
      <w:r>
        <w:rPr>
          <w:rtl w:val="true"/>
        </w:rPr>
        <w:t xml:space="preserve">נטען כי מחוות הדעת עולה שהמערער הוא בעל אוטיזם בדרגה שנייה </w:t>
      </w:r>
      <w:r>
        <w:rPr>
          <w:rtl w:val="true"/>
        </w:rPr>
        <w:t>(</w:t>
      </w:r>
      <w:r>
        <w:rPr>
          <w:rtl w:val="true"/>
        </w:rPr>
        <w:t>מתוך שלוש</w:t>
      </w:r>
      <w:r>
        <w:rPr>
          <w:rtl w:val="true"/>
        </w:rPr>
        <w:t xml:space="preserve">) </w:t>
      </w:r>
      <w:r>
        <w:rPr>
          <w:rtl w:val="true"/>
        </w:rPr>
        <w:t>ובעל הפרעות אישיות</w:t>
      </w:r>
      <w:r>
        <w:rPr>
          <w:rtl w:val="true"/>
        </w:rPr>
        <w:t xml:space="preserve">, </w:t>
      </w:r>
      <w:r>
        <w:rPr>
          <w:rtl w:val="true"/>
        </w:rPr>
        <w:t>מצב המצריך תמיכה תקשורתית והתנהגותית</w:t>
      </w:r>
      <w:r>
        <w:rPr>
          <w:rtl w:val="true"/>
        </w:rPr>
        <w:t xml:space="preserve">. </w:t>
      </w:r>
      <w:r>
        <w:rPr>
          <w:rtl w:val="true"/>
        </w:rPr>
        <w:t>המערער מציין כי אומנם בבית המשפט המחוזי לא טען כי מצבו מונע הסגרה</w:t>
      </w:r>
      <w:r>
        <w:rPr>
          <w:rtl w:val="true"/>
        </w:rPr>
        <w:t xml:space="preserve">, </w:t>
      </w:r>
      <w:r>
        <w:rPr>
          <w:rtl w:val="true"/>
        </w:rPr>
        <w:t>אך בית המשפט היה מודע למצב והתחשב בו בהחלטה שלא להורות על מעצרו מאחורי סורג ובריח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יש להתחשב במצבו</w:t>
      </w:r>
      <w:r>
        <w:rPr>
          <w:rtl w:val="true"/>
        </w:rPr>
        <w:t xml:space="preserve">, </w:t>
      </w:r>
      <w:r>
        <w:rPr>
          <w:rtl w:val="true"/>
        </w:rPr>
        <w:t>שכן הוא לא יכול להתנהל עצמאית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ההצדקה שלא להסגיר את הנאשם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הייתה בשל היותו לוקה באוטיזם</w:t>
      </w:r>
      <w:r>
        <w:rPr>
          <w:rtl w:val="true"/>
        </w:rPr>
        <w:t xml:space="preserve">, </w:t>
      </w:r>
      <w:r>
        <w:rPr>
          <w:rtl w:val="true"/>
        </w:rPr>
        <w:t>עובדה בעלת נפקות לשאלת האכיפה הבררנית בענייננו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 טוען כי יש לדחות את הבקשה</w:t>
      </w:r>
      <w:r>
        <w:rPr>
          <w:rtl w:val="true"/>
        </w:rPr>
        <w:t xml:space="preserve">. </w:t>
      </w:r>
      <w:r>
        <w:rPr>
          <w:rtl w:val="true"/>
        </w:rPr>
        <w:t>נטען כי מצבו של המערער היה ידוע עוד מתחילת הליך ההסגרה</w:t>
      </w:r>
      <w:r>
        <w:rPr>
          <w:rtl w:val="true"/>
        </w:rPr>
        <w:t xml:space="preserve">, </w:t>
      </w:r>
      <w:r>
        <w:rPr>
          <w:rtl w:val="true"/>
        </w:rPr>
        <w:t xml:space="preserve">ואף הוסכם על יציאתו ממעצר לצורך קבלת חוות דעת רפואיות </w:t>
      </w:r>
      <w:r>
        <w:rPr>
          <w:rtl w:val="true"/>
        </w:rPr>
        <w:t>–</w:t>
      </w:r>
      <w:r>
        <w:rPr>
          <w:rtl w:val="true"/>
        </w:rPr>
        <w:t xml:space="preserve"> אך המערער נמנע מלהגישן תוך כדי ההליך</w:t>
      </w:r>
      <w:r>
        <w:rPr>
          <w:rtl w:val="true"/>
        </w:rPr>
        <w:t xml:space="preserve">. </w:t>
      </w:r>
      <w:r>
        <w:rPr>
          <w:rtl w:val="true"/>
        </w:rPr>
        <w:t>נטען כי הפסיקה מלמדת כי יש לדחות טענות בדבר מתח שנגרם מאי הוודאות הכרוכה בהליך ההסגרה</w:t>
      </w:r>
      <w:r>
        <w:rPr>
          <w:rtl w:val="true"/>
        </w:rPr>
        <w:t xml:space="preserve">; </w:t>
      </w:r>
      <w:r>
        <w:rPr>
          <w:rtl w:val="true"/>
        </w:rPr>
        <w:t>וכי יש לזכור שעל אף קשיי התקשורת לכאורה של המערער</w:t>
      </w:r>
      <w:r>
        <w:rPr>
          <w:rtl w:val="true"/>
        </w:rPr>
        <w:t xml:space="preserve">, </w:t>
      </w:r>
      <w:r>
        <w:rPr>
          <w:rtl w:val="true"/>
        </w:rPr>
        <w:t>הוא פעל בהצלחה לשכנע כ</w:t>
      </w:r>
      <w:r>
        <w:rPr>
          <w:rtl w:val="true"/>
        </w:rPr>
        <w:t>-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קטינות לבצע מעשים מיניים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לאחר הדיון שקיימנו בערעור ביום </w:t>
      </w:r>
      <w:r>
        <w:rPr/>
        <w:t>2.5.2019</w:t>
      </w:r>
      <w:r>
        <w:rPr>
          <w:rtl w:val="true"/>
        </w:rPr>
        <w:t xml:space="preserve">, </w:t>
      </w:r>
      <w:r>
        <w:rPr>
          <w:rtl w:val="true"/>
        </w:rPr>
        <w:t>הגיש המערער בקשה נוספת להגשת ראיות חדשות</w:t>
      </w:r>
      <w:r>
        <w:rPr>
          <w:rtl w:val="true"/>
        </w:rPr>
        <w:t xml:space="preserve">. </w:t>
      </w:r>
      <w:r>
        <w:rPr>
          <w:rtl w:val="true"/>
        </w:rPr>
        <w:t>המשיב עמד על התנגדותו להגשת הראיות</w:t>
      </w:r>
      <w:r>
        <w:rPr>
          <w:rtl w:val="true"/>
        </w:rPr>
        <w:t xml:space="preserve">. </w:t>
      </w:r>
      <w:r>
        <w:rPr>
          <w:rtl w:val="true"/>
        </w:rPr>
        <w:t xml:space="preserve">בהחלטתנו מיום </w:t>
      </w:r>
      <w:r>
        <w:rPr/>
        <w:t>17.6.2019</w:t>
      </w:r>
      <w:r>
        <w:rPr>
          <w:rtl w:val="true"/>
        </w:rPr>
        <w:t xml:space="preserve">, </w:t>
      </w:r>
      <w:r>
        <w:rPr>
          <w:rtl w:val="true"/>
        </w:rPr>
        <w:t>הותרנו למערער להגיש את הראיות האמורות</w:t>
      </w:r>
      <w:r>
        <w:rPr>
          <w:rtl w:val="true"/>
        </w:rPr>
        <w:t xml:space="preserve">, </w:t>
      </w:r>
      <w:r>
        <w:rPr>
          <w:rtl w:val="true"/>
        </w:rPr>
        <w:t>מבלי לנקוט כל עמדה לגוף העניין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24.6.2019</w:t>
      </w:r>
      <w:r>
        <w:rPr>
          <w:rtl w:val="true"/>
        </w:rPr>
        <w:t xml:space="preserve"> </w:t>
      </w:r>
      <w:r>
        <w:rPr>
          <w:rtl w:val="true"/>
        </w:rPr>
        <w:t>הגיש המערער את הראיות</w:t>
      </w:r>
      <w:r>
        <w:rPr>
          <w:rtl w:val="true"/>
        </w:rPr>
        <w:t xml:space="preserve">, </w:t>
      </w:r>
      <w:r>
        <w:rPr>
          <w:rtl w:val="true"/>
        </w:rPr>
        <w:t>הכוללות אבחון של ועדה רפואית מטעם המוסד לביטוח לאומי בראשות פרופ</w:t>
      </w:r>
      <w:r>
        <w:rPr>
          <w:rtl w:val="true"/>
        </w:rPr>
        <w:t xml:space="preserve">' </w:t>
      </w:r>
      <w:r>
        <w:rPr>
          <w:rtl w:val="true"/>
        </w:rPr>
        <w:t xml:space="preserve">ברוך שפירא מיום </w:t>
      </w:r>
      <w:r>
        <w:rPr/>
        <w:t>30.4.2019</w:t>
      </w:r>
      <w:r>
        <w:rPr>
          <w:rtl w:val="true"/>
        </w:rPr>
        <w:t xml:space="preserve">, </w:t>
      </w:r>
      <w:r>
        <w:rPr>
          <w:rtl w:val="true"/>
        </w:rPr>
        <w:t xml:space="preserve">המציין כי נמצא ליקוי רפואי של אוטיזם </w:t>
      </w:r>
      <w:r>
        <w:rPr>
          <w:rtl w:val="true"/>
        </w:rPr>
        <w:t>–</w:t>
      </w:r>
      <w:r>
        <w:rPr>
          <w:rtl w:val="true"/>
        </w:rPr>
        <w:t xml:space="preserve"> וכן אישור על נכות רפואית משוקללת צמיתה בשיעור של </w:t>
      </w:r>
      <w:r>
        <w:rPr/>
        <w:t>50%</w:t>
      </w:r>
      <w:r>
        <w:rPr>
          <w:rtl w:val="true"/>
        </w:rPr>
        <w:t xml:space="preserve"> </w:t>
      </w:r>
      <w:r>
        <w:rPr>
          <w:rtl w:val="true"/>
        </w:rPr>
        <w:t xml:space="preserve">ואישור זכאות לקצבת נכות כללית בסך </w:t>
      </w:r>
      <w:r>
        <w:rPr/>
        <w:t>3,312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בשל אי כושר בגובה </w:t>
      </w:r>
      <w:r>
        <w:rPr/>
        <w:t>100%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 xml:space="preserve">בתגובתו מיום </w:t>
      </w:r>
      <w:r>
        <w:rPr>
          <w:sz w:val="28"/>
        </w:rPr>
        <w:t>1.7.2019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טוען המשיב כי המסמכים שהוגשו אינם קובעים דבר בנוגע ליכולת המערער להבין את הליך ההסגרה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וכי ככל שלמצבו הרפואי יש השפעה על אחריותו הפלילית – הוא יוכל להעלות את טענותיו במסגרת ההליך הפלילי בארצות הברית</w:t>
      </w:r>
      <w:r>
        <w:rPr>
          <w:sz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כבר בשלב זה</w:t>
      </w:r>
      <w:r>
        <w:rPr>
          <w:rtl w:val="true"/>
        </w:rPr>
        <w:t xml:space="preserve">, </w:t>
      </w:r>
      <w:r>
        <w:rPr>
          <w:rtl w:val="true"/>
        </w:rPr>
        <w:t>כי לאחר עיון בערעור ובטיעוני הצדדים בכתובים ובעל פה בדיון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דין הערעור להידחות על כל חלקיו</w:t>
      </w:r>
      <w:r>
        <w:rPr>
          <w:rtl w:val="true"/>
        </w:rPr>
        <w:t xml:space="preserve">, </w:t>
      </w:r>
      <w:r>
        <w:rPr>
          <w:rtl w:val="true"/>
        </w:rPr>
        <w:t>וכי יש להותיר את ההכרזה על המערער כבר</w:t>
      </w:r>
      <w:r>
        <w:rPr>
          <w:rtl w:val="true"/>
        </w:rPr>
        <w:t>-</w:t>
      </w:r>
      <w:r>
        <w:rPr>
          <w:rtl w:val="true"/>
        </w:rPr>
        <w:t>הסגרה על כנה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הנורמטיבית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בפרשה אחרת כבר עמדתי בהרחבה על המסגרת הנורמטיבית הכללית של דיני ההסגרה</w:t>
      </w:r>
      <w:r>
        <w:rPr>
          <w:rtl w:val="true"/>
        </w:rPr>
        <w:t xml:space="preserve">, </w:t>
      </w:r>
      <w:r>
        <w:rPr>
          <w:rtl w:val="true"/>
        </w:rPr>
        <w:t>ואביא את הדברים כלשונם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4596/05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רוזנשטיין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353</w:t>
      </w:r>
      <w:r>
        <w:rPr>
          <w:rtl w:val="true"/>
        </w:rPr>
        <w:t xml:space="preserve">, </w:t>
      </w:r>
      <w:r>
        <w:rPr/>
        <w:t>406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רוזנשטיין</w:t>
      </w:r>
      <w:r>
        <w:rPr>
          <w:rtl w:val="true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6182/98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שינביין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היועץ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לממשלה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נג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625</w:t>
      </w:r>
      <w:r>
        <w:rPr>
          <w:rtl w:val="true"/>
        </w:rPr>
        <w:t xml:space="preserve">, </w:t>
      </w:r>
      <w:r>
        <w:rPr/>
        <w:t>640-639</w:t>
      </w:r>
      <w:r>
        <w:rPr>
          <w:rtl w:val="true"/>
        </w:rPr>
        <w:t xml:space="preserve"> (</w:t>
      </w:r>
      <w:r>
        <w:rPr/>
        <w:t>1999</w:t>
      </w:r>
      <w:r>
        <w:rPr>
          <w:rtl w:val="true"/>
        </w:rPr>
        <w:t xml:space="preserve">)); </w:t>
      </w:r>
      <w:r>
        <w:rPr>
          <w:rtl w:val="true"/>
        </w:rPr>
        <w:t>שניאור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זלמן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1980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בבסיס הליך ההסגרה כמה תכליות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שעיקרן איזון בין האינטרס הציבורי – הן הלאומי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הן הבינלאומי – במיגור פשיעה חוצה גבולות ובמניעת הימלטות עבריינים מהדין לבין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 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20.6.2012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דרן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לסקירת תכליותיו של הליך ההסגרה ראו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2144/08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מונדרוביץ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14.1.2010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מונדרוביץ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tl w:val="true"/>
        </w:rPr>
        <w:t>" 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המוגדרת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;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ושהסגרתו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 xml:space="preserve">",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; </w:t>
      </w:r>
      <w:hyperlink r:id="rId4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3439/04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‏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בזק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היועץ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המשפטי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לממשלה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נט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294</w:t>
      </w:r>
      <w:r>
        <w:rPr>
          <w:rtl w:val="true"/>
        </w:rPr>
        <w:t xml:space="preserve">, </w:t>
      </w:r>
      <w:r>
        <w:rPr/>
        <w:t>300-299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בזק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3915/15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6.9.2015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ים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אין חולק על כך שהתנאים המקדמיים להסגרת המערער לארצות הברית מתקיימים</w:t>
      </w:r>
      <w:r>
        <w:rPr>
          <w:rtl w:val="true"/>
        </w:rPr>
        <w:t xml:space="preserve">: </w:t>
      </w:r>
      <w:r>
        <w:rPr>
          <w:rtl w:val="true"/>
        </w:rPr>
        <w:t>קיים</w:t>
      </w:r>
      <w:r>
        <w:rPr>
          <w:rtl w:val="true"/>
        </w:rPr>
        <w:t xml:space="preserve"> </w:t>
      </w:r>
      <w:r>
        <w:rPr>
          <w:rtl w:val="true"/>
        </w:rPr>
        <w:t>הסכם</w:t>
      </w:r>
      <w:r>
        <w:rPr>
          <w:rtl w:val="true"/>
        </w:rPr>
        <w:t xml:space="preserve"> </w:t>
      </w:r>
      <w:r>
        <w:rPr>
          <w:rtl w:val="true"/>
        </w:rPr>
        <w:t xml:space="preserve">הסגרה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ממשלת</w:t>
      </w:r>
      <w:r>
        <w:rPr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לבין ממשלת ארצות הברית</w:t>
      </w:r>
      <w:r>
        <w:rPr>
          <w:rtl w:val="true"/>
        </w:rPr>
        <w:t xml:space="preserve">;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המיוחסות</w:t>
      </w:r>
      <w:r>
        <w:rPr>
          <w:rtl w:val="true"/>
        </w:rPr>
        <w:t xml:space="preserve"> </w:t>
      </w:r>
      <w:r>
        <w:rPr>
          <w:rtl w:val="true"/>
        </w:rPr>
        <w:t xml:space="preserve">למערער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הסגרה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כמשמעותן</w:t>
      </w:r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; </w:t>
      </w:r>
      <w:r>
        <w:rPr>
          <w:rtl w:val="true"/>
        </w:rPr>
        <w:t>והראיות</w:t>
      </w:r>
      <w:r>
        <w:rPr>
          <w:rtl w:val="true"/>
        </w:rPr>
        <w:t xml:space="preserve"> </w:t>
      </w:r>
      <w:r>
        <w:rPr>
          <w:rtl w:val="true"/>
        </w:rPr>
        <w:t>שהוצגו</w:t>
      </w:r>
      <w:r>
        <w:rPr>
          <w:rtl w:val="true"/>
        </w:rPr>
        <w:t xml:space="preserve"> </w:t>
      </w:r>
      <w:r>
        <w:rPr>
          <w:rtl w:val="true"/>
        </w:rPr>
        <w:t>בעניי</w:t>
      </w:r>
      <w:r>
        <w:rPr>
          <w:rtl w:val="true"/>
        </w:rPr>
        <w:t xml:space="preserve">ן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מקיימות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הרף</w:t>
      </w:r>
      <w:r>
        <w:rPr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tl w:val="true"/>
        </w:rPr>
        <w:t xml:space="preserve"> </w:t>
      </w:r>
      <w:r>
        <w:rPr>
          <w:rtl w:val="true"/>
        </w:rPr>
        <w:t>הסגרה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 תנאי אחרון זה חלק המערער בנוגע לפרט אחד בכתב האישום</w:t>
      </w:r>
      <w:r>
        <w:rPr>
          <w:rtl w:val="true"/>
        </w:rPr>
        <w:t xml:space="preserve">, </w:t>
      </w:r>
      <w:r>
        <w:rPr>
          <w:rtl w:val="true"/>
        </w:rPr>
        <w:t>ולכך נתייחס בהמשך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המחלוקת בענייננו נסובה על מספר שאלות אחרות</w:t>
      </w:r>
      <w:r>
        <w:rPr>
          <w:rtl w:val="true"/>
        </w:rPr>
        <w:t xml:space="preserve">, </w:t>
      </w:r>
      <w:r>
        <w:rPr>
          <w:rtl w:val="true"/>
        </w:rPr>
        <w:t>שאליהן נתייחס כסדרן</w:t>
      </w:r>
      <w:r>
        <w:rPr>
          <w:rtl w:val="true"/>
        </w:rPr>
        <w:t xml:space="preserve">: </w:t>
      </w:r>
      <w:r>
        <w:rPr>
          <w:rtl w:val="true"/>
        </w:rPr>
        <w:t xml:space="preserve">אם </w:t>
      </w:r>
      <w:r>
        <w:rPr>
          <w:rtl w:val="true"/>
        </w:rPr>
        <w:t>"</w:t>
      </w:r>
      <w:r>
        <w:rPr>
          <w:rtl w:val="true"/>
        </w:rPr>
        <w:t>מרכז הכובד</w:t>
      </w:r>
      <w:r>
        <w:rPr>
          <w:rtl w:val="true"/>
        </w:rPr>
        <w:t xml:space="preserve">" </w:t>
      </w:r>
      <w:r>
        <w:rPr>
          <w:rtl w:val="true"/>
        </w:rPr>
        <w:t>של העבירות המיוחסות למערער הוא בארצות הברית או בישראל</w:t>
      </w:r>
      <w:r>
        <w:rPr>
          <w:rtl w:val="true"/>
        </w:rPr>
        <w:t xml:space="preserve">, </w:t>
      </w:r>
      <w:r>
        <w:rPr>
          <w:rtl w:val="true"/>
        </w:rPr>
        <w:t>והשלכתו של חוק יסוד</w:t>
      </w:r>
      <w:r>
        <w:rPr>
          <w:rtl w:val="true"/>
        </w:rPr>
        <w:t xml:space="preserve">: </w:t>
      </w:r>
      <w:r>
        <w:rPr>
          <w:rtl w:val="true"/>
        </w:rPr>
        <w:t>הלאום על העניין</w:t>
      </w:r>
      <w:r>
        <w:rPr>
          <w:rtl w:val="true"/>
        </w:rPr>
        <w:t xml:space="preserve">; </w:t>
      </w:r>
      <w:r>
        <w:rPr>
          <w:rtl w:val="true"/>
        </w:rPr>
        <w:t>אם נפל שיהוי בהליכי ההסגרה של המערער</w:t>
      </w:r>
      <w:r>
        <w:rPr>
          <w:rtl w:val="true"/>
        </w:rPr>
        <w:t xml:space="preserve">, </w:t>
      </w:r>
      <w:r>
        <w:rPr>
          <w:rtl w:val="true"/>
        </w:rPr>
        <w:t>במידה שעולה כדי פגיעה בתקנת הציבור או כדי עיוות דין המצדיקים את אי הסגרתו</w:t>
      </w:r>
      <w:r>
        <w:rPr>
          <w:rtl w:val="true"/>
        </w:rPr>
        <w:t xml:space="preserve">; </w:t>
      </w:r>
      <w:r>
        <w:rPr>
          <w:rtl w:val="true"/>
        </w:rPr>
        <w:t>אם הסגרתו עולה כדי אכיפה בררנית</w:t>
      </w:r>
      <w:r>
        <w:rPr>
          <w:rtl w:val="true"/>
        </w:rPr>
        <w:t xml:space="preserve">; </w:t>
      </w:r>
      <w:r>
        <w:rPr>
          <w:rtl w:val="true"/>
        </w:rPr>
        <w:t>אם יש הצדקה בריאותית למנוע את הסגרתו</w:t>
      </w:r>
      <w:r>
        <w:rPr>
          <w:rtl w:val="true"/>
        </w:rPr>
        <w:t xml:space="preserve">; </w:t>
      </w:r>
      <w:r>
        <w:rPr>
          <w:rtl w:val="true"/>
        </w:rPr>
        <w:t>וטענות נוספות שהעלה המערער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highlight w:val="yellow"/>
        </w:rPr>
      </w:pPr>
      <w:r>
        <w:rPr>
          <w:rtl w:val="true"/>
        </w:rPr>
        <w:tab/>
      </w:r>
      <w:r>
        <w:rPr>
          <w:rtl w:val="true"/>
        </w:rPr>
        <w:t>להלן אבחן שאלות אלה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מרכז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הכובד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העבירות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לא נראה כי יש מחלוקת על כך שבענייננו לשתי המדינות יש סמכות שיפוט להעמיד לדין את המערער על מעשיו </w:t>
      </w:r>
      <w:r>
        <w:rPr>
          <w:rtl w:val="true"/>
        </w:rPr>
        <w:t>(</w:t>
      </w:r>
      <w:r>
        <w:rPr>
          <w:rtl w:val="true"/>
        </w:rPr>
        <w:t>להרחבה 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רוזנשטיין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36</w:t>
      </w:r>
      <w:r>
        <w:rPr>
          <w:rtl w:val="true"/>
        </w:rPr>
        <w:t xml:space="preserve">). </w:t>
      </w:r>
      <w:r>
        <w:rPr>
          <w:rtl w:val="true"/>
        </w:rPr>
        <w:t xml:space="preserve">למדינת ישראל </w:t>
      </w:r>
      <w:r>
        <w:rPr>
          <w:rtl w:val="true"/>
        </w:rPr>
        <w:t>–</w:t>
      </w:r>
      <w:r>
        <w:rPr>
          <w:rtl w:val="true"/>
        </w:rPr>
        <w:t xml:space="preserve"> סמכות הנובעת מאזרחותו הישראלית של המערער ומכוח הזיקה הטריטוריאלית</w:t>
      </w:r>
      <w:r>
        <w:rPr>
          <w:rtl w:val="true"/>
        </w:rPr>
        <w:t xml:space="preserve">, </w:t>
      </w:r>
      <w:r>
        <w:rPr>
          <w:rtl w:val="true"/>
        </w:rPr>
        <w:t xml:space="preserve">משהעבירות בוצעו בשטח המדינה </w:t>
      </w:r>
      <w:r>
        <w:rPr>
          <w:rtl w:val="true"/>
        </w:rPr>
        <w:t>(</w:t>
      </w: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Times New Roman;Times New Roman" w:ascii="Times New Roman;Times New Roman" w:hAnsi="Times New Roman;Times New Roman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לארצות הברית </w:t>
      </w:r>
      <w:r>
        <w:rPr>
          <w:rtl w:val="true"/>
        </w:rPr>
        <w:t>–</w:t>
      </w:r>
      <w:r>
        <w:rPr>
          <w:rtl w:val="true"/>
        </w:rPr>
        <w:t xml:space="preserve"> סמכות הנובעת מזיקה טריטוריאלית רחבה</w:t>
      </w:r>
      <w:r>
        <w:rPr>
          <w:rtl w:val="true"/>
        </w:rPr>
        <w:t xml:space="preserve">, </w:t>
      </w:r>
      <w:r>
        <w:rPr>
          <w:rtl w:val="true"/>
        </w:rPr>
        <w:t xml:space="preserve">שחלה על מעשים עברייניים אשר נועדו להתרחש בשטח המדינה או שביצועם השפיע על המדינה </w:t>
      </w:r>
      <w:r>
        <w:rPr>
          <w:rtl w:val="true"/>
        </w:rPr>
        <w:t>(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85</w:t>
      </w:r>
      <w:r>
        <w:rPr>
          <w:rtl w:val="true"/>
        </w:rPr>
        <w:t xml:space="preserve"> (</w:t>
      </w:r>
      <w:r>
        <w:rPr/>
        <w:t>2.4.2012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יובל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)</w:t>
      </w:r>
      <w:r>
        <w:rPr>
          <w:rtl w:val="true"/>
        </w:rPr>
        <w:t xml:space="preserve">;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8801/09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21.9.2010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רוזנשטיין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25-24</w:t>
      </w:r>
      <w:r>
        <w:rPr>
          <w:rtl w:val="true"/>
        </w:rPr>
        <w:t xml:space="preserve">). </w:t>
      </w:r>
      <w:r>
        <w:rPr>
          <w:rtl w:val="true"/>
        </w:rPr>
        <w:t>המעשים בוצעו בישראל באמצעות המרשתת</w:t>
      </w:r>
      <w:r>
        <w:rPr>
          <w:rtl w:val="true"/>
        </w:rPr>
        <w:t xml:space="preserve">, </w:t>
      </w:r>
      <w:r>
        <w:rPr>
          <w:rtl w:val="true"/>
        </w:rPr>
        <w:t>על ידי אזרח ישראלי</w:t>
      </w:r>
      <w:r>
        <w:rPr>
          <w:rtl w:val="true"/>
        </w:rPr>
        <w:t xml:space="preserve">, </w:t>
      </w:r>
      <w:r>
        <w:rPr>
          <w:rtl w:val="true"/>
        </w:rPr>
        <w:t>וחומרי החקירה נתפסו בישראל</w:t>
      </w:r>
      <w:r>
        <w:rPr>
          <w:rtl w:val="true"/>
        </w:rPr>
        <w:t xml:space="preserve">; </w:t>
      </w:r>
      <w:r>
        <w:rPr>
          <w:rtl w:val="true"/>
        </w:rPr>
        <w:t>אך המעשים כוונו נגד קורבנות בארצות הברית</w:t>
      </w:r>
      <w:r>
        <w:rPr>
          <w:rtl w:val="true"/>
        </w:rPr>
        <w:t xml:space="preserve">, </w:t>
      </w:r>
      <w:r>
        <w:rPr>
          <w:rtl w:val="true"/>
        </w:rPr>
        <w:t>ורשויות אכיפת החוק בארצות הברית החלו את החקירה בפרשה ו</w:t>
      </w:r>
      <w:r>
        <w:rPr>
          <w:rtl w:val="true"/>
        </w:rPr>
        <w:t>"</w:t>
      </w:r>
      <w:r>
        <w:rPr>
          <w:rtl w:val="true"/>
        </w:rPr>
        <w:t>התניעו</w:t>
      </w:r>
      <w:r>
        <w:rPr>
          <w:rtl w:val="true"/>
        </w:rPr>
        <w:t xml:space="preserve">" </w:t>
      </w:r>
      <w:r>
        <w:rPr>
          <w:rtl w:val="true"/>
        </w:rPr>
        <w:t>את החקירה בישראל לאחר פנייתן לצורך עזרה משפטית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במצב ממין זה</w:t>
      </w:r>
      <w:r>
        <w:rPr>
          <w:rtl w:val="true"/>
        </w:rPr>
        <w:t xml:space="preserve">, </w:t>
      </w:r>
      <w:r>
        <w:rPr>
          <w:rtl w:val="true"/>
        </w:rPr>
        <w:t xml:space="preserve">שבו לשתי המדינות ישנה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יכולת</w:t>
      </w:r>
      <w:r>
        <w:rPr>
          <w:rtl w:val="true"/>
        </w:rPr>
        <w:t xml:space="preserve"> להעמיד לדין</w:t>
      </w:r>
      <w:r>
        <w:rPr>
          <w:rtl w:val="true"/>
        </w:rPr>
        <w:t xml:space="preserve">, </w:t>
      </w:r>
      <w:r>
        <w:rPr>
          <w:rtl w:val="true"/>
        </w:rPr>
        <w:t xml:space="preserve">מתעוררת השאלה לאיזו מדינה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עדיפות</w:t>
      </w:r>
      <w:r>
        <w:rPr>
          <w:rtl w:val="true"/>
        </w:rPr>
        <w:t xml:space="preserve"> לקיים את הבירור המשפטי</w:t>
      </w:r>
      <w:r>
        <w:rPr>
          <w:rtl w:val="true"/>
        </w:rPr>
        <w:t xml:space="preserve">. </w:t>
      </w:r>
      <w:r>
        <w:rPr>
          <w:rtl w:val="true"/>
        </w:rPr>
        <w:t xml:space="preserve">בפסיקתנו נקבע כי ההכרעה תיעשה בהתאם למירב הזיקות </w:t>
      </w:r>
      <w:r>
        <w:rPr>
          <w:rtl w:val="true"/>
        </w:rPr>
        <w:t>–</w:t>
      </w:r>
      <w:r>
        <w:rPr>
          <w:rtl w:val="true"/>
        </w:rPr>
        <w:t xml:space="preserve"> או ה</w:t>
      </w:r>
      <w:r>
        <w:rPr>
          <w:rtl w:val="true"/>
        </w:rPr>
        <w:t>"</w:t>
      </w:r>
      <w:r>
        <w:rPr>
          <w:rtl w:val="true"/>
        </w:rPr>
        <w:t>עבותות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של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ובמילים אחרות היכן נמצא </w:t>
      </w:r>
      <w:r>
        <w:rPr>
          <w:rtl w:val="true"/>
        </w:rPr>
        <w:t>"</w:t>
      </w:r>
      <w:r>
        <w:rPr>
          <w:rtl w:val="true"/>
        </w:rPr>
        <w:t>מרכז הכובד</w:t>
      </w:r>
      <w:r>
        <w:rPr>
          <w:rtl w:val="true"/>
        </w:rPr>
        <w:t xml:space="preserve">" </w:t>
      </w:r>
      <w:r>
        <w:rPr>
          <w:rtl w:val="true"/>
        </w:rPr>
        <w:t xml:space="preserve">של העבירות המיוחסות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יובל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87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מאיו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רוזנשטיין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416</w:t>
      </w:r>
      <w:r>
        <w:rPr>
          <w:rtl w:val="true"/>
        </w:rPr>
        <w:t xml:space="preserve">).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תינתן עדיפות למקום הפיזי של ביצוע העבירה</w:t>
      </w:r>
      <w:r>
        <w:rPr>
          <w:rtl w:val="true"/>
        </w:rPr>
        <w:t xml:space="preserve">, </w:t>
      </w:r>
      <w:r>
        <w:rPr>
          <w:rtl w:val="true"/>
        </w:rPr>
        <w:t>אך אין בכך כדי להכריע את הכף</w:t>
      </w:r>
      <w:r>
        <w:rPr>
          <w:rtl w:val="true"/>
        </w:rPr>
        <w:t xml:space="preserve">, </w:t>
      </w:r>
      <w:r>
        <w:rPr>
          <w:rtl w:val="true"/>
        </w:rPr>
        <w:t xml:space="preserve">וכל מקרה ייבחן לגופו על פי הזיקות שהוא מקיים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רוזנשטיין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419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אף אני סבור</w:t>
      </w:r>
      <w:r>
        <w:rPr>
          <w:rtl w:val="true"/>
        </w:rPr>
        <w:t xml:space="preserve">, </w:t>
      </w:r>
      <w:r>
        <w:rPr>
          <w:rtl w:val="true"/>
        </w:rPr>
        <w:t>כבית המשפט המחוזי</w:t>
      </w:r>
      <w:r>
        <w:rPr>
          <w:rtl w:val="true"/>
        </w:rPr>
        <w:t xml:space="preserve">, </w:t>
      </w:r>
      <w:r>
        <w:rPr>
          <w:rtl w:val="true"/>
        </w:rPr>
        <w:t>כי מרכז הכובד במקרה דנא מצוי דווקא בארצות הברית ולא בישראל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מקום ביצוע העבירה והחקירה היו בישראל</w:t>
      </w:r>
      <w:r>
        <w:rPr>
          <w:rtl w:val="true"/>
        </w:rPr>
        <w:t xml:space="preserve">, </w:t>
      </w:r>
      <w:r>
        <w:rPr>
          <w:rtl w:val="true"/>
        </w:rPr>
        <w:t>והמערער הוא אזרח ישראלי</w:t>
      </w:r>
      <w:r>
        <w:rPr>
          <w:rtl w:val="true"/>
        </w:rPr>
        <w:t xml:space="preserve">, </w:t>
      </w:r>
      <w:r>
        <w:rPr>
          <w:rtl w:val="true"/>
        </w:rPr>
        <w:t>ובהתאם לכך קיימת זיקה לישראל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עבירות מסוג זה שביצע המערער אינן מוגבלות לתחום טריטוריאלי צר</w:t>
      </w:r>
      <w:r>
        <w:rPr>
          <w:rtl w:val="true"/>
        </w:rPr>
        <w:t xml:space="preserve">. </w:t>
      </w:r>
      <w:r>
        <w:rPr>
          <w:rtl w:val="true"/>
        </w:rPr>
        <w:t>מאפיין אינהרנטי של עבירות מחשב ואינטרנט הוא האופי האקסטרה</w:t>
      </w:r>
      <w:r>
        <w:rPr>
          <w:rtl w:val="true"/>
        </w:rPr>
        <w:t>-</w:t>
      </w:r>
      <w:r>
        <w:rPr>
          <w:rtl w:val="true"/>
        </w:rPr>
        <w:t>טריטוריאלי שלהן</w:t>
      </w:r>
      <w:r>
        <w:rPr>
          <w:rtl w:val="true"/>
        </w:rPr>
        <w:t xml:space="preserve">. </w:t>
      </w:r>
      <w:r>
        <w:rPr>
          <w:rtl w:val="true"/>
        </w:rPr>
        <w:t>אופי זה מאפשר לחצות גבולות כהרף עין</w:t>
      </w:r>
      <w:r>
        <w:rPr>
          <w:rtl w:val="true"/>
        </w:rPr>
        <w:t xml:space="preserve">, </w:t>
      </w:r>
      <w:r>
        <w:rPr>
          <w:rtl w:val="true"/>
        </w:rPr>
        <w:t>ולהעמיד בסיכון תושבים של מדינות מעבר לים</w:t>
      </w:r>
      <w:r>
        <w:rPr>
          <w:rtl w:val="true"/>
        </w:rPr>
        <w:t xml:space="preserve">.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רוזנשטיין</w:t>
      </w:r>
      <w:r>
        <w:rPr>
          <w:rtl w:val="true"/>
        </w:rPr>
        <w:t xml:space="preserve">, </w:t>
      </w:r>
      <w:r>
        <w:rPr>
          <w:rtl w:val="true"/>
        </w:rPr>
        <w:t>הטעים בית המשפט כי תכלית הרחבת הזיקה הטריטוריאלית היא להתמודד עם אופי זה של עבירות</w:t>
      </w:r>
      <w:r>
        <w:rPr>
          <w:rtl w:val="true"/>
        </w:rPr>
        <w:t>, "</w:t>
      </w:r>
      <w:r>
        <w:rPr>
          <w:rtl w:val="true"/>
        </w:rPr>
        <w:t>אשר מטיבן אינן מוגבלות לתחומיה של מדינה יחידה</w:t>
      </w:r>
      <w:r>
        <w:rPr>
          <w:rtl w:val="true"/>
        </w:rPr>
        <w:t>"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רוזנשטיין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30</w:t>
      </w:r>
      <w:r>
        <w:rPr>
          <w:rtl w:val="true"/>
        </w:rPr>
        <w:t xml:space="preserve">). </w:t>
      </w:r>
      <w:r>
        <w:rPr>
          <w:rtl w:val="true"/>
        </w:rPr>
        <w:t>בעבירות בעלות אופי שכזה</w:t>
      </w:r>
      <w:r>
        <w:rPr>
          <w:rtl w:val="true"/>
        </w:rPr>
        <w:t xml:space="preserve">, </w:t>
      </w:r>
      <w:r>
        <w:rPr>
          <w:rtl w:val="true"/>
        </w:rPr>
        <w:t>ובייחוד עם האצת ההתפתחות הטכנולוגית של אמצעי תקשורת מקוונים</w:t>
      </w:r>
      <w:r>
        <w:rPr>
          <w:rtl w:val="true"/>
        </w:rPr>
        <w:t xml:space="preserve">, </w:t>
      </w:r>
      <w:r>
        <w:rPr>
          <w:rtl w:val="true"/>
        </w:rPr>
        <w:t xml:space="preserve">מיקומו הגיאוגרפי של מבצע העבירה מאבד מחשיבותו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רוזנשטיין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433</w:t>
      </w:r>
      <w:r>
        <w:rPr>
          <w:rtl w:val="true"/>
        </w:rPr>
        <w:t xml:space="preserve">). </w:t>
      </w:r>
      <w:r>
        <w:rPr>
          <w:rtl w:val="true"/>
        </w:rPr>
        <w:t>המבצע יכול לבצע את מעשיו מכל מדינה בעולם</w:t>
      </w:r>
      <w:r>
        <w:rPr>
          <w:rtl w:val="true"/>
        </w:rPr>
        <w:t xml:space="preserve">, </w:t>
      </w:r>
      <w:r>
        <w:rPr>
          <w:rtl w:val="true"/>
        </w:rPr>
        <w:t>ולשלוח חיציו לכל עבר</w:t>
      </w:r>
      <w:r>
        <w:rPr>
          <w:rtl w:val="true"/>
        </w:rPr>
        <w:t xml:space="preserve">, </w:t>
      </w:r>
      <w:r>
        <w:rPr>
          <w:rtl w:val="true"/>
        </w:rPr>
        <w:t xml:space="preserve">וכל שהוא זקוק לו הוא חיבור לרשת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מאיו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אסף </w:t>
      </w:r>
      <w:hyperlink r:id="rId54">
        <w:r>
          <w:rPr>
            <w:rStyle w:val="Hyperlink"/>
            <w:color w:val="0000FF"/>
            <w:u w:val="single"/>
            <w:rtl w:val="true"/>
          </w:rPr>
          <w:t>הרדוף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הפשע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המקוון</w:t>
        </w:r>
      </w:hyperlink>
      <w:r>
        <w:rPr>
          <w:rtl w:val="true"/>
        </w:rPr>
        <w:t xml:space="preserve"> מבוא </w:t>
      </w:r>
      <w:r>
        <w:rPr>
          <w:rtl w:val="true"/>
        </w:rPr>
        <w:t>(</w:t>
      </w:r>
      <w:r>
        <w:rPr/>
        <w:t>2010</w:t>
      </w:r>
      <w:r>
        <w:rPr>
          <w:rtl w:val="true"/>
        </w:rPr>
        <w:t xml:space="preserve">)).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נכון להצביע על מרכז הכובד בנסיבות אלה לפי מיקומן של הנפגעות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מאיו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יובל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88</w:t>
      </w:r>
      <w:r>
        <w:rPr>
          <w:rtl w:val="true"/>
        </w:rPr>
        <w:t xml:space="preserve">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7376/10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נובק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/>
        <w:t>16.5.2011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רוזנשטיין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432</w:t>
      </w:r>
      <w:r>
        <w:rPr>
          <w:rtl w:val="true"/>
        </w:rPr>
        <w:t xml:space="preserve">). </w:t>
      </w:r>
      <w:r>
        <w:rPr>
          <w:rtl w:val="true"/>
        </w:rPr>
        <w:t>המעשים שביצע המערער כוונו לקורבנות בארצות הברית</w:t>
      </w:r>
      <w:r>
        <w:rPr>
          <w:rtl w:val="true"/>
        </w:rPr>
        <w:t xml:space="preserve">. </w:t>
      </w:r>
      <w:r>
        <w:rPr>
          <w:rtl w:val="true"/>
        </w:rPr>
        <w:t>שם אירעה הפגיעה בקורבנות</w:t>
      </w:r>
      <w:r>
        <w:rPr>
          <w:rtl w:val="true"/>
        </w:rPr>
        <w:t xml:space="preserve">, </w:t>
      </w:r>
      <w:r>
        <w:rPr>
          <w:rtl w:val="true"/>
        </w:rPr>
        <w:t xml:space="preserve">והערכים החברתיים שנפגעו </w:t>
      </w:r>
      <w:r>
        <w:rPr>
          <w:rtl w:val="true"/>
        </w:rPr>
        <w:t>–</w:t>
      </w:r>
      <w:r>
        <w:rPr>
          <w:rtl w:val="true"/>
        </w:rPr>
        <w:t xml:space="preserve"> מצויים בעיקרם שם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אף אם המערער ביצע מעשים דומים כלפי קורבנות ישראלים</w:t>
      </w:r>
      <w:r>
        <w:rPr>
          <w:rtl w:val="true"/>
        </w:rPr>
        <w:t xml:space="preserve">, </w:t>
      </w:r>
      <w:r>
        <w:rPr>
          <w:rtl w:val="true"/>
        </w:rPr>
        <w:t>אין בכך כדי להסיט את מרכז הכובד בפרשה המיוחסת לו</w:t>
      </w:r>
      <w:r>
        <w:rPr>
          <w:rtl w:val="true"/>
        </w:rPr>
        <w:t xml:space="preserve">, </w:t>
      </w:r>
      <w:r>
        <w:rPr>
          <w:rtl w:val="true"/>
        </w:rPr>
        <w:t>שכן ניתן לראות בהן עבירות מובחנות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שכן מדובר היה בעיקר בפעולות ישירות כלפי קורבנות בישראל</w:t>
      </w:r>
      <w:r>
        <w:rPr>
          <w:rtl w:val="true"/>
        </w:rPr>
        <w:t xml:space="preserve">, </w:t>
      </w:r>
      <w:r>
        <w:rPr>
          <w:rtl w:val="true"/>
        </w:rPr>
        <w:t>שאינן מתמצות בתווך המקוון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המערער כבר הועמד לדין על עבירות אלה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בהקשר זה טען המערער כי מרכז הכובד של המעשים נמצא בישראל מכיוון שהוא כבר הועמד לדין בארץ והודה בכל המעשים </w:t>
      </w:r>
      <w:r>
        <w:rPr>
          <w:rtl w:val="true"/>
        </w:rPr>
        <w:t>–</w:t>
      </w:r>
      <w:r>
        <w:rPr>
          <w:rtl w:val="true"/>
        </w:rPr>
        <w:t xml:space="preserve"> אף אלו שנכללו בכתב האישום האמריקני</w:t>
      </w:r>
      <w:r>
        <w:rPr>
          <w:rtl w:val="true"/>
        </w:rPr>
        <w:t xml:space="preserve">, </w:t>
      </w:r>
      <w:r>
        <w:rPr>
          <w:rtl w:val="true"/>
        </w:rPr>
        <w:t>ולא היו חלק מההליך הפלילי בעניינו בארץ</w:t>
      </w:r>
      <w:r>
        <w:rPr>
          <w:rtl w:val="true"/>
        </w:rPr>
        <w:t xml:space="preserve">. </w:t>
      </w:r>
      <w:r>
        <w:rPr>
          <w:rtl w:val="true"/>
        </w:rPr>
        <w:t>אין בידי לקבל טענה זו</w:t>
      </w:r>
      <w:r>
        <w:rPr>
          <w:rtl w:val="true"/>
        </w:rPr>
        <w:t xml:space="preserve">. </w:t>
      </w:r>
      <w:r>
        <w:rPr>
          <w:rtl w:val="true"/>
        </w:rPr>
        <w:t>רשויות התביעה החליטו שלא להעמיד לדין את המערער על מעשיו שכוונו לקורבנות בארצות הברית</w:t>
      </w:r>
      <w:r>
        <w:rPr>
          <w:rtl w:val="true"/>
        </w:rPr>
        <w:t xml:space="preserve">. </w:t>
      </w:r>
      <w:r>
        <w:rPr>
          <w:rtl w:val="true"/>
        </w:rPr>
        <w:t>המערער השיג על החלטה זו</w:t>
      </w:r>
      <w:r>
        <w:rPr>
          <w:rtl w:val="true"/>
        </w:rPr>
        <w:t xml:space="preserve">, </w:t>
      </w:r>
      <w:r>
        <w:rPr>
          <w:rtl w:val="true"/>
        </w:rPr>
        <w:t xml:space="preserve">והשגותיו נדחו </w:t>
      </w:r>
      <w:r>
        <w:rPr>
          <w:rtl w:val="true"/>
        </w:rPr>
        <w:t>(</w:t>
      </w:r>
      <w:r>
        <w:rPr>
          <w:rtl w:val="true"/>
        </w:rPr>
        <w:t>בג</w:t>
      </w:r>
      <w:r>
        <w:rPr>
          <w:rtl w:val="true"/>
        </w:rPr>
        <w:t>"</w:t>
      </w:r>
      <w:r>
        <w:rPr>
          <w:rtl w:val="true"/>
        </w:rPr>
        <w:t xml:space="preserve">ץ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גבר</w:t>
      </w:r>
      <w:r>
        <w:rPr>
          <w:rtl w:val="true"/>
        </w:rPr>
        <w:t xml:space="preserve">). </w:t>
      </w:r>
      <w:r>
        <w:rPr>
          <w:rtl w:val="true"/>
        </w:rPr>
        <w:t xml:space="preserve">המערער אף השיג על החלטת בית המשפט שלא להרשיעו בעבירות נוספות בהתאם </w:t>
      </w:r>
      <w:hyperlink r:id="rId56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והשגותיו נדחו הן במישרין בהכרעת הדין ובערעור עליה</w:t>
      </w:r>
      <w:r>
        <w:rPr>
          <w:rtl w:val="true"/>
        </w:rPr>
        <w:t xml:space="preserve">; </w:t>
      </w:r>
      <w:r>
        <w:rPr>
          <w:rtl w:val="true"/>
        </w:rPr>
        <w:t>הן בעקיפין בעתירה לבג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סבורני אין עילה לעיין בהחלטות אלה מחדש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נכון הדבר כי בעת שהוחלט שלא להעמיד לדין את המערער בארץ על המעשים האמורים</w:t>
      </w:r>
      <w:r>
        <w:rPr>
          <w:rtl w:val="true"/>
        </w:rPr>
        <w:t xml:space="preserve">, </w:t>
      </w:r>
      <w:r>
        <w:rPr>
          <w:rtl w:val="true"/>
        </w:rPr>
        <w:t>טרם הוגשה בקשת הסגרה מטעם ארצות הברית</w:t>
      </w:r>
      <w:r>
        <w:rPr>
          <w:rtl w:val="true"/>
        </w:rPr>
        <w:t xml:space="preserve">. </w:t>
      </w:r>
      <w:r>
        <w:rPr>
          <w:rtl w:val="true"/>
        </w:rPr>
        <w:t>בעת הנוכחית</w:t>
      </w:r>
      <w:r>
        <w:rPr>
          <w:rtl w:val="true"/>
        </w:rPr>
        <w:t xml:space="preserve">, </w:t>
      </w:r>
      <w:r>
        <w:rPr>
          <w:rtl w:val="true"/>
        </w:rPr>
        <w:t>השתנו לכאורה הנסיבות</w:t>
      </w:r>
      <w:r>
        <w:rPr>
          <w:rtl w:val="true"/>
        </w:rPr>
        <w:t xml:space="preserve">, </w:t>
      </w:r>
      <w:r>
        <w:rPr>
          <w:rtl w:val="true"/>
        </w:rPr>
        <w:t>שכן ישנה בקשה תלויה ועומדת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איני סבור שיש בכך כדי לשנות מההכרעה שניתנה בעניין זה</w:t>
      </w:r>
      <w:r>
        <w:rPr>
          <w:rtl w:val="true"/>
        </w:rPr>
        <w:t xml:space="preserve">. </w:t>
      </w:r>
      <w:r>
        <w:rPr>
          <w:rtl w:val="true"/>
        </w:rPr>
        <w:t xml:space="preserve">הרשויות החליטו לא להעמיד לדין את המערער בגין המעשים שיוחסו לו תוך שהיו מודעות לפעולות החקירה שיזמו הרשויות בארצות הברית </w:t>
      </w:r>
      <w:r>
        <w:rPr>
          <w:rtl w:val="true"/>
        </w:rPr>
        <w:t>–</w:t>
      </w:r>
      <w:r>
        <w:rPr>
          <w:rtl w:val="true"/>
        </w:rPr>
        <w:t xml:space="preserve"> שכן הן אלו ש</w:t>
      </w:r>
      <w:r>
        <w:rPr>
          <w:rtl w:val="true"/>
        </w:rPr>
        <w:t>"</w:t>
      </w:r>
      <w:r>
        <w:rPr>
          <w:rtl w:val="true"/>
        </w:rPr>
        <w:t>התניעו</w:t>
      </w:r>
      <w:r>
        <w:rPr>
          <w:rtl w:val="true"/>
        </w:rPr>
        <w:t xml:space="preserve">" </w:t>
      </w:r>
      <w:r>
        <w:rPr>
          <w:rtl w:val="true"/>
        </w:rPr>
        <w:t xml:space="preserve">את ההליך גם בארץ </w:t>
      </w:r>
      <w:r>
        <w:rPr>
          <w:rtl w:val="true"/>
        </w:rPr>
        <w:t>–</w:t>
      </w:r>
      <w:r>
        <w:rPr>
          <w:rtl w:val="true"/>
        </w:rPr>
        <w:t xml:space="preserve"> ולאפשרות שתוגש בקשה להסגרת המערער</w:t>
      </w:r>
      <w:r>
        <w:rPr>
          <w:rtl w:val="true"/>
        </w:rPr>
        <w:t xml:space="preserve">. </w:t>
      </w:r>
      <w:r>
        <w:rPr>
          <w:rtl w:val="true"/>
        </w:rPr>
        <w:t xml:space="preserve">העיקרון הבסיסי החל בדיני ההסגרה הוא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שפיטה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הסגרה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Fonts w:cs="Century" w:ascii="Century" w:hAnsi="Century"/>
          <w:sz w:val="22"/>
        </w:rPr>
        <w:t>Aut Dedre Aut Judicare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מאיו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). </w:t>
      </w:r>
      <w:r>
        <w:rPr>
          <w:rtl w:val="true"/>
        </w:rPr>
        <w:t>במקרה זה</w:t>
      </w:r>
      <w:r>
        <w:rPr>
          <w:rtl w:val="true"/>
        </w:rPr>
        <w:t xml:space="preserve">, </w:t>
      </w:r>
      <w:r>
        <w:rPr>
          <w:rtl w:val="true"/>
        </w:rPr>
        <w:t>בחרה מדינת ישראל שלא לשפוט</w:t>
      </w:r>
      <w:r>
        <w:rPr>
          <w:rtl w:val="true"/>
        </w:rPr>
        <w:t xml:space="preserve">, </w:t>
      </w:r>
      <w:r>
        <w:rPr>
          <w:rtl w:val="true"/>
        </w:rPr>
        <w:t>אלא להסגיר</w:t>
      </w:r>
      <w:r>
        <w:rPr>
          <w:rtl w:val="true"/>
        </w:rPr>
        <w:t xml:space="preserve">. </w:t>
      </w:r>
      <w:r>
        <w:rPr>
          <w:rtl w:val="true"/>
        </w:rPr>
        <w:t>הגיונה עמה</w:t>
      </w:r>
      <w:r>
        <w:rPr>
          <w:rtl w:val="true"/>
        </w:rPr>
        <w:t xml:space="preserve">, </w:t>
      </w:r>
      <w:r>
        <w:rPr>
          <w:rtl w:val="true"/>
        </w:rPr>
        <w:t>ואין עילה לסטות מהכרעות שיפוטיות קודמות שנסבו על הכרעה זו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טען המערער כי נוכח הודאתו במעשים המיוחסים לו</w:t>
      </w:r>
      <w:r>
        <w:rPr>
          <w:rtl w:val="true"/>
        </w:rPr>
        <w:t xml:space="preserve">, </w:t>
      </w:r>
      <w:r>
        <w:rPr>
          <w:rtl w:val="true"/>
        </w:rPr>
        <w:t>ובשל העובדה כי האישומים נגדו מתבססים על חומרים דיגיטליים שנתפסו במחשבו</w:t>
      </w:r>
      <w:r>
        <w:rPr>
          <w:rtl w:val="true"/>
        </w:rPr>
        <w:t xml:space="preserve">, </w:t>
      </w:r>
      <w:r>
        <w:rPr>
          <w:rtl w:val="true"/>
        </w:rPr>
        <w:t xml:space="preserve">אין צורך כי נפגעות העבירה יעידו </w:t>
      </w:r>
      <w:r>
        <w:rPr>
          <w:rtl w:val="true"/>
        </w:rPr>
        <w:t>–</w:t>
      </w:r>
      <w:r>
        <w:rPr>
          <w:rtl w:val="true"/>
        </w:rPr>
        <w:t xml:space="preserve"> ואף התחייב כי יימנע מלהזמינן לעדות</w:t>
      </w:r>
      <w:r>
        <w:rPr>
          <w:rtl w:val="true"/>
        </w:rPr>
        <w:t xml:space="preserve">. </w:t>
      </w:r>
      <w:r>
        <w:rPr>
          <w:rtl w:val="true"/>
        </w:rPr>
        <w:t>נכון הדבר כי ניהול ההליך בעניין המערער אינו צפוי להיות מורכב כבמקרים אחרים</w:t>
      </w:r>
      <w:r>
        <w:rPr>
          <w:rtl w:val="true"/>
        </w:rPr>
        <w:t xml:space="preserve">, </w:t>
      </w:r>
      <w:r>
        <w:rPr>
          <w:rtl w:val="true"/>
        </w:rPr>
        <w:t>משזה בחר שלא לנהל את הגנתו ולהודות במיוחס לו</w:t>
      </w:r>
      <w:r>
        <w:rPr>
          <w:rtl w:val="true"/>
        </w:rPr>
        <w:t xml:space="preserve">. </w:t>
      </w:r>
      <w:r>
        <w:rPr>
          <w:rtl w:val="true"/>
        </w:rPr>
        <w:t>מוכן אני להניח כי מורכבות ההליך עשויה להיות שיקול אפשרי בבחינת מרכז הכובד של העבירה</w:t>
      </w:r>
      <w:r>
        <w:rPr>
          <w:rtl w:val="true"/>
        </w:rPr>
        <w:t xml:space="preserve">, </w:t>
      </w:r>
      <w:r>
        <w:rPr>
          <w:rtl w:val="true"/>
        </w:rPr>
        <w:t xml:space="preserve">שעשויה ללמד כי מירב הזיקות נוגעות לשיטה משפטית אחת או </w:t>
      </w:r>
      <w:r>
        <w:rPr>
          <w:rtl w:val="true"/>
        </w:rPr>
        <w:t>לְרֵעַתָה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מאיו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יובל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88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גם אם הודיית המערער תייתר את הצורך בניהול הוכחות לעניין ביצוע העבירות ותחסוך זמן שיפוטי</w:t>
      </w:r>
      <w:r>
        <w:rPr>
          <w:rtl w:val="true"/>
        </w:rPr>
        <w:t xml:space="preserve">, </w:t>
      </w:r>
      <w:r>
        <w:rPr>
          <w:rtl w:val="true"/>
        </w:rPr>
        <w:t>היא אינה מאיינת את הקשר של מעשיו לארצות הברית ואת האינטרס להעמידו לדין דווקא שם</w:t>
      </w:r>
      <w:r>
        <w:rPr>
          <w:rtl w:val="true"/>
        </w:rPr>
        <w:t xml:space="preserve">. </w:t>
      </w:r>
      <w:r>
        <w:rPr>
          <w:rtl w:val="true"/>
        </w:rPr>
        <w:t>שיקול הדעת בניהול ההליך מסור לרשויות התביעה בארצות הברית</w:t>
      </w:r>
      <w:r>
        <w:rPr>
          <w:rtl w:val="true"/>
        </w:rPr>
        <w:t xml:space="preserve">, </w:t>
      </w:r>
      <w:r>
        <w:rPr>
          <w:rtl w:val="true"/>
        </w:rPr>
        <w:t>והן תחלטנה כיצד לנהלו</w:t>
      </w:r>
      <w:r>
        <w:rPr>
          <w:rtl w:val="true"/>
        </w:rPr>
        <w:t xml:space="preserve">; </w:t>
      </w:r>
      <w:r>
        <w:rPr>
          <w:rtl w:val="true"/>
        </w:rPr>
        <w:t>אך האינטרס של השיטה להעמיד לדין את המערער על הפגיעה בערכים החברתיים המוגנים אינו יכול להתמצות בהליך פלילי שינוהל בישראל</w:t>
      </w:r>
      <w:r>
        <w:rPr>
          <w:rtl w:val="true"/>
        </w:rPr>
        <w:t xml:space="preserve">. </w:t>
      </w:r>
      <w:r>
        <w:rPr>
          <w:rtl w:val="true"/>
        </w:rPr>
        <w:t>הנפגעות</w:t>
      </w:r>
      <w:r>
        <w:rPr>
          <w:rtl w:val="true"/>
        </w:rPr>
        <w:t xml:space="preserve">, </w:t>
      </w:r>
      <w:r>
        <w:rPr>
          <w:rtl w:val="true"/>
        </w:rPr>
        <w:t>שהמערער ניצל את תמימותן</w:t>
      </w:r>
      <w:r>
        <w:rPr>
          <w:rtl w:val="true"/>
        </w:rPr>
        <w:t xml:space="preserve">, </w:t>
      </w:r>
      <w:r>
        <w:rPr>
          <w:rtl w:val="true"/>
        </w:rPr>
        <w:t xml:space="preserve">זכאיות להשמיע את קולן  </w:t>
      </w:r>
      <w:r>
        <w:rPr>
          <w:rtl w:val="true"/>
        </w:rPr>
        <w:t>–</w:t>
      </w:r>
      <w:r>
        <w:rPr>
          <w:rtl w:val="true"/>
        </w:rPr>
        <w:t xml:space="preserve"> ולעשות כן בשפתן ובארצן</w:t>
      </w:r>
      <w:r>
        <w:rPr>
          <w:rtl w:val="true"/>
        </w:rPr>
        <w:t xml:space="preserve">; </w:t>
      </w:r>
      <w:r>
        <w:rPr>
          <w:rtl w:val="true"/>
        </w:rPr>
        <w:t>והאינטרס של המערער לנהל את ההליך בארצו אינו גובר על כך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הוסיף וטען כי חקיקת חוק יסוד</w:t>
      </w:r>
      <w:r>
        <w:rPr>
          <w:rtl w:val="true"/>
        </w:rPr>
        <w:t xml:space="preserve">: </w:t>
      </w:r>
      <w:r>
        <w:rPr>
          <w:rtl w:val="true"/>
        </w:rPr>
        <w:t>הלאום מטה את הכף לטובת אי הסגרתו לארצות הברית</w:t>
      </w:r>
      <w:r>
        <w:rPr>
          <w:rtl w:val="true"/>
        </w:rPr>
        <w:t xml:space="preserve">, </w:t>
      </w:r>
      <w:r>
        <w:rPr>
          <w:rtl w:val="true"/>
        </w:rPr>
        <w:t>בשל הזכות העולה ממנו לעמוד לדין בישראל כאזרח ישראלי</w:t>
      </w:r>
      <w:r>
        <w:rPr>
          <w:rtl w:val="true"/>
        </w:rPr>
        <w:t>-</w:t>
      </w:r>
      <w:r>
        <w:rPr>
          <w:rtl w:val="true"/>
        </w:rPr>
        <w:t>יהודי</w:t>
      </w:r>
      <w:r>
        <w:rPr>
          <w:rtl w:val="true"/>
        </w:rPr>
        <w:t xml:space="preserve">. </w:t>
      </w:r>
      <w:r>
        <w:rPr>
          <w:rtl w:val="true"/>
        </w:rPr>
        <w:t>המערער הטעים כי אין הוא טוען כי חוק יסוד</w:t>
      </w:r>
      <w:r>
        <w:rPr>
          <w:rtl w:val="true"/>
        </w:rPr>
        <w:t xml:space="preserve">: </w:t>
      </w:r>
      <w:r>
        <w:rPr>
          <w:rtl w:val="true"/>
        </w:rPr>
        <w:t>הלאום מכריע תמיד לטובת אי הסגרה</w:t>
      </w:r>
      <w:r>
        <w:rPr>
          <w:rtl w:val="true"/>
        </w:rPr>
        <w:t xml:space="preserve">, </w:t>
      </w:r>
      <w:r>
        <w:rPr>
          <w:rtl w:val="true"/>
        </w:rPr>
        <w:t>אלא שבנסיבות המקרה שלפנינו הוא מוסיף משקל לכף המאזניים</w:t>
      </w:r>
      <w:r>
        <w:rPr>
          <w:rtl w:val="true"/>
        </w:rPr>
        <w:t xml:space="preserve">. </w:t>
      </w:r>
      <w:r>
        <w:rPr>
          <w:rtl w:val="true"/>
        </w:rPr>
        <w:t>אין בידי לקבל טענה זו</w:t>
      </w:r>
      <w:r>
        <w:rPr>
          <w:rtl w:val="true"/>
        </w:rPr>
        <w:t xml:space="preserve">. </w:t>
      </w:r>
      <w:r>
        <w:rPr>
          <w:rtl w:val="true"/>
        </w:rPr>
        <w:t>אף אני סבור</w:t>
      </w:r>
      <w:r>
        <w:rPr>
          <w:rtl w:val="true"/>
        </w:rPr>
        <w:t xml:space="preserve">, </w:t>
      </w:r>
      <w:r>
        <w:rPr>
          <w:rtl w:val="true"/>
        </w:rPr>
        <w:t>כפי שכבר נפסק</w:t>
      </w:r>
      <w:r>
        <w:rPr>
          <w:rtl w:val="true"/>
        </w:rPr>
        <w:t xml:space="preserve">, </w:t>
      </w:r>
      <w:r>
        <w:rPr>
          <w:rtl w:val="true"/>
        </w:rPr>
        <w:t>כי חקיקת חוק יסוד</w:t>
      </w:r>
      <w:r>
        <w:rPr>
          <w:rtl w:val="true"/>
        </w:rPr>
        <w:t xml:space="preserve">: </w:t>
      </w:r>
      <w:r>
        <w:rPr>
          <w:rtl w:val="true"/>
        </w:rPr>
        <w:t>הלאום אינה משנה מן המסקנה כי המערער הוא 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 xml:space="preserve">. </w:t>
      </w:r>
      <w:r>
        <w:rPr>
          <w:rtl w:val="true"/>
        </w:rPr>
        <w:t>חוק היסוד לא נועד להגן על עבריינים בישראל</w:t>
      </w:r>
      <w:r>
        <w:rPr>
          <w:rtl w:val="true"/>
        </w:rPr>
        <w:t xml:space="preserve">. </w:t>
      </w:r>
      <w:r>
        <w:rPr>
          <w:rtl w:val="true"/>
        </w:rPr>
        <w:t>הוראותיו אינן עוסקות בהסגרה או בנושאים משיקים</w:t>
      </w:r>
      <w:r>
        <w:rPr>
          <w:rtl w:val="true"/>
        </w:rPr>
        <w:t xml:space="preserve">, </w:t>
      </w:r>
      <w:r>
        <w:rPr>
          <w:rtl w:val="true"/>
        </w:rPr>
        <w:t xml:space="preserve">במישרין או בעקיפין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ורנו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).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כי בעבר</w:t>
      </w:r>
      <w:r>
        <w:rPr>
          <w:rtl w:val="true"/>
        </w:rPr>
        <w:t xml:space="preserve">, </w:t>
      </w:r>
      <w:r>
        <w:rPr>
          <w:rtl w:val="true"/>
        </w:rPr>
        <w:t>המחוקק השמיע את קולו בבירור נגד הסגרה של אזרחים ישראלים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המחוקק בחר לשנות את הדין הנוהג עמנו</w:t>
      </w:r>
      <w:r>
        <w:rPr>
          <w:rtl w:val="true"/>
        </w:rPr>
        <w:t xml:space="preserve">, </w:t>
      </w:r>
      <w:r>
        <w:rPr>
          <w:rtl w:val="true"/>
        </w:rPr>
        <w:t xml:space="preserve">ולתקן את 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 כך שיאפשר הסגרה מישראל </w:t>
      </w:r>
      <w:r>
        <w:rPr>
          <w:rtl w:val="true"/>
        </w:rPr>
        <w:t>(</w:t>
      </w:r>
      <w:r>
        <w:rPr>
          <w:rtl w:val="true"/>
        </w:rPr>
        <w:t xml:space="preserve">חוק ההסגרה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),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1999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1708</w:t>
      </w:r>
      <w:r>
        <w:rPr>
          <w:rtl w:val="true"/>
        </w:rPr>
        <w:t xml:space="preserve">; </w:t>
      </w:r>
      <w:r>
        <w:rPr>
          <w:rtl w:val="true"/>
        </w:rPr>
        <w:t>להרחבה 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רוזנשטיין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59-58</w:t>
      </w:r>
      <w:r>
        <w:rPr>
          <w:rtl w:val="true"/>
        </w:rPr>
        <w:t xml:space="preserve">). </w:t>
      </w:r>
      <w:r>
        <w:rPr>
          <w:rtl w:val="true"/>
        </w:rPr>
        <w:t>חוק יסוד</w:t>
      </w:r>
      <w:r>
        <w:rPr>
          <w:rtl w:val="true"/>
        </w:rPr>
        <w:t xml:space="preserve">: </w:t>
      </w:r>
      <w:r>
        <w:rPr>
          <w:rtl w:val="true"/>
        </w:rPr>
        <w:t>הלאום לא שינה מצב נורמטיבי זה</w:t>
      </w:r>
      <w:r>
        <w:rPr>
          <w:rtl w:val="true"/>
        </w:rPr>
        <w:t xml:space="preserve">. </w:t>
      </w:r>
      <w:r>
        <w:rPr>
          <w:rtl w:val="true"/>
        </w:rPr>
        <w:t>פסיקתנו</w:t>
      </w:r>
      <w:r>
        <w:rPr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 </w:t>
      </w:r>
      <w:r>
        <w:rPr>
          <w:rtl w:val="true"/>
        </w:rPr>
        <w:t>נדרשה</w:t>
      </w:r>
      <w:r>
        <w:rPr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 </w:t>
      </w:r>
      <w:r>
        <w:rPr>
          <w:rtl w:val="true"/>
        </w:rPr>
        <w:t>לחוקתיות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tl w:val="true"/>
        </w:rPr>
        <w:t xml:space="preserve"> </w:t>
      </w:r>
      <w:r>
        <w:rPr>
          <w:rtl w:val="true"/>
        </w:rPr>
        <w:t>פוגע</w:t>
      </w:r>
      <w:r>
        <w:rPr>
          <w:rtl w:val="true"/>
        </w:rPr>
        <w:t xml:space="preserve"> </w:t>
      </w:r>
      <w:r>
        <w:rPr>
          <w:rtl w:val="true"/>
        </w:rPr>
        <w:t>בזכות</w:t>
      </w:r>
      <w:r>
        <w:rPr>
          <w:rtl w:val="true"/>
        </w:rPr>
        <w:t xml:space="preserve"> </w:t>
      </w:r>
      <w:r>
        <w:rPr>
          <w:rtl w:val="true"/>
        </w:rPr>
        <w:t>לחירות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כבוד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האדם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וחירותו</w:t>
        </w:r>
      </w:hyperlink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חוקתי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השתנה</w:t>
      </w:r>
      <w:r>
        <w:rPr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הוספתו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 xml:space="preserve">: </w:t>
      </w:r>
      <w:r>
        <w:rPr>
          <w:rtl w:val="true"/>
        </w:rPr>
        <w:t>הלאום</w:t>
      </w:r>
      <w:r>
        <w:rPr>
          <w:rtl w:val="true"/>
        </w:rPr>
        <w:t xml:space="preserve"> </w:t>
      </w:r>
      <w:r>
        <w:rPr>
          <w:rtl w:val="true"/>
        </w:rPr>
        <w:t>למארג</w:t>
      </w:r>
      <w:r>
        <w:rPr>
          <w:rtl w:val="true"/>
        </w:rPr>
        <w:t xml:space="preserve"> </w:t>
      </w:r>
      <w:r>
        <w:rPr>
          <w:rtl w:val="true"/>
        </w:rPr>
        <w:t>החוקתי</w:t>
      </w:r>
      <w:r>
        <w:rPr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  <w:t xml:space="preserve">זאת ועוד </w:t>
      </w:r>
      <w:r>
        <w:rPr>
          <w:rtl w:val="true"/>
        </w:rPr>
        <w:t>–</w:t>
      </w:r>
      <w:r>
        <w:rPr>
          <w:rtl w:val="true"/>
        </w:rPr>
        <w:t xml:space="preserve"> המערער יהיה רשאי לבקש לרצות את עונשו בישראל</w:t>
      </w:r>
      <w:r>
        <w:rPr>
          <w:rtl w:val="true"/>
        </w:rPr>
        <w:t xml:space="preserve">, </w:t>
      </w:r>
      <w:r>
        <w:rPr>
          <w:rtl w:val="true"/>
        </w:rPr>
        <w:t xml:space="preserve">בהתאם </w:t>
      </w:r>
      <w:hyperlink r:id="rId62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, </w:t>
      </w:r>
      <w:r>
        <w:rPr>
          <w:rtl w:val="true"/>
        </w:rPr>
        <w:t>כך שהחשש כי ייצא ל</w:t>
      </w:r>
      <w:r>
        <w:rPr>
          <w:rtl w:val="true"/>
        </w:rPr>
        <w:t>"</w:t>
      </w:r>
      <w:r>
        <w:rPr>
          <w:rtl w:val="true"/>
        </w:rPr>
        <w:t>גלות</w:t>
      </w:r>
      <w:r>
        <w:rPr>
          <w:rtl w:val="true"/>
        </w:rPr>
        <w:t xml:space="preserve">" </w:t>
      </w:r>
      <w:r>
        <w:rPr>
          <w:rtl w:val="true"/>
        </w:rPr>
        <w:t>אינו ממשי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תקנת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ושיהוי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 xml:space="preserve">לפי </w:t>
      </w:r>
      <w:hyperlink r:id="rId6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, </w:t>
      </w:r>
      <w:r>
        <w:rPr>
          <w:rtl w:val="true"/>
        </w:rPr>
        <w:t>סייג אפשרי להסגרה הוא פגיעה בתקנת הציבור או באינטרס חיוני של מדינת ישראל</w:t>
      </w:r>
      <w:r>
        <w:rPr>
          <w:rtl w:val="true"/>
        </w:rPr>
        <w:t xml:space="preserve">. </w:t>
      </w:r>
      <w:r>
        <w:rPr>
          <w:rtl w:val="true"/>
        </w:rPr>
        <w:t xml:space="preserve">המושג </w:t>
      </w:r>
      <w:r>
        <w:rPr>
          <w:rtl w:val="true"/>
        </w:rPr>
        <w:t>"</w:t>
      </w:r>
      <w:r>
        <w:rPr>
          <w:rtl w:val="true"/>
        </w:rPr>
        <w:t>תקנת הציבור</w:t>
      </w:r>
      <w:r>
        <w:rPr>
          <w:rtl w:val="true"/>
        </w:rPr>
        <w:t xml:space="preserve">" </w:t>
      </w:r>
      <w:r>
        <w:rPr>
          <w:rtl w:val="true"/>
        </w:rPr>
        <w:t xml:space="preserve">בהקשר זה כבר פותח בפסיקתנו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וההפניות המובאות שם</w:t>
      </w:r>
      <w:r>
        <w:rPr>
          <w:rtl w:val="true"/>
        </w:rPr>
        <w:t xml:space="preserve">). </w:t>
      </w:r>
      <w:r>
        <w:rPr>
          <w:rtl w:val="true"/>
        </w:rPr>
        <w:t>די אם נאמר כי הסגרה תחשב כמנוגדת לתקנת הציבור אם תפגע באופן מהותי בתחושות הצדק</w:t>
      </w:r>
      <w:r>
        <w:rPr>
          <w:rtl w:val="true"/>
        </w:rPr>
        <w:t xml:space="preserve">, </w:t>
      </w:r>
      <w:r>
        <w:rPr>
          <w:rtl w:val="true"/>
        </w:rPr>
        <w:t xml:space="preserve">המוסר וההגינות של הציבור בישראל </w:t>
      </w:r>
      <w:r>
        <w:rPr>
          <w:rtl w:val="true"/>
        </w:rPr>
        <w:t>(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2521/03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סירקיס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נז</w:t>
        </w:r>
      </w:hyperlink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, </w:t>
      </w:r>
      <w:r>
        <w:rPr/>
        <w:t>346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סירקיס</w:t>
      </w:r>
      <w:r>
        <w:rPr>
          <w:rtl w:val="true"/>
        </w:rPr>
        <w:t xml:space="preserve">)). </w:t>
      </w:r>
      <w:r>
        <w:rPr>
          <w:rtl w:val="true"/>
        </w:rPr>
        <w:t>אם יימצא כי הסגרה נוגדת את תקנת הציבור כמשמעה ב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, </w:t>
      </w:r>
      <w:r>
        <w:rPr>
          <w:rtl w:val="true"/>
        </w:rPr>
        <w:t>בית המשפט יימנע מלהורות עליה</w:t>
      </w:r>
      <w:r>
        <w:rPr>
          <w:rtl w:val="true"/>
        </w:rPr>
        <w:t xml:space="preserve">, </w:t>
      </w:r>
      <w:r>
        <w:rPr>
          <w:rtl w:val="true"/>
        </w:rPr>
        <w:t xml:space="preserve">וזאת אף אם יתר התנאים מתמלאים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יש לזכור כי בהינתן האינטרסים הציבוריים החשובים שמקיימים דיני ההסגרה</w:t>
      </w:r>
      <w:r>
        <w:rPr>
          <w:rtl w:val="true"/>
        </w:rPr>
        <w:t xml:space="preserve">, </w:t>
      </w:r>
      <w:r>
        <w:rPr>
          <w:rtl w:val="true"/>
        </w:rPr>
        <w:t xml:space="preserve">טענות מסוג זה יתקבלו במשורה ובמקרים חריגים ויוצאי דופן בלבד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מונדרוביץ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114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6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250/08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 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פסקה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12.3.2009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סירקיס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346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הפגיעה בתקנת הציבור עשויה ללבוש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אם כן </w:t>
      </w:r>
      <w:r>
        <w:rPr>
          <w:rtl w:val="true"/>
        </w:rPr>
        <w:t>–</w:t>
      </w:r>
      <w:r>
        <w:rPr>
          <w:rtl w:val="true"/>
        </w:rPr>
        <w:t xml:space="preserve"> צורות רבות</w:t>
      </w:r>
      <w:r>
        <w:rPr>
          <w:rtl w:val="true"/>
        </w:rPr>
        <w:t xml:space="preserve">, </w:t>
      </w:r>
      <w:r>
        <w:rPr>
          <w:rtl w:val="true"/>
        </w:rPr>
        <w:t>ואחת מהן היא שיהוי</w:t>
      </w:r>
      <w:r>
        <w:rPr>
          <w:rtl w:val="true"/>
        </w:rPr>
        <w:t xml:space="preserve">. </w:t>
      </w:r>
      <w:r>
        <w:rPr>
          <w:rtl w:val="true"/>
        </w:rPr>
        <w:t>בית משפט זה כבר פסק כי בנסיבות מסוימות</w:t>
      </w:r>
      <w:r>
        <w:rPr>
          <w:rtl w:val="true"/>
        </w:rPr>
        <w:t xml:space="preserve">, </w:t>
      </w:r>
      <w:r>
        <w:rPr>
          <w:rtl w:val="true"/>
        </w:rPr>
        <w:t xml:space="preserve">שיהוי בהליכי הסגרה עשוי להגיע כדי פגיעה בתקנת הציבור </w:t>
      </w:r>
      <w:r>
        <w:rPr>
          <w:rFonts w:cs="Century" w:ascii="Century" w:hAnsi="Century"/>
          <w:sz w:val="22"/>
          <w:rtl w:val="true"/>
        </w:rPr>
        <w:t>(</w:t>
      </w:r>
      <w:hyperlink r:id="rId6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6384/11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הדין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גובראן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5.2.</w:t>
      </w:r>
      <w:r>
        <w:rPr/>
        <w:t>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7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739/07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7.6.2007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אפרת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סירקיס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347-346</w:t>
      </w:r>
      <w:r>
        <w:rPr>
          <w:rtl w:val="true"/>
        </w:rPr>
        <w:t xml:space="preserve">)). </w:t>
      </w:r>
      <w:r>
        <w:rPr>
          <w:rtl w:val="true"/>
        </w:rPr>
        <w:t>המבחנים שהתגבשו בפסיקתנו מצביעים על מספר היבטים שיש לבחון לצורך קביעה אם נפל שיהוי המצדיק אי הסגרה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למורכבות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נסיבותיו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בהתמשכות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פגיעתו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השיהוי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ביכולתו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המבוקש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לנהל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הגנתו</w:t>
      </w:r>
      <w:r>
        <w:rPr>
          <w:rtl w:val="true"/>
        </w:rPr>
        <w:t xml:space="preserve">;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תיצור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תוצאה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צודקת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מן הכלל אל הפרט בעניין זה</w:t>
      </w:r>
      <w:r>
        <w:rPr>
          <w:rtl w:val="true"/>
        </w:rPr>
        <w:t xml:space="preserve">. </w:t>
      </w:r>
      <w:r>
        <w:rPr>
          <w:rtl w:val="true"/>
        </w:rPr>
        <w:t>סבורני כי אין לומר שהשיהוי שאכן אירע בהליכי ההסגרה בעניין המערער</w:t>
      </w:r>
      <w:r>
        <w:rPr>
          <w:rtl w:val="true"/>
        </w:rPr>
        <w:t xml:space="preserve">, </w:t>
      </w:r>
      <w:r>
        <w:rPr>
          <w:rtl w:val="true"/>
        </w:rPr>
        <w:t>הוא חריג במידה המצדיקה את אי הסגרתו</w:t>
      </w:r>
      <w:r>
        <w:rPr>
          <w:rtl w:val="true"/>
        </w:rPr>
        <w:t xml:space="preserve">. </w:t>
      </w:r>
      <w:r>
        <w:rPr>
          <w:rtl w:val="true"/>
        </w:rPr>
        <w:t>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השיהוי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ול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אכן</w:t>
      </w:r>
      <w:r>
        <w:rPr>
          <w:rtl w:val="true"/>
        </w:rPr>
        <w:t xml:space="preserve">, </w:t>
      </w:r>
      <w:r>
        <w:rPr>
          <w:rtl w:val="true"/>
        </w:rPr>
        <w:t>חלפו כ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 מאז החקירה בעניין המערער ועד למועד הגשת בקשת ההסגרה</w:t>
      </w:r>
      <w:r>
        <w:rPr>
          <w:rtl w:val="true"/>
        </w:rPr>
        <w:t xml:space="preserve">. </w:t>
      </w:r>
      <w:r>
        <w:rPr>
          <w:rtl w:val="true"/>
        </w:rPr>
        <w:t>בתקופה זו היה המערער מצוי בחוסר ודאות לגבי העתיד לבוא</w:t>
      </w:r>
      <w:r>
        <w:rPr>
          <w:rtl w:val="true"/>
        </w:rPr>
        <w:t xml:space="preserve">, </w:t>
      </w:r>
      <w:r>
        <w:rPr>
          <w:rtl w:val="true"/>
        </w:rPr>
        <w:t>כאשר חרב דמוקלס תלויה מעל ראשו</w:t>
      </w:r>
      <w:r>
        <w:rPr>
          <w:rtl w:val="true"/>
        </w:rPr>
        <w:t xml:space="preserve">. </w:t>
      </w:r>
      <w:r>
        <w:rPr>
          <w:rtl w:val="true"/>
        </w:rPr>
        <w:t>יצוין לחיוב כי המערער לא נמלט מאימת הדין</w:t>
      </w:r>
      <w:r>
        <w:rPr>
          <w:rtl w:val="true"/>
        </w:rPr>
        <w:t xml:space="preserve">, </w:t>
      </w:r>
      <w:r>
        <w:rPr>
          <w:rtl w:val="true"/>
        </w:rPr>
        <w:t>אלא הודה במעשיו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יש לשקול גם את חומרת העבירות </w:t>
      </w:r>
      <w:r>
        <w:rPr>
          <w:rtl w:val="true"/>
        </w:rPr>
        <w:t>–</w:t>
      </w:r>
      <w:r>
        <w:rPr>
          <w:rtl w:val="true"/>
        </w:rPr>
        <w:t xml:space="preserve"> קשה להפריז בחומרת המעשים המיוחסים</w:t>
      </w:r>
      <w:r>
        <w:rPr>
          <w:rtl w:val="true"/>
        </w:rPr>
        <w:t xml:space="preserve">, </w:t>
      </w:r>
      <w:r>
        <w:rPr>
          <w:rtl w:val="true"/>
        </w:rPr>
        <w:t>ואלה בוצעו כלפי כמות גדולה של קורבנות ובמשך תקופה לא מבוטלת</w:t>
      </w:r>
      <w:r>
        <w:rPr>
          <w:rtl w:val="true"/>
        </w:rPr>
        <w:t xml:space="preserve">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היקף החקירה היה רחב</w:t>
      </w:r>
      <w:r>
        <w:rPr>
          <w:rtl w:val="true"/>
        </w:rPr>
        <w:t xml:space="preserve">: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נפגעות ברחבי ארצות הברית זוהו</w:t>
      </w:r>
      <w:r>
        <w:rPr>
          <w:rtl w:val="true"/>
        </w:rPr>
        <w:t xml:space="preserve">, </w:t>
      </w:r>
      <w:r>
        <w:rPr>
          <w:rtl w:val="true"/>
        </w:rPr>
        <w:t xml:space="preserve">והיה צורך לערוך עימן ראיונות ולעבד את עדויותיהן לכדי כתב אישום המחזיק </w:t>
      </w:r>
      <w:r>
        <w:rPr/>
        <w:t>68</w:t>
      </w:r>
      <w:r>
        <w:rPr>
          <w:rtl w:val="true"/>
        </w:rPr>
        <w:t xml:space="preserve"> </w:t>
      </w:r>
      <w:r>
        <w:rPr>
          <w:rtl w:val="true"/>
        </w:rPr>
        <w:t xml:space="preserve">אישומים בעניין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נפגעות</w:t>
      </w:r>
      <w:r>
        <w:rPr>
          <w:rtl w:val="true"/>
        </w:rPr>
        <w:t xml:space="preserve">; </w:t>
      </w:r>
      <w:r>
        <w:rPr>
          <w:rtl w:val="true"/>
        </w:rPr>
        <w:t>חומר הראיות כלל גם נפחים גדולים של חומרים דיגיטליים שנבדקו</w:t>
      </w:r>
      <w:r>
        <w:rPr>
          <w:rtl w:val="true"/>
        </w:rPr>
        <w:t xml:space="preserve">, </w:t>
      </w:r>
      <w:r>
        <w:rPr>
          <w:rtl w:val="true"/>
        </w:rPr>
        <w:t xml:space="preserve">רבים מהם תורגמו מעברית לאנגלית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למכתב המשלים של התובע ג</w:t>
      </w:r>
      <w:r>
        <w:rPr>
          <w:rtl w:val="true"/>
        </w:rPr>
        <w:t>'</w:t>
      </w:r>
      <w:r>
        <w:rPr>
          <w:rtl w:val="true"/>
        </w:rPr>
        <w:t xml:space="preserve">ואי בלאנש מיום </w:t>
      </w:r>
      <w:r>
        <w:rPr/>
        <w:t>28.8.2017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מכתב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בלאנש</w:t>
      </w:r>
      <w:r>
        <w:rPr>
          <w:rtl w:val="true"/>
        </w:rPr>
        <w:t xml:space="preserve">)).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 xml:space="preserve">יש להצר על כך שממועד הגשת כתב האישום בשנת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חלף עוד זמן ניכר עד להגשת בקשת ההסגרה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ניתן לכך הסבר מסוים בצורך לאמת תצהירים </w:t>
      </w:r>
      <w:r>
        <w:rPr>
          <w:rtl w:val="true"/>
        </w:rPr>
        <w:t>–</w:t>
      </w:r>
      <w:r>
        <w:rPr>
          <w:rtl w:val="true"/>
        </w:rPr>
        <w:t xml:space="preserve"> בשל הזמן שחלף </w:t>
      </w:r>
      <w:r>
        <w:rPr>
          <w:rtl w:val="true"/>
        </w:rPr>
        <w:t>–</w:t>
      </w:r>
      <w:r>
        <w:rPr>
          <w:rtl w:val="true"/>
        </w:rPr>
        <w:t xml:space="preserve"> ולגבש את בקשת ההסגרה </w:t>
      </w:r>
      <w:r>
        <w:rPr>
          <w:rtl w:val="true"/>
        </w:rPr>
        <w:t>(</w:t>
      </w:r>
      <w:r>
        <w:rPr>
          <w:rtl w:val="true"/>
        </w:rPr>
        <w:t xml:space="preserve">מכתב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בלאנש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בניגוד לטענות המערער כי השיהוי נבע מהיבטי כוח אדם בלבד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יצוין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לנהל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הגנתו</w:t>
      </w:r>
      <w:r>
        <w:rPr>
          <w:rtl w:val="true"/>
        </w:rPr>
        <w:t xml:space="preserve"> לא נפגעה בשל השיהוי בהליכים</w:t>
      </w:r>
      <w:r>
        <w:rPr>
          <w:rtl w:val="true"/>
        </w:rPr>
        <w:t xml:space="preserve">, </w:t>
      </w:r>
      <w:r>
        <w:rPr>
          <w:rtl w:val="true"/>
        </w:rPr>
        <w:t>שכן ממילא הוא אינו מכחיש את מעשיו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שוכנעתי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כי אף אם חלק מהשיהוי היה בלתי מחויב</w:t>
      </w:r>
      <w:r>
        <w:rPr>
          <w:rtl w:val="true"/>
        </w:rPr>
        <w:t xml:space="preserve">, </w:t>
      </w:r>
      <w:r>
        <w:rPr>
          <w:rtl w:val="true"/>
        </w:rPr>
        <w:t>בנסיבות העניין אין בכך כדי להצדיק את אי ההסגרה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צודקת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מידתית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36</w:t>
      </w:r>
      <w:r>
        <w:rPr>
          <w:rtl w:val="true"/>
        </w:rPr>
        <w:t xml:space="preserve">;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מונדרוביץ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128</w:t>
      </w:r>
      <w:r>
        <w:rPr>
          <w:rtl w:val="true"/>
        </w:rPr>
        <w:t xml:space="preserve">). </w:t>
      </w:r>
      <w:r>
        <w:rPr>
          <w:rtl w:val="true"/>
        </w:rPr>
        <w:t>יש לזכור כי הליך הסגרה</w:t>
      </w:r>
      <w:r>
        <w:rPr>
          <w:rtl w:val="true"/>
        </w:rPr>
        <w:t xml:space="preserve">, </w:t>
      </w:r>
      <w:r>
        <w:rPr>
          <w:rtl w:val="true"/>
        </w:rPr>
        <w:t>המשלב רשויות ממדינות שונות</w:t>
      </w:r>
      <w:r>
        <w:rPr>
          <w:rtl w:val="true"/>
        </w:rPr>
        <w:t xml:space="preserve">, </w:t>
      </w:r>
      <w:r>
        <w:rPr>
          <w:rtl w:val="true"/>
        </w:rPr>
        <w:t>מצריך תיאום ושיתוף פעולה מורכבים</w:t>
      </w:r>
      <w:r>
        <w:rPr>
          <w:rtl w:val="true"/>
        </w:rPr>
        <w:t xml:space="preserve">, </w:t>
      </w:r>
      <w:r>
        <w:rPr>
          <w:rtl w:val="true"/>
        </w:rPr>
        <w:t>אשר עלולים לארוך זמן לא מבוטל</w:t>
      </w:r>
      <w:r>
        <w:rPr>
          <w:rtl w:val="true"/>
        </w:rPr>
        <w:t xml:space="preserve">. </w:t>
      </w:r>
      <w:r>
        <w:rPr>
          <w:rtl w:val="true"/>
        </w:rPr>
        <w:t>יש לקוות כי הרשויות יפעלו במהירות האפשרית</w:t>
      </w:r>
      <w:r>
        <w:rPr>
          <w:rtl w:val="true"/>
        </w:rPr>
        <w:t xml:space="preserve">, </w:t>
      </w:r>
      <w:r>
        <w:rPr>
          <w:rtl w:val="true"/>
        </w:rPr>
        <w:t>על מנת למנוע עינוי דין שלא לצורך</w:t>
      </w:r>
      <w:r>
        <w:rPr>
          <w:rtl w:val="true"/>
        </w:rPr>
        <w:t xml:space="preserve">. </w:t>
      </w:r>
      <w:r>
        <w:rPr>
          <w:rtl w:val="true"/>
        </w:rPr>
        <w:t>אולם לא כל התארכות של הליך הסגרה מצדיקה את הפסקתו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יצוין</w:t>
      </w:r>
      <w:r>
        <w:rPr>
          <w:rtl w:val="true"/>
        </w:rPr>
        <w:t xml:space="preserve">,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כי המערער טען שפרק הזמן שבו המתין לבקשת ההסגרה עולה כדי פגיעה בזכותו להליך הוגן</w:t>
      </w:r>
      <w:r>
        <w:rPr>
          <w:rtl w:val="true"/>
        </w:rPr>
        <w:t xml:space="preserve">, </w:t>
      </w:r>
      <w:r>
        <w:rPr>
          <w:rtl w:val="true"/>
        </w:rPr>
        <w:t xml:space="preserve">בשל המחירים הנפשיים שנגבו ממנו ומאמו </w:t>
      </w:r>
      <w:r>
        <w:rPr>
          <w:rtl w:val="true"/>
        </w:rPr>
        <w:t>–</w:t>
      </w:r>
      <w:r>
        <w:rPr>
          <w:rtl w:val="true"/>
        </w:rPr>
        <w:t xml:space="preserve"> משפחתו היחידה</w:t>
      </w:r>
      <w:r>
        <w:rPr>
          <w:rtl w:val="true"/>
        </w:rPr>
        <w:t xml:space="preserve">. </w:t>
      </w:r>
      <w:r>
        <w:rPr>
          <w:rtl w:val="true"/>
        </w:rPr>
        <w:t>בפסיקתנו נקבע כבר כי הזכות להליך הוגן חלה גם בענייני הסגרה</w:t>
      </w:r>
      <w:r>
        <w:rPr>
          <w:rtl w:val="true"/>
        </w:rPr>
        <w:t xml:space="preserve">, </w:t>
      </w:r>
      <w:r>
        <w:rPr>
          <w:rtl w:val="true"/>
        </w:rPr>
        <w:t xml:space="preserve">וכי במקרים שבהם היא נפגעת פגיעה מהותית </w:t>
      </w:r>
      <w:r>
        <w:rPr>
          <w:rtl w:val="true"/>
        </w:rPr>
        <w:t>–</w:t>
      </w:r>
      <w:r>
        <w:rPr>
          <w:rtl w:val="true"/>
        </w:rPr>
        <w:t xml:space="preserve"> זו עשויה לעלות כדי פגיעה בתקנת הציבור שתצדיק אי הסגרה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מונדרוביץ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112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מאיו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). </w:t>
      </w:r>
      <w:r>
        <w:rPr>
          <w:rtl w:val="true"/>
        </w:rPr>
        <w:t>דא עקא שלא מצאתי כי המערער טען כי ההליך הפלילי עצמו כפי שיתנהל בארצות הברית עשוי להיות בלתי הוגן</w:t>
      </w:r>
      <w:r>
        <w:rPr>
          <w:rtl w:val="true"/>
        </w:rPr>
        <w:t xml:space="preserve">, </w:t>
      </w:r>
      <w:r>
        <w:rPr>
          <w:rtl w:val="true"/>
        </w:rPr>
        <w:t>וטענות הנוגעות לקושי לנהל הליך משפטי בשיטת משפט זרה</w:t>
      </w:r>
      <w:r>
        <w:rPr>
          <w:rtl w:val="true"/>
        </w:rPr>
        <w:t xml:space="preserve">, </w:t>
      </w:r>
      <w:r>
        <w:rPr>
          <w:rtl w:val="true"/>
        </w:rPr>
        <w:t>ובפרט בארצות הברית</w:t>
      </w:r>
      <w:r>
        <w:rPr>
          <w:rtl w:val="true"/>
        </w:rPr>
        <w:t xml:space="preserve">, </w:t>
      </w:r>
      <w:r>
        <w:rPr>
          <w:rtl w:val="true"/>
        </w:rPr>
        <w:t xml:space="preserve">כבר נדחו בפסיקתנו </w:t>
      </w:r>
      <w:r>
        <w:rPr>
          <w:rtl w:val="true"/>
        </w:rPr>
        <w:t>(</w:t>
      </w:r>
      <w:r>
        <w:rPr>
          <w:rtl w:val="true"/>
        </w:rPr>
        <w:t xml:space="preserve">ראו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מאיו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רוזנשטיין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56-55</w:t>
      </w:r>
      <w:r>
        <w:rPr>
          <w:rtl w:val="true"/>
        </w:rPr>
        <w:t xml:space="preserve">). </w:t>
      </w:r>
      <w:r>
        <w:rPr>
          <w:rtl w:val="true"/>
        </w:rPr>
        <w:t>תחת זאת</w:t>
      </w:r>
      <w:r>
        <w:rPr>
          <w:rtl w:val="true"/>
        </w:rPr>
        <w:t xml:space="preserve">, </w:t>
      </w:r>
      <w:r>
        <w:rPr>
          <w:rtl w:val="true"/>
        </w:rPr>
        <w:t>המערער טען כי עצם העיכוב בהגשת בקשת ההסגרה פגעה בזכותו להליך הוגן</w:t>
      </w:r>
      <w:r>
        <w:rPr>
          <w:rtl w:val="true"/>
        </w:rPr>
        <w:t xml:space="preserve">. </w:t>
      </w:r>
      <w:r>
        <w:rPr>
          <w:rtl w:val="true"/>
        </w:rPr>
        <w:t>אין בידי לקבל טענה זו</w:t>
      </w:r>
      <w:r>
        <w:rPr>
          <w:rtl w:val="true"/>
        </w:rPr>
        <w:t xml:space="preserve">. </w:t>
      </w:r>
      <w:r>
        <w:rPr>
          <w:rtl w:val="true"/>
        </w:rPr>
        <w:t>בחנו אם שיהוי זה עולה כדי פגיעה בתקנת הציבור המצדיקה אי הסגרה</w:t>
      </w:r>
      <w:r>
        <w:rPr>
          <w:rtl w:val="true"/>
        </w:rPr>
        <w:t xml:space="preserve">, </w:t>
      </w:r>
      <w:r>
        <w:rPr>
          <w:rtl w:val="true"/>
        </w:rPr>
        <w:t xml:space="preserve">והגענו למסקנה </w:t>
      </w:r>
      <w:r>
        <w:rPr>
          <w:rtl w:val="true"/>
        </w:rPr>
        <w:t>–</w:t>
      </w:r>
      <w:r>
        <w:rPr>
          <w:rtl w:val="true"/>
        </w:rPr>
        <w:t xml:space="preserve"> שאין כך הדבר</w:t>
      </w:r>
      <w:r>
        <w:rPr>
          <w:rtl w:val="true"/>
        </w:rPr>
        <w:t xml:space="preserve">. </w:t>
      </w:r>
      <w:r>
        <w:rPr>
          <w:rtl w:val="true"/>
        </w:rPr>
        <w:t>זכותו של המערער להליך הוגן</w:t>
      </w:r>
      <w:r>
        <w:rPr>
          <w:rtl w:val="true"/>
        </w:rPr>
        <w:t xml:space="preserve">, </w:t>
      </w:r>
      <w:r>
        <w:rPr>
          <w:rtl w:val="true"/>
        </w:rPr>
        <w:t>ככל שהדבר נוגע לניהול הליך ההסגרה</w:t>
      </w:r>
      <w:r>
        <w:rPr>
          <w:rtl w:val="true"/>
        </w:rPr>
        <w:t xml:space="preserve">, </w:t>
      </w:r>
      <w:r>
        <w:rPr>
          <w:rtl w:val="true"/>
        </w:rPr>
        <w:t>לא נפגעה בשל פרק הזמן שחלף מאז ביצוע המעשים</w:t>
      </w:r>
      <w:r>
        <w:rPr>
          <w:rtl w:val="true"/>
        </w:rPr>
        <w:t xml:space="preserve">; </w:t>
      </w:r>
      <w:r>
        <w:rPr>
          <w:rtl w:val="true"/>
        </w:rPr>
        <w:t>או למצער</w:t>
      </w:r>
      <w:r>
        <w:rPr>
          <w:rtl w:val="true"/>
        </w:rPr>
        <w:t xml:space="preserve">, </w:t>
      </w:r>
      <w:r>
        <w:rPr>
          <w:rtl w:val="true"/>
        </w:rPr>
        <w:t>לא נפגעה במידה המצדיקה את אי הסגרתו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השיהוי ודאי גובה מחירים בלתי פשוטים ממנו ומאמו</w:t>
      </w:r>
      <w:r>
        <w:rPr>
          <w:rtl w:val="true"/>
        </w:rPr>
        <w:t xml:space="preserve">, </w:t>
      </w:r>
      <w:r>
        <w:rPr>
          <w:rtl w:val="true"/>
        </w:rPr>
        <w:t>אך אין בכך כדי להצדיק אי הסגרה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בטוחני שהמערער יוכל להעלות את טענותיו לעינוי דין במסגרת ההליך הפלילי בערכאה המתאימה בארצות הברית</w:t>
      </w:r>
      <w:r>
        <w:rPr>
          <w:rtl w:val="true"/>
        </w:rPr>
        <w:t xml:space="preserve">, </w:t>
      </w:r>
      <w:r>
        <w:rPr>
          <w:rtl w:val="true"/>
        </w:rPr>
        <w:t>וחזקה על בית המשפט שייבחן את הדברים לעומקם ויכריע בהשלכותיהם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אכיפה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בררנית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z w:val="22"/>
        </w:rPr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המערער טוען לאכיפה בררנית בהשוואה לעניין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. </w:t>
      </w:r>
      <w:r>
        <w:rPr>
          <w:rtl w:val="true"/>
        </w:rPr>
        <w:t xml:space="preserve">טענות מסוג זה הוכרו בפסיקתנו כחלק מהדוקטרינה הכללית של </w:t>
      </w:r>
      <w:r>
        <w:rPr>
          <w:rtl w:val="true"/>
        </w:rPr>
        <w:t>"</w:t>
      </w:r>
      <w:r>
        <w:rPr>
          <w:rtl w:val="true"/>
        </w:rPr>
        <w:t>הגנה מן הצדק</w:t>
      </w:r>
      <w:r>
        <w:rPr>
          <w:rtl w:val="true"/>
        </w:rPr>
        <w:t xml:space="preserve">", </w:t>
      </w:r>
      <w:r>
        <w:rPr>
          <w:rtl w:val="true"/>
        </w:rPr>
        <w:t xml:space="preserve">אשר חלה גם בהליכי הסגרה </w:t>
      </w:r>
      <w:r>
        <w:rPr>
          <w:rtl w:val="true"/>
        </w:rPr>
        <w:t>–</w:t>
      </w:r>
      <w:r>
        <w:rPr>
          <w:rtl w:val="true"/>
        </w:rPr>
        <w:t xml:space="preserve"> בין אם כחלק מהדין הפלילי הכללי</w:t>
      </w:r>
      <w:r>
        <w:rPr>
          <w:rtl w:val="true"/>
        </w:rPr>
        <w:t xml:space="preserve">, </w:t>
      </w:r>
      <w:r>
        <w:rPr>
          <w:rtl w:val="true"/>
        </w:rPr>
        <w:t>ובין אם כחלק מסייג תקנת הציבור ב</w:t>
      </w:r>
      <w:hyperlink r:id="rId7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מונדרוביץ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117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רוזנשטיין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; </w:t>
      </w:r>
      <w:r>
        <w:rPr>
          <w:rtl w:val="true"/>
        </w:rPr>
        <w:t>לדיון בשאלה אם ניתן לטעון לאכיפה בררנית גם כחלק מביקורת שיפוטית מנהלית בהליך הפלילי</w:t>
      </w:r>
      <w:r>
        <w:rPr>
          <w:rtl w:val="true"/>
        </w:rPr>
        <w:t xml:space="preserve">, </w:t>
      </w:r>
      <w:r>
        <w:rPr>
          <w:rtl w:val="true"/>
        </w:rPr>
        <w:t xml:space="preserve">ראו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6328/12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פולדי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פרץ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31-29</w:t>
      </w:r>
      <w:r>
        <w:rPr>
          <w:rtl w:val="true"/>
        </w:rPr>
        <w:t xml:space="preserve"> (</w:t>
      </w:r>
      <w:r>
        <w:rPr/>
        <w:t>10.9.2013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פרץ</w:t>
      </w:r>
      <w:r>
        <w:rPr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 xml:space="preserve">אכיפה בררנית היא כזו </w:t>
      </w:r>
      <w:r>
        <w:rPr>
          <w:rtl w:val="true"/>
        </w:rPr>
        <w:t>"</w:t>
      </w:r>
      <w:r>
        <w:rPr>
          <w:sz w:val="28"/>
          <w:sz w:val="28"/>
          <w:rtl w:val="true"/>
        </w:rPr>
        <w:t>הפוגעת בשוויון במובן זה שהיא מבדילה לצורך אכיפה בין בני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אדם דומים או בין מצבים דומים לשם השגת מטרה פסולה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או על יסוד שיקול זר או מתוך </w:t>
      </w:r>
      <w:r>
        <w:rPr>
          <w:rFonts w:ascii="Century" w:hAnsi="Century" w:cs="Century"/>
          <w:sz w:val="22"/>
          <w:sz w:val="22"/>
          <w:rtl w:val="true"/>
        </w:rPr>
        <w:t>שרירות גרידא</w:t>
      </w:r>
      <w:r>
        <w:rPr>
          <w:rFonts w:cs="Century" w:ascii="Century" w:hAnsi="Century"/>
          <w:sz w:val="22"/>
          <w:rtl w:val="true"/>
        </w:rPr>
        <w:t>" (</w:t>
      </w:r>
      <w:hyperlink r:id="rId7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בג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ץ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6396/96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זקין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ראש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עיריית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באר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-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שבע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נג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289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305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1999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sz w:val="22"/>
          <w:sz w:val="22"/>
          <w:rtl w:val="true"/>
        </w:rPr>
        <w:t>אכן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במהלך השנים הובעו עמדות שונות בנוגע להיקף השימוש בטענה זו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ראו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פרץ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פסקה </w:t>
      </w:r>
      <w:r>
        <w:rPr>
          <w:sz w:val="22"/>
        </w:rPr>
        <w:t>23</w:t>
      </w:r>
      <w:r>
        <w:rPr>
          <w:sz w:val="22"/>
          <w:rtl w:val="true"/>
        </w:rPr>
        <w:t xml:space="preserve">; </w:t>
      </w:r>
      <w:hyperlink r:id="rId7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7621/14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גוטסדינר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56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לפסק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הדין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השופטת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והאסמכתאות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המובאות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1.3.2017</w:t>
      </w:r>
      <w:r>
        <w:rPr>
          <w:rFonts w:cs="Century" w:ascii="Century" w:hAnsi="Century"/>
          <w:sz w:val="22"/>
          <w:rtl w:val="true"/>
        </w:rPr>
        <w:t>)</w:t>
      </w:r>
      <w:r>
        <w:rPr>
          <w:sz w:val="22"/>
          <w:rtl w:val="true"/>
        </w:rPr>
        <w:t xml:space="preserve">; </w:t>
      </w:r>
      <w:hyperlink r:id="rId75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רע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1611/16</w:t>
        </w:r>
      </w:hyperlink>
      <w:r>
        <w:rPr>
          <w:sz w:val="22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ורדי</w:t>
      </w:r>
      <w:r>
        <w:rPr>
          <w:sz w:val="22"/>
          <w:sz w:val="22"/>
          <w:rtl w:val="true"/>
        </w:rPr>
        <w:t xml:space="preserve"> 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sz w:val="22"/>
          <w:rtl w:val="true"/>
        </w:rPr>
        <w:t>(</w:t>
      </w:r>
      <w:r>
        <w:rPr>
          <w:sz w:val="22"/>
        </w:rPr>
        <w:t>31.10.2018</w:t>
      </w:r>
      <w:r>
        <w:rPr>
          <w:sz w:val="22"/>
          <w:rtl w:val="true"/>
        </w:rPr>
        <w:t xml:space="preserve">); </w:t>
      </w:r>
      <w:r>
        <w:rPr>
          <w:sz w:val="22"/>
          <w:sz w:val="22"/>
          <w:rtl w:val="true"/>
        </w:rPr>
        <w:t>והשוו</w:t>
      </w:r>
      <w:r>
        <w:rPr>
          <w:sz w:val="22"/>
          <w:rtl w:val="true"/>
        </w:rPr>
        <w:t xml:space="preserve">: 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4855/02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בורוביץ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776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814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2005</w:t>
      </w:r>
      <w:r>
        <w:rPr>
          <w:rFonts w:cs="Century" w:ascii="Century" w:hAnsi="Century"/>
          <w:sz w:val="22"/>
          <w:rtl w:val="true"/>
        </w:rPr>
        <w:t>)</w:t>
      </w:r>
      <w:r>
        <w:rPr>
          <w:sz w:val="22"/>
          <w:rtl w:val="true"/>
        </w:rPr>
        <w:t xml:space="preserve">; </w:t>
      </w:r>
      <w:hyperlink r:id="rId7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7014/06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 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לימור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4.9.2007</w:t>
      </w:r>
      <w:r>
        <w:rPr>
          <w:rFonts w:cs="Century" w:ascii="Century" w:hAnsi="Century"/>
          <w:sz w:val="22"/>
          <w:rtl w:val="true"/>
        </w:rPr>
        <w:t>)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אולם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 יכולה להיות מחלוקת שתנאי בסיסי לכך הוא הוכחת הפליה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ואילו בענייננו אני סבור כי המערער לא עמד בדרישה זו</w:t>
      </w:r>
      <w:r>
        <w:rPr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eastAsia="Century"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אומנם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קיים דמיון מסוים בין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לענייננו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הנאשם שם ביצע עבירות באמצעות מחשבו בישראל אשר כוונו לארצות הברית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והואשם בין היתר בהחזקה ובפרסום חומרי תועבה של </w:t>
      </w:r>
      <w:r>
        <w:rPr>
          <w:rFonts w:ascii="Century" w:hAnsi="Century" w:cs="Century"/>
          <w:sz w:val="22"/>
          <w:sz w:val="22"/>
          <w:rtl w:val="true"/>
        </w:rPr>
        <w:t>קטינים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ascii="Century" w:hAnsi="Century" w:cs="Century"/>
          <w:sz w:val="22"/>
          <w:sz w:val="22"/>
          <w:rtl w:val="true"/>
        </w:rPr>
        <w:t xml:space="preserve">אף </w:t>
      </w:r>
      <w:r>
        <w:rPr>
          <w:rFonts w:ascii="Century" w:hAnsi="Century" w:cs="Century"/>
          <w:sz w:val="22"/>
          <w:sz w:val="22"/>
          <w:rtl w:val="true"/>
        </w:rPr>
        <w:t>עונשו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הופחת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היותו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מאובחן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כאוטיסט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18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סבורני שרב השונה על הדומה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השוני העיקרי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שציין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נוגע לכך שלמערער מיוחסים מעשים מגונים וסחיטה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כרוכים היו בפעולות אקטיביות מצידו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להבדיל מהנאשם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החזיק חומרי תועבה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בענייננו המערער פעל על מנת להשיגם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ותוך כדי כך פגע פגיעה חמורה במספר רב של צעירות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יש לציין בהקשר זה כי אם היה מתנהל ההליך בישראל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ייתכן שהנפגעות היו צריכות להגיע לצורך מתן עדות ולו לעניין הפגיעה שנגרמה להן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וזאת על אף שהמערער מודה במעשיו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בניגוד לעניין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שם התבסס חומר הראיות על מסמכים וקבצי מדיה בלבד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שיקולים אלה מטים את מרכז הכובד אל ארצות הברית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בהשוואה למקרים של החזקת חומרים בלבד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עוד ניתן לציין את גילו הצעיר של הנאשם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אשר נשפט כקטין בבית משפט לנוער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גם הוא שיקול לטובת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הסגרה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לכך יש להוסיף כי אין דין פגיעה בשוויון מקום שבו קיימת מדיניות עקבית וברורה כדין של מקרה נבדל אחד</w:t>
      </w:r>
      <w:r>
        <w:rPr>
          <w:rtl w:val="true"/>
        </w:rPr>
        <w:t xml:space="preserve">. </w:t>
      </w:r>
      <w:r>
        <w:rPr>
          <w:rtl w:val="true"/>
        </w:rPr>
        <w:t xml:space="preserve">המערער לא יכול היה </w:t>
      </w:r>
      <w:r>
        <w:rPr>
          <w:rtl w:val="true"/>
        </w:rPr>
        <w:t>–</w:t>
      </w:r>
      <w:r>
        <w:rPr>
          <w:rtl w:val="true"/>
        </w:rPr>
        <w:t xml:space="preserve"> וממילא לא ניסה לטעון כן </w:t>
      </w:r>
      <w:r>
        <w:rPr>
          <w:rtl w:val="true"/>
        </w:rPr>
        <w:t>–</w:t>
      </w:r>
      <w:r>
        <w:rPr>
          <w:rtl w:val="true"/>
        </w:rPr>
        <w:t xml:space="preserve"> להראות כי הסתמך על מדיניות האכיפה העקבית של הרשות</w:t>
      </w:r>
      <w:r>
        <w:rPr>
          <w:rtl w:val="true"/>
        </w:rPr>
        <w:t xml:space="preserve">, </w:t>
      </w:r>
      <w:r>
        <w:rPr>
          <w:rtl w:val="true"/>
        </w:rPr>
        <w:t xml:space="preserve">וכי אי העמדתו לדין נגועה בחוסר תום לב מצידה של </w:t>
      </w:r>
      <w:r>
        <w:rPr>
          <w:rtl w:val="true"/>
        </w:rPr>
        <w:t>הרשות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פרץ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נניח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האכיפה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נבדלת</w:t>
      </w:r>
      <w:r>
        <w:rPr>
          <w:rtl w:val="true"/>
        </w:rPr>
        <w:t xml:space="preserve"> </w:t>
      </w:r>
      <w:r>
        <w:rPr>
          <w:rtl w:val="true"/>
        </w:rPr>
        <w:t>במידת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 – </w:t>
      </w:r>
      <w:r>
        <w:rPr>
          <w:rtl w:val="true"/>
        </w:rPr>
        <w:t>הרי</w:t>
      </w:r>
      <w:r>
        <w:rPr>
          <w:rtl w:val="true"/>
        </w:rPr>
        <w:t xml:space="preserve"> </w:t>
      </w:r>
      <w:r>
        <w:rPr>
          <w:rtl w:val="true"/>
        </w:rPr>
        <w:t>שאין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בפגם</w:t>
      </w:r>
      <w:r>
        <w:rPr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 </w:t>
      </w:r>
      <w:r>
        <w:rPr>
          <w:rtl w:val="true"/>
        </w:rPr>
        <w:t>בהתנהלות</w:t>
      </w:r>
      <w:r>
        <w:rPr>
          <w:rtl w:val="true"/>
        </w:rPr>
        <w:t xml:space="preserve"> </w:t>
      </w:r>
      <w:r>
        <w:rPr>
          <w:rtl w:val="true"/>
        </w:rPr>
        <w:t>הרשות</w:t>
      </w:r>
      <w:r>
        <w:rPr>
          <w:rtl w:val="true"/>
        </w:rPr>
        <w:t xml:space="preserve"> </w:t>
      </w:r>
      <w:r>
        <w:rPr>
          <w:rtl w:val="true"/>
        </w:rPr>
        <w:t>שיצדיק</w:t>
      </w:r>
      <w:r>
        <w:rPr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tl w:val="true"/>
        </w:rPr>
        <w:t>אות</w:t>
      </w:r>
      <w:r>
        <w:rPr>
          <w:rtl w:val="true"/>
        </w:rPr>
        <w:t xml:space="preserve"> </w:t>
      </w:r>
      <w:r>
        <w:rPr/>
        <w:t>34-33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הסגרה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כי הוא בעל אוטיזם בדרגה גבוהה ובעל הפרעות אישיות</w:t>
      </w:r>
      <w:r>
        <w:rPr>
          <w:rtl w:val="true"/>
        </w:rPr>
        <w:t xml:space="preserve">, </w:t>
      </w:r>
      <w:r>
        <w:rPr>
          <w:rtl w:val="true"/>
        </w:rPr>
        <w:t xml:space="preserve">וכי הוא אינו מסוגל להתנהל באופן עצמאי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להסגירו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במסגרת בקשתו להוספת ראיות בערעור</w:t>
      </w:r>
      <w:r>
        <w:rPr>
          <w:rtl w:val="true"/>
        </w:rPr>
        <w:t xml:space="preserve">, </w:t>
      </w:r>
      <w:r>
        <w:rPr>
          <w:rtl w:val="true"/>
        </w:rPr>
        <w:t xml:space="preserve">הציג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אישור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כמפורט לעיל בפסקה </w:t>
      </w:r>
      <w:r>
        <w:rPr/>
        <w:t>14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לעניין הבקשה להוספת ראיות בערעור</w:t>
      </w:r>
      <w:r>
        <w:rPr>
          <w:rtl w:val="true"/>
        </w:rPr>
        <w:t xml:space="preserve">, </w:t>
      </w:r>
      <w:r>
        <w:rPr>
          <w:rtl w:val="true"/>
        </w:rPr>
        <w:t>הרי שככלל</w:t>
      </w:r>
      <w:r>
        <w:rPr>
          <w:rtl w:val="true"/>
        </w:rPr>
        <w:t xml:space="preserve">, </w:t>
      </w:r>
      <w:r>
        <w:rPr>
          <w:rtl w:val="true"/>
        </w:rPr>
        <w:t>ערכאת הערעור לא תקבל ראיות חדשות</w:t>
      </w:r>
      <w:r>
        <w:rPr>
          <w:rtl w:val="true"/>
        </w:rPr>
        <w:t xml:space="preserve">, </w:t>
      </w:r>
      <w:r>
        <w:rPr>
          <w:rtl w:val="true"/>
        </w:rPr>
        <w:t xml:space="preserve">למעט אם </w:t>
      </w:r>
      <w:r>
        <w:rPr>
          <w:rtl w:val="true"/>
        </w:rPr>
        <w:t>"</w:t>
      </w:r>
      <w:r>
        <w:rPr>
          <w:rStyle w:val="default"/>
          <w:sz w:val="28"/>
          <w:sz w:val="28"/>
          <w:rtl w:val="true"/>
        </w:rPr>
        <w:t>הדבר דרוש לעשיית צדק</w:t>
      </w:r>
      <w:r>
        <w:rPr>
          <w:rStyle w:val="default"/>
          <w:sz w:val="28"/>
          <w:rtl w:val="true"/>
        </w:rPr>
        <w:t xml:space="preserve">" </w:t>
      </w:r>
      <w:r>
        <w:rPr>
          <w:rStyle w:val="default"/>
          <w:sz w:val="28"/>
          <w:sz w:val="28"/>
          <w:rtl w:val="true"/>
        </w:rPr>
        <w:t xml:space="preserve">שאז רשאי בית המשפט שלערעור </w:t>
      </w:r>
      <w:r>
        <w:rPr>
          <w:rStyle w:val="default"/>
          <w:sz w:val="28"/>
          <w:rtl w:val="true"/>
        </w:rPr>
        <w:t>"</w:t>
      </w:r>
      <w:r>
        <w:rPr>
          <w:rStyle w:val="default"/>
          <w:sz w:val="28"/>
          <w:sz w:val="28"/>
          <w:rtl w:val="true"/>
        </w:rPr>
        <w:t xml:space="preserve">לגבות ראיות או להורות לערכאה הקודמת לגבות ראיות </w:t>
      </w:r>
      <w:r>
        <w:rPr>
          <w:rStyle w:val="default"/>
          <w:rFonts w:ascii="Century" w:hAnsi="Century" w:cs="Century"/>
          <w:rtl w:val="true"/>
        </w:rPr>
        <w:t>שיורה</w:t>
      </w:r>
      <w:r>
        <w:rPr>
          <w:rStyle w:val="default"/>
          <w:rFonts w:cs="Century" w:ascii="Century" w:hAnsi="Century"/>
          <w:rtl w:val="true"/>
        </w:rPr>
        <w:t>" (</w:t>
      </w:r>
      <w:hyperlink r:id="rId7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7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משולב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1982</w:t>
      </w:r>
      <w:r>
        <w:rPr>
          <w:rFonts w:cs="Century" w:ascii="Century" w:hAnsi="Century"/>
          <w:rtl w:val="true"/>
        </w:rPr>
        <w:t>).</w:t>
      </w:r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tl w:val="true"/>
        </w:rPr>
        <w:t>פסיקת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בית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משפט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זה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קבעה</w:t>
      </w:r>
      <w:r>
        <w:rPr>
          <w:rStyle w:val="default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 xml:space="preserve">שלושה שיקולים שיש לשקול </w:t>
      </w:r>
      <w:r>
        <w:rPr>
          <w:rStyle w:val="default"/>
          <w:rFonts w:ascii="Century" w:hAnsi="Century" w:cs="Century"/>
          <w:rtl w:val="true"/>
        </w:rPr>
        <w:t>בהקשר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זה</w:t>
      </w:r>
      <w:r>
        <w:rPr>
          <w:rStyle w:val="default"/>
          <w:rFonts w:cs="Century" w:ascii="Century" w:hAnsi="Century"/>
          <w:rtl w:val="true"/>
        </w:rPr>
        <w:t xml:space="preserve">: </w:t>
      </w:r>
      <w:r>
        <w:rPr>
          <w:rStyle w:val="default"/>
          <w:rFonts w:cs="Miriam"/>
          <w:b/>
          <w:b/>
          <w:spacing w:val="0"/>
          <w:szCs w:val="24"/>
          <w:rtl w:val="true"/>
        </w:rPr>
        <w:t>ראשית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אם היה באפשרות המבקש להשיג את הראיות הנוספות במהלך הדיון בערכאה הקודמת</w:t>
      </w:r>
      <w:r>
        <w:rPr>
          <w:rStyle w:val="default"/>
          <w:rFonts w:cs="Century" w:ascii="Century" w:hAnsi="Century"/>
          <w:rtl w:val="true"/>
        </w:rPr>
        <w:t xml:space="preserve">; </w:t>
      </w:r>
      <w:r>
        <w:rPr>
          <w:rStyle w:val="default"/>
          <w:rFonts w:cs="Miriam"/>
          <w:b/>
          <w:b/>
          <w:spacing w:val="0"/>
          <w:szCs w:val="24"/>
          <w:rtl w:val="true"/>
        </w:rPr>
        <w:t>שנית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האינטרס בדבר שמירה על עקרון סופיות הדיון</w:t>
      </w:r>
      <w:r>
        <w:rPr>
          <w:rStyle w:val="default"/>
          <w:rFonts w:cs="Century" w:ascii="Century" w:hAnsi="Century"/>
          <w:rtl w:val="true"/>
        </w:rPr>
        <w:t xml:space="preserve">; </w:t>
      </w:r>
      <w:r>
        <w:rPr>
          <w:rStyle w:val="default"/>
          <w:rFonts w:cs="Miriam"/>
          <w:b/>
          <w:b/>
          <w:spacing w:val="0"/>
          <w:szCs w:val="24"/>
          <w:rtl w:val="true"/>
        </w:rPr>
        <w:t>שלישית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טיבן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של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הראיות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הנוספות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והסיכוי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שהגשתן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תביא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לשינוי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התוצאה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שאליה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הגיעה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הערכאה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הקודמת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cs="Century" w:ascii="Century" w:hAnsi="Century"/>
          <w:rtl w:val="true"/>
        </w:rPr>
        <w:t>(</w:t>
      </w:r>
      <w:hyperlink r:id="rId80">
        <w:bookmarkStart w:id="23" w:name="Text1"/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8080/12</w:t>
        </w:r>
      </w:hyperlink>
      <w:r>
        <w:rPr>
          <w:rFonts w:cs="Century" w:ascii="Century" w:hAnsi="Century"/>
          <w:rtl w:val="true"/>
        </w:rPr>
        <w:t xml:space="preserve"> </w:t>
      </w:r>
      <w:bookmarkEnd w:id="23"/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אולמרט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6.8.2014</w:t>
      </w:r>
      <w:r>
        <w:rPr>
          <w:rFonts w:cs="Century" w:ascii="Century" w:hAnsi="Century"/>
          <w:rtl w:val="true"/>
        </w:rPr>
        <w:t xml:space="preserve">)). </w:t>
      </w:r>
      <w:r>
        <w:rPr>
          <w:rtl w:val="true"/>
        </w:rPr>
        <w:t>שיקול</w:t>
      </w:r>
      <w:r>
        <w:rPr>
          <w:rtl w:val="true"/>
        </w:rPr>
        <w:t xml:space="preserve"> אחרון זה הוא בעל מעמד של בכורה </w:t>
      </w:r>
      <w:r>
        <w:rPr>
          <w:rtl w:val="true"/>
        </w:rPr>
        <w:t>(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4506/15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76</w:t>
      </w:r>
      <w:r>
        <w:rPr>
          <w:rtl w:val="true"/>
        </w:rPr>
        <w:t xml:space="preserve"> (</w:t>
      </w:r>
      <w:r>
        <w:rPr/>
        <w:t>11.12.2016</w:t>
      </w:r>
      <w:r>
        <w:rPr>
          <w:rtl w:val="true"/>
        </w:rPr>
        <w:t xml:space="preserve">); </w:t>
      </w:r>
      <w:hyperlink r:id="rId8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1690/09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10.10.2010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בקשת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עומדת</w:t>
      </w:r>
      <w:r>
        <w:rPr>
          <w:rtl w:val="true"/>
        </w:rPr>
        <w:t xml:space="preserve"> </w:t>
      </w:r>
      <w:r>
        <w:rPr>
          <w:rtl w:val="true"/>
        </w:rPr>
        <w:t>באמת</w:t>
      </w:r>
      <w:r>
        <w:rPr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 האמורה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tl w:val="true"/>
        </w:rPr>
        <w:t xml:space="preserve"> שהצבעתי לעיל</w:t>
      </w:r>
      <w:r>
        <w:rPr>
          <w:rtl w:val="true"/>
        </w:rPr>
        <w:t xml:space="preserve">, </w:t>
      </w:r>
      <w:r>
        <w:rPr>
          <w:rtl w:val="true"/>
        </w:rPr>
        <w:t xml:space="preserve">ספק אם המערער לא היה מסוגל להציג את הראיות – או למצער את חלקן –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 xml:space="preserve">, </w:t>
      </w:r>
      <w:r>
        <w:rPr>
          <w:rtl w:val="true"/>
        </w:rPr>
        <w:t xml:space="preserve">הראיות הנוספות אינן </w:t>
      </w:r>
      <w:r>
        <w:rPr>
          <w:rtl w:val="true"/>
        </w:rPr>
        <w:t>משנות את התוצאה הסופית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אניח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החדשות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 </w:t>
      </w:r>
      <w:r>
        <w:rPr>
          <w:rtl w:val="true"/>
        </w:rPr>
        <w:t>לנגד</w:t>
      </w:r>
      <w:r>
        <w:rPr>
          <w:rtl w:val="true"/>
        </w:rPr>
        <w:t xml:space="preserve"> </w:t>
      </w:r>
      <w:r>
        <w:rPr>
          <w:rtl w:val="true"/>
        </w:rPr>
        <w:t>עינינו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 </w:t>
      </w:r>
      <w:r>
        <w:rPr>
          <w:rtl w:val="true"/>
        </w:rPr>
        <w:t>מאוטיזם</w:t>
      </w:r>
      <w:r>
        <w:rPr>
          <w:rtl w:val="true"/>
        </w:rPr>
        <w:t xml:space="preserve"> </w:t>
      </w:r>
      <w:r>
        <w:rPr>
          <w:rtl w:val="true"/>
        </w:rPr>
        <w:t>בדרגה שנקבעה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 </w:t>
      </w:r>
      <w:r>
        <w:rPr>
          <w:rtl w:val="true"/>
        </w:rPr>
        <w:t>מונע</w:t>
      </w:r>
      <w:r>
        <w:rPr>
          <w:rtl w:val="true"/>
        </w:rPr>
        <w:t xml:space="preserve"> </w:t>
      </w:r>
      <w:r>
        <w:rPr>
          <w:rtl w:val="true"/>
        </w:rPr>
        <w:t>הסגרה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המערער לא טען בבית המשפט המחוזי לכך שמצבו הרפואי מונע את הסגרתו</w:t>
      </w:r>
      <w:r>
        <w:rPr>
          <w:rtl w:val="true"/>
        </w:rPr>
        <w:t xml:space="preserve">, </w:t>
      </w:r>
      <w:r>
        <w:rPr>
          <w:rtl w:val="true"/>
        </w:rPr>
        <w:t xml:space="preserve">על אף שמצבו היה ידוע </w:t>
      </w:r>
      <w:r>
        <w:rPr>
          <w:rtl w:val="true"/>
        </w:rPr>
        <w:t>–</w:t>
      </w:r>
      <w:r>
        <w:rPr>
          <w:rtl w:val="true"/>
        </w:rPr>
        <w:t xml:space="preserve"> אף אם הנכות הרפואית לא נקבעה באופן פורמאלי</w:t>
      </w:r>
      <w:r>
        <w:rPr>
          <w:rtl w:val="true"/>
        </w:rPr>
        <w:t xml:space="preserve">. </w:t>
      </w:r>
      <w:r>
        <w:rPr>
          <w:rtl w:val="true"/>
        </w:rPr>
        <w:t>המערער אף קיבל את הסכמת המשיב ליציאתו ממעצר בפיקוח אלקטרוני למטרת בירור מצבו הרפואי וקבלת חוות דעת</w:t>
      </w:r>
      <w:r>
        <w:rPr>
          <w:rtl w:val="true"/>
        </w:rPr>
        <w:t xml:space="preserve">, </w:t>
      </w:r>
      <w:r>
        <w:rPr>
          <w:rtl w:val="true"/>
        </w:rPr>
        <w:t>אך נמנע מלהגישן עובר לשלב הערעור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 אף שהוא</w:t>
      </w:r>
      <w:r>
        <w:rPr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לאורך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 </w:t>
      </w:r>
      <w:r>
        <w:rPr>
          <w:rtl w:val="true"/>
        </w:rPr>
        <w:t>מקשה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להתנהל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Times New Roman;Times New Roman" w:hAnsi="Times New Roman;Times New Roman" w:cs="Times New Roman;Times New Roman"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ועיקר</w:t>
      </w:r>
      <w:r>
        <w:rPr>
          <w:rtl w:val="true"/>
        </w:rPr>
        <w:t xml:space="preserve">, </w:t>
      </w:r>
      <w:r>
        <w:rPr>
          <w:rtl w:val="true"/>
        </w:rPr>
        <w:t xml:space="preserve">בפסיקתנו נקבע כי </w:t>
      </w:r>
      <w:r>
        <w:rPr>
          <w:rFonts w:ascii="Times New Roman;Times New Roman" w:hAnsi="Times New Roman;Times New Roman" w:cs="Times New Roman;Times New Roman"/>
          <w:rtl w:val="true"/>
        </w:rPr>
        <w:t>סבלו של מבוקש בהליך הסגרה הוא אינהרנטי להליך עצמו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 xml:space="preserve">ואינו נוגד את ערכי היסוד של החברה </w:t>
      </w:r>
      <w:r>
        <w:rPr>
          <w:sz w:val="22"/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יובל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97</w:t>
      </w:r>
      <w:r>
        <w:rPr>
          <w:rtl w:val="true"/>
        </w:rPr>
        <w:t>;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מונדרוביץ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פסקה </w:t>
      </w:r>
      <w:r>
        <w:rPr>
          <w:sz w:val="22"/>
        </w:rPr>
        <w:t>115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 xml:space="preserve">וכי </w:t>
      </w:r>
      <w:r>
        <w:rPr>
          <w:rFonts w:ascii="Times New Roman;Times New Roman" w:hAnsi="Times New Roman;Times New Roman" w:cs="Times New Roman;Times New Roman"/>
          <w:rtl w:val="true"/>
        </w:rPr>
        <w:t xml:space="preserve">תקנת הציבור תחייב להימנע מהסגרתו של אדם רק אם היא תביא להתעמרות קשה ולסבל בל יתואר </w:t>
      </w:r>
      <w:r>
        <w:rPr>
          <w:rFonts w:cs="Times New Roman;Times New Roman" w:ascii="Times New Roman;Times New Roman" w:hAnsi="Times New Roman;Times New Roman"/>
          <w:rtl w:val="true"/>
        </w:rPr>
        <w:t>(</w:t>
      </w:r>
      <w:r>
        <w:rPr>
          <w:rFonts w:ascii="Times New Roman;Times New Roman" w:hAnsi="Times New Roman;Times New Roman" w:cs="Times New Roman;Times New Roman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סירקיס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>בעמ</w:t>
      </w:r>
      <w:r>
        <w:rPr>
          <w:rFonts w:cs="Times New Roman;Times New Roman" w:ascii="Times New Roman;Times New Roman" w:hAnsi="Times New Roman;Times New Roman"/>
          <w:rtl w:val="true"/>
        </w:rPr>
        <w:t xml:space="preserve">' </w:t>
      </w:r>
      <w:r>
        <w:rPr>
          <w:rFonts w:cs="Times New Roman;Times New Roman" w:ascii="Times New Roman;Times New Roman" w:hAnsi="Times New Roman;Times New Roman"/>
        </w:rPr>
        <w:t>347</w:t>
      </w:r>
      <w:r>
        <w:rPr>
          <w:rFonts w:cs="Times New Roman;Times New Roman" w:ascii="Times New Roman;Times New Roman" w:hAnsi="Times New Roman;Times New Roman"/>
          <w:rtl w:val="true"/>
        </w:rPr>
        <w:t xml:space="preserve">). </w:t>
      </w:r>
      <w:r>
        <w:rPr>
          <w:rFonts w:ascii="Times New Roman;Times New Roman" w:hAnsi="Times New Roman;Times New Roman" w:cs="Times New Roman;Times New Roman"/>
          <w:rtl w:val="true"/>
        </w:rPr>
        <w:t>הדבר נכון אף כשההסגרה נוגעת למי שסובל מבעיות בריאותיות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 xml:space="preserve">שכן </w:t>
      </w:r>
      <w:r>
        <w:rPr>
          <w:rtl w:val="true"/>
        </w:rPr>
        <w:t>"</w:t>
      </w:r>
      <w:r>
        <w:rPr>
          <w:rFonts w:ascii="Times New Roman;Times New Roman" w:hAnsi="Times New Roman;Times New Roman" w:cs="Times New Roman;Times New Roman"/>
          <w:rtl w:val="true"/>
        </w:rPr>
        <w:t>מצב בריאות רופף אינו יכול לחסן אדם מנשיאה בתוצאות הנובעות ממעשיו</w:t>
      </w:r>
      <w:r>
        <w:rPr>
          <w:rFonts w:cs="Times New Roman;Times New Roman" w:ascii="Times New Roman;Times New Roman" w:hAnsi="Times New Roman;Times New Roman"/>
          <w:rtl w:val="true"/>
        </w:rPr>
        <w:t>" (</w:t>
      </w:r>
      <w:hyperlink r:id="rId83">
        <w:r>
          <w:rPr>
            <w:rStyle w:val="Hyperlink"/>
            <w:rFonts w:ascii="Times New Roman;Times New Roman" w:hAnsi="Times New Roman;Times New Roman" w:cs="Times New Roman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;Times New Roman" w:ascii="Times New Roman;Times New Roman" w:hAnsi="Times New Roman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;Times New Roman" w:hAnsi="Times New Roman;Times New Roman" w:cs="Times New Roman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;Times New Roman" w:ascii="Times New Roman;Times New Roman" w:hAnsi="Times New Roman;Times New Roman"/>
            <w:color w:val="0000FF"/>
            <w:u w:val="single"/>
          </w:rPr>
          <w:t>3680/09</w:t>
        </w:r>
      </w:hyperlink>
      <w:r>
        <w:rPr>
          <w:rFonts w:cs="Times New Roman;Times New Roman" w:ascii="Times New Roman;Times New Roman" w:hAnsi="Times New Roman;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סילברמן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Times New Roman;Times New Roman" w:hAnsi="Times New Roman;Times New Roman" w:cs="Times New Roman;Times New Roman"/>
          <w:rtl w:val="true"/>
        </w:rPr>
        <w:t xml:space="preserve">פסקה </w:t>
      </w:r>
      <w:r>
        <w:rPr>
          <w:rFonts w:cs="Times New Roman;Times New Roman" w:ascii="Times New Roman;Times New Roman" w:hAnsi="Times New Roman;Times New Roman"/>
        </w:rPr>
        <w:t>9</w:t>
      </w:r>
      <w:r>
        <w:rPr>
          <w:rFonts w:cs="Times New Roman;Times New Roman" w:ascii="Times New Roman;Times New Roman" w:hAnsi="Times New Roman;Times New Roman"/>
          <w:rtl w:val="true"/>
        </w:rPr>
        <w:t xml:space="preserve"> (</w:t>
      </w:r>
      <w:r>
        <w:rPr>
          <w:rFonts w:cs="Times New Roman;Times New Roman" w:ascii="Times New Roman;Times New Roman" w:hAnsi="Times New Roman;Times New Roman"/>
        </w:rPr>
        <w:t>9.11.2009</w:t>
      </w:r>
      <w:r>
        <w:rPr>
          <w:rFonts w:cs="Times New Roman;Times New Roman" w:ascii="Times New Roman;Times New Roman" w:hAnsi="Times New Roman;Times New Roman"/>
          <w:rtl w:val="true"/>
        </w:rPr>
        <w:t xml:space="preserve">)). </w:t>
      </w:r>
      <w:r>
        <w:rPr>
          <w:rFonts w:ascii="Times New Roman;Times New Roman" w:hAnsi="Times New Roman;Times New Roman" w:cs="Times New Roman;Times New Roman"/>
          <w:rtl w:val="true"/>
        </w:rPr>
        <w:t>בענייננו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 xml:space="preserve">מצבו של המערער אינו מונע ממנו לעמוד לדין </w:t>
      </w:r>
      <w:r>
        <w:rPr>
          <w:rFonts w:ascii="Times New Roman;Times New Roman" w:hAnsi="Times New Roman;Times New Roman" w:cs="Times New Roman;Times New Roman"/>
          <w:rtl w:val="true"/>
        </w:rPr>
        <w:t>–</w:t>
      </w:r>
      <w:r>
        <w:rPr>
          <w:rFonts w:ascii="Times New Roman;Times New Roman" w:hAnsi="Times New Roman;Times New Roman" w:cs="Times New Roman;Times New Roman"/>
          <w:rtl w:val="true"/>
        </w:rPr>
        <w:t xml:space="preserve"> והוא אף אינו טוען אחרת</w:t>
      </w:r>
      <w:r>
        <w:rPr>
          <w:rFonts w:cs="Times New Roman;Times New Roman" w:ascii="Times New Roman;Times New Roman" w:hAnsi="Times New Roman;Times New Roman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rtl w:val="true"/>
        </w:rPr>
        <w:t>יתרה מכך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>המשיב ציין בצדק כי מצבו של המערער ומוגבלותו התקשורתית לא מנעו ממנו לנהל קשרים מקוונים עם כ</w:t>
      </w:r>
      <w:r>
        <w:rPr>
          <w:rFonts w:cs="Times New Roman;Times New Roman" w:ascii="Times New Roman;Times New Roman" w:hAnsi="Times New Roman;Times New Roman"/>
          <w:rtl w:val="true"/>
        </w:rPr>
        <w:t>-</w:t>
      </w:r>
      <w:r>
        <w:rPr>
          <w:rFonts w:cs="Times New Roman;Times New Roman" w:ascii="Times New Roman;Times New Roman" w:hAnsi="Times New Roman;Times New Roman"/>
        </w:rPr>
        <w:t>150</w:t>
      </w:r>
      <w:r>
        <w:rPr>
          <w:rFonts w:cs="Times New Roman;Times New Roman" w:ascii="Times New Roman;Times New Roman" w:hAnsi="Times New Roman;Times New Roman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rtl w:val="true"/>
        </w:rPr>
        <w:t>צעירות ולשדלן לבצע פעולות מיניות שונות</w:t>
      </w:r>
      <w:r>
        <w:rPr>
          <w:rFonts w:cs="Times New Roman;Times New Roman" w:ascii="Times New Roman;Times New Roman" w:hAnsi="Times New Roman;Times New Roman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rtl w:val="true"/>
        </w:rPr>
        <w:t>אין חולק כי מצבו של המערער עשוי להגביל את יכולתו להתנהל באופן עצמאי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>וכי ניהול הליך פלילי במדינה זרה אינו דבר קל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>אך אין מדובר בפגיעה בעֹּצמה שמצדיקה את אי הסגרתו</w:t>
      </w:r>
      <w:r>
        <w:rPr>
          <w:rFonts w:cs="Times New Roman;Times New Roman" w:ascii="Times New Roman;Times New Roman" w:hAnsi="Times New Roman;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;Times New Roman" w:hAnsi="Times New Roman;Times New Roman" w:cs="Times New Roman;Times New Roman"/>
          <w:highlight w:val="yellow"/>
        </w:rPr>
      </w:pPr>
      <w:r>
        <w:rPr>
          <w:rFonts w:cs="Times New Roman;Times New Roman" w:ascii="Times New Roman;Times New Roman" w:hAnsi="Times New Roman;Times New Roman"/>
          <w:highlight w:val="yellow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טענות המערער בנוגע למצבו</w:t>
      </w:r>
      <w:r>
        <w:rPr>
          <w:rtl w:val="true"/>
        </w:rPr>
        <w:t xml:space="preserve">, </w:t>
      </w:r>
      <w:r>
        <w:rPr>
          <w:rtl w:val="true"/>
        </w:rPr>
        <w:t>לצורך התחשבות בגזירת דינו</w:t>
      </w:r>
      <w:r>
        <w:rPr>
          <w:rtl w:val="true"/>
        </w:rPr>
        <w:t xml:space="preserve">, </w:t>
      </w:r>
      <w:r>
        <w:rPr>
          <w:rtl w:val="true"/>
        </w:rPr>
        <w:t>יועלו במקום ובזמן המתאימים</w:t>
      </w:r>
      <w:r>
        <w:rPr>
          <w:rtl w:val="true"/>
        </w:rPr>
        <w:t xml:space="preserve">. </w:t>
      </w:r>
      <w:r>
        <w:rPr>
          <w:rtl w:val="true"/>
        </w:rPr>
        <w:t>חזקה על הרשויות בארצות הברית שייתנו מענה מתאים למצבו של המערער בשלב ניהול ההליך</w:t>
      </w:r>
      <w:r>
        <w:rPr>
          <w:rtl w:val="true"/>
        </w:rPr>
        <w:t xml:space="preserve">. </w:t>
      </w:r>
      <w:r>
        <w:rPr>
          <w:rtl w:val="true"/>
        </w:rPr>
        <w:t>לכך יש להוסיף כי את הנשיאה בעונש ניתן לבצע בישראל וגם בשלב זה חזקה על הרשויות כי יתנו את הדעת למצבו של המערער ויינתן לכך המשקל המתאים בקבלת ההחלטות בעניינו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FF0000"/>
        </w:rPr>
      </w:pPr>
      <w:r>
        <w:rPr>
          <w:color w:val="FF0000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נוספות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cs="Miriam" w:ascii="Century" w:hAnsi="Century"/>
          <w:b/>
          <w:spacing w:val="0"/>
          <w:szCs w:val="24"/>
        </w:rPr>
        <w:t>I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התיישנות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הסחיטה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טוען כי עבירת הסחיטה המיוחסת לו בוצעה בשנת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והתיישנה בדין האמריקני כבר בשנת </w:t>
      </w:r>
      <w:r>
        <w:rPr/>
        <w:t>2016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הוא טוען כי לא מתקיימת דרישת הפליליות הכפולה בעבירה זו</w:t>
      </w:r>
      <w:r>
        <w:rPr>
          <w:rtl w:val="true"/>
        </w:rPr>
        <w:t xml:space="preserve">, </w:t>
      </w:r>
      <w:r>
        <w:rPr>
          <w:rtl w:val="true"/>
        </w:rPr>
        <w:t>ואין להסגירו בגינה</w:t>
      </w:r>
      <w:r>
        <w:rPr>
          <w:rtl w:val="true"/>
        </w:rPr>
        <w:t xml:space="preserve">. </w:t>
      </w:r>
      <w:r>
        <w:rPr>
          <w:rtl w:val="true"/>
        </w:rPr>
        <w:t>דין טענה זו להידחות</w:t>
      </w:r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hyperlink r:id="rId8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 קבע מבחן </w:t>
      </w:r>
      <w:r>
        <w:rPr>
          <w:rtl w:val="true"/>
        </w:rPr>
        <w:t>"</w:t>
      </w:r>
      <w:r>
        <w:rPr>
          <w:rtl w:val="true"/>
        </w:rPr>
        <w:t>כפול</w:t>
      </w:r>
      <w:r>
        <w:rPr>
          <w:rtl w:val="true"/>
        </w:rPr>
        <w:t xml:space="preserve">" </w:t>
      </w:r>
      <w:r>
        <w:rPr>
          <w:rtl w:val="true"/>
        </w:rPr>
        <w:t>לבחינת התיישנות</w:t>
      </w:r>
      <w:r>
        <w:rPr>
          <w:rtl w:val="true"/>
        </w:rPr>
        <w:t xml:space="preserve">, </w:t>
      </w:r>
      <w:r>
        <w:rPr>
          <w:rtl w:val="true"/>
        </w:rPr>
        <w:t>שבמסגרתו נבחנו הדינים הן במדינה המסגירה הן במדינה המבקשת הסגרה</w:t>
      </w:r>
      <w:r>
        <w:rPr>
          <w:rtl w:val="true"/>
        </w:rPr>
        <w:t xml:space="preserve">. </w:t>
      </w:r>
      <w:r>
        <w:rPr>
          <w:rtl w:val="true"/>
        </w:rPr>
        <w:t>בימינו</w:t>
      </w:r>
      <w:r>
        <w:rPr>
          <w:rtl w:val="true"/>
        </w:rPr>
        <w:t xml:space="preserve">, </w:t>
      </w:r>
      <w:r>
        <w:rPr>
          <w:rtl w:val="true"/>
        </w:rPr>
        <w:t>השתנה המצב הנורמטיבי</w:t>
      </w:r>
      <w:r>
        <w:rPr>
          <w:rtl w:val="true"/>
        </w:rPr>
        <w:t xml:space="preserve">. </w:t>
      </w:r>
      <w:hyperlink r:id="rId8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אשר נוסף לחוק בשנת </w:t>
      </w:r>
      <w:r>
        <w:rPr/>
        <w:t>2001</w:t>
      </w:r>
      <w:r>
        <w:rPr>
          <w:rtl w:val="true"/>
        </w:rPr>
        <w:t xml:space="preserve"> (</w:t>
      </w:r>
      <w:hyperlink r:id="rId8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),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384</w:t>
      </w:r>
      <w:r>
        <w:rPr>
          <w:rtl w:val="true"/>
        </w:rPr>
        <w:t xml:space="preserve">), </w:t>
      </w:r>
      <w:r>
        <w:rPr>
          <w:rtl w:val="true"/>
        </w:rPr>
        <w:t xml:space="preserve">קובע כי סייג אפשרי להסגרה הוא אם העבירה </w:t>
      </w:r>
      <w:r>
        <w:rPr>
          <w:rtl w:val="true"/>
        </w:rPr>
        <w:t>(</w:t>
      </w:r>
      <w:r>
        <w:rPr>
          <w:rtl w:val="true"/>
        </w:rPr>
        <w:t>או העונש בגינה</w:t>
      </w:r>
      <w:r>
        <w:rPr>
          <w:rtl w:val="true"/>
        </w:rPr>
        <w:t xml:space="preserve">) </w:t>
      </w:r>
      <w:r>
        <w:rPr>
          <w:rtl w:val="true"/>
        </w:rPr>
        <w:t xml:space="preserve">התיישנו לפי דיני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הצעת חוק ההסגרה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תיקון מס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התשס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2000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ח הכנסת </w:t>
      </w:r>
      <w:r>
        <w:rPr>
          <w:rFonts w:cs="Century" w:ascii="Century" w:hAnsi="Century"/>
          <w:sz w:val="22"/>
        </w:rPr>
        <w:t>154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קרי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אנו בוחנים את דיני ההתיישנות במדינת שאליה מיועדת ההסגרה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אלא לפי דינינו שלנו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אפרת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מונדרוביץ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59</w:t>
      </w:r>
      <w:r>
        <w:rPr>
          <w:rtl w:val="true"/>
        </w:rPr>
        <w:t xml:space="preserve">).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 ישנה סברה כי גם היום</w:t>
      </w:r>
      <w:r>
        <w:rPr>
          <w:rtl w:val="true"/>
        </w:rPr>
        <w:t xml:space="preserve">, </w:t>
      </w:r>
      <w:r>
        <w:rPr>
          <w:rtl w:val="true"/>
        </w:rPr>
        <w:t>לאחר תיקון החוק</w:t>
      </w:r>
      <w:r>
        <w:rPr>
          <w:rtl w:val="true"/>
        </w:rPr>
        <w:t xml:space="preserve">, </w:t>
      </w:r>
      <w:r>
        <w:rPr>
          <w:rtl w:val="true"/>
        </w:rPr>
        <w:t>יש לבחון את דיני ההתיישנות של המדינה המבקשת</w:t>
      </w:r>
      <w:r>
        <w:rPr>
          <w:rtl w:val="true"/>
        </w:rPr>
        <w:t xml:space="preserve">, </w:t>
      </w:r>
      <w:r>
        <w:rPr>
          <w:rtl w:val="true"/>
        </w:rPr>
        <w:t xml:space="preserve">והדבר לא הוכרע בפסיקתנו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6717/09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אוזיפה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62</w:t>
      </w:r>
      <w:r>
        <w:rPr>
          <w:rtl w:val="true"/>
        </w:rPr>
        <w:t xml:space="preserve"> (</w:t>
      </w:r>
      <w:r>
        <w:rPr/>
        <w:t>6.12.2010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אוזיפה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בזק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). </w:t>
      </w:r>
      <w:r>
        <w:rPr>
          <w:rtl w:val="true"/>
        </w:rPr>
        <w:t>סבורני כי אף בענייננו לא מתעורר הצורך להכריע בשאלה זו</w:t>
      </w:r>
      <w:r>
        <w:rPr>
          <w:rtl w:val="true"/>
        </w:rPr>
        <w:t xml:space="preserve">, </w:t>
      </w:r>
      <w:r>
        <w:rPr>
          <w:rtl w:val="true"/>
        </w:rPr>
        <w:t>מטעמים שאעמוד עליהם להלן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מבחינת הדין הישראלי</w:t>
      </w:r>
      <w:r>
        <w:rPr>
          <w:rtl w:val="true"/>
        </w:rPr>
        <w:t xml:space="preserve">, </w:t>
      </w:r>
      <w:r>
        <w:rPr>
          <w:rtl w:val="true"/>
        </w:rPr>
        <w:t xml:space="preserve">הצדק עם המשיב כי עבירת סחיטה באיומים </w:t>
      </w:r>
      <w:hyperlink r:id="rId8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המקבילה לעבירה שבה מואשם המערער </w:t>
      </w:r>
      <w:r>
        <w:rPr>
          <w:rtl w:val="true"/>
        </w:rPr>
        <w:t>–</w:t>
      </w:r>
      <w:r>
        <w:rPr>
          <w:rtl w:val="true"/>
        </w:rPr>
        <w:t xml:space="preserve"> טרם התיישנה</w:t>
      </w:r>
      <w:r>
        <w:rPr>
          <w:rtl w:val="true"/>
        </w:rPr>
        <w:t xml:space="preserve">. </w:t>
      </w:r>
      <w:r>
        <w:rPr>
          <w:rtl w:val="true"/>
        </w:rPr>
        <w:t xml:space="preserve">זאת שכן מדובר בעבירה מסוג פשע </w:t>
      </w:r>
      <w:r>
        <w:rPr>
          <w:rtl w:val="true"/>
        </w:rPr>
        <w:t>(</w:t>
      </w:r>
      <w:hyperlink r:id="rId9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 xml:space="preserve">אשר תקופת ההתיישנות בגינה היא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(</w:t>
      </w:r>
      <w:hyperlink r:id="rId9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rtl w:val="true"/>
        </w:rPr>
        <w:t xml:space="preserve">)).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אין צורך לבחון האם </w:t>
      </w:r>
      <w:r>
        <w:rPr>
          <w:rtl w:val="true"/>
        </w:rPr>
        <w:t>–</w:t>
      </w:r>
      <w:r>
        <w:rPr>
          <w:rtl w:val="true"/>
        </w:rPr>
        <w:t xml:space="preserve"> כטענת המשיב </w:t>
      </w:r>
      <w:r>
        <w:rPr>
          <w:rtl w:val="true"/>
        </w:rPr>
        <w:t>–</w:t>
      </w:r>
      <w:r>
        <w:rPr>
          <w:rtl w:val="true"/>
        </w:rPr>
        <w:t xml:space="preserve"> פעולות החקירה</w:t>
      </w:r>
      <w:r>
        <w:rPr>
          <w:rtl w:val="true"/>
        </w:rPr>
        <w:t xml:space="preserve">, </w:t>
      </w:r>
      <w:r>
        <w:rPr>
          <w:rtl w:val="true"/>
        </w:rPr>
        <w:t>הגשת כתב האישום והגשת בקשת ההסגרה קטעו את מירוץ ההתיישנות</w:t>
      </w:r>
      <w:r>
        <w:rPr>
          <w:rtl w:val="true"/>
        </w:rPr>
        <w:t xml:space="preserve">, </w:t>
      </w:r>
      <w:r>
        <w:rPr>
          <w:rtl w:val="true"/>
        </w:rPr>
        <w:t xml:space="preserve">בהתאם </w:t>
      </w:r>
      <w:hyperlink r:id="rId94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מונדרוביץ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71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לדין במדינת קליפורניה</w:t>
      </w:r>
      <w:r>
        <w:rPr>
          <w:rtl w:val="true"/>
        </w:rPr>
        <w:t xml:space="preserve">, </w:t>
      </w:r>
      <w:r>
        <w:rPr>
          <w:rtl w:val="true"/>
        </w:rPr>
        <w:t>החל על עניינו של המערער</w:t>
      </w:r>
      <w:r>
        <w:rPr>
          <w:rtl w:val="true"/>
        </w:rPr>
        <w:t xml:space="preserve">, </w:t>
      </w:r>
      <w:r>
        <w:rPr>
          <w:rtl w:val="true"/>
        </w:rPr>
        <w:t>בקשת ההסגרה מציינת במפורש כי העבירות המיוחסות למערער לא התיישנו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תצהיר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מורטון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אוונס</w:t>
      </w:r>
      <w:r>
        <w:rPr>
          <w:rtl w:val="true"/>
        </w:rPr>
        <w:t xml:space="preserve"> מתייחס בהרחבה לשאלת ההתיישנות</w:t>
      </w:r>
      <w:r>
        <w:rPr>
          <w:rtl w:val="true"/>
        </w:rPr>
        <w:t xml:space="preserve">, </w:t>
      </w:r>
      <w:r>
        <w:rPr>
          <w:rtl w:val="true"/>
        </w:rPr>
        <w:t xml:space="preserve">ומבהיר כי בעבירת הסחיטה </w:t>
      </w:r>
      <w:r>
        <w:rPr>
          <w:rtl w:val="true"/>
        </w:rPr>
        <w:t>(</w:t>
      </w:r>
      <w:r>
        <w:rPr>
          <w:rFonts w:cs="Century" w:ascii="Century" w:hAnsi="Century"/>
          <w:sz w:val="22"/>
        </w:rPr>
        <w:t>Extortion</w:t>
      </w:r>
      <w:r>
        <w:rPr>
          <w:rtl w:val="true"/>
        </w:rPr>
        <w:t xml:space="preserve">), </w:t>
      </w:r>
      <w:r>
        <w:rPr>
          <w:rtl w:val="true"/>
        </w:rPr>
        <w:t>שהעונש בגינה הוא שנתיים מאסר</w:t>
      </w:r>
      <w:r>
        <w:rPr>
          <w:rtl w:val="true"/>
        </w:rPr>
        <w:t xml:space="preserve">, </w:t>
      </w:r>
      <w:r>
        <w:rPr>
          <w:rtl w:val="true"/>
        </w:rPr>
        <w:t xml:space="preserve">חלה התיישנות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–</w:t>
      </w:r>
      <w:r>
        <w:rPr>
          <w:rtl w:val="true"/>
        </w:rPr>
        <w:t xml:space="preserve"> ואילו כתב האישום נגד המערער הוגש בשנת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פחות מ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שנים לאחר ביצוע המעשים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לתצהיר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מורטון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אוונס</w:t>
      </w:r>
      <w:r>
        <w:rPr>
          <w:rtl w:val="true"/>
        </w:rPr>
        <w:t xml:space="preserve">), </w:t>
      </w:r>
      <w:r>
        <w:rPr>
          <w:rtl w:val="true"/>
        </w:rPr>
        <w:t>ודי בכך כדי לעצור את מירוץ ההתיישנות</w:t>
      </w:r>
      <w:r>
        <w:rPr>
          <w:rtl w:val="true"/>
        </w:rPr>
        <w:t xml:space="preserve">. </w:t>
      </w:r>
      <w:r>
        <w:rPr>
          <w:rtl w:val="true"/>
        </w:rPr>
        <w:t>מדובר בתצהיר שניתן על ידי תובעת אמריקנית</w:t>
      </w:r>
      <w:r>
        <w:rPr>
          <w:rtl w:val="true"/>
        </w:rPr>
        <w:t xml:space="preserve">, </w:t>
      </w:r>
      <w:r>
        <w:rPr>
          <w:rtl w:val="true"/>
        </w:rPr>
        <w:t>הבקיאה בדיני ההתיישנות הנוהגים ובהליכי החקירה והאישום שנוהלו נגד המערער</w:t>
      </w:r>
      <w:r>
        <w:rPr>
          <w:rtl w:val="true"/>
        </w:rPr>
        <w:t xml:space="preserve">. </w:t>
      </w:r>
      <w:r>
        <w:rPr>
          <w:rtl w:val="true"/>
        </w:rPr>
        <w:t xml:space="preserve">נחה דעתי כי די בכך לצורך הליך ההסגרה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אוזיפה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62</w:t>
      </w:r>
      <w:r>
        <w:rPr>
          <w:rtl w:val="true"/>
        </w:rPr>
        <w:t xml:space="preserve">). </w:t>
      </w:r>
      <w:r>
        <w:rPr>
          <w:rtl w:val="true"/>
        </w:rPr>
        <w:t>טענות נוספות המועלות בעניין זה</w:t>
      </w:r>
      <w:r>
        <w:rPr>
          <w:rtl w:val="true"/>
        </w:rPr>
        <w:t xml:space="preserve">, </w:t>
      </w:r>
      <w:r>
        <w:rPr>
          <w:rtl w:val="true"/>
        </w:rPr>
        <w:t>ראוי שיתבררו במסגרת ההליך הפלילי לפני הערכאה המתאימה בארצות הברית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firstLine="72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</w:rPr>
        <w:t>II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Cs w:val="24"/>
        </w:rPr>
        <w:t>53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כי לאישום מס</w:t>
      </w:r>
      <w:r>
        <w:rPr>
          <w:rtl w:val="true"/>
        </w:rPr>
        <w:t xml:space="preserve">'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בכתב האישום אין אחיזה ראייתית</w:t>
      </w:r>
      <w:r>
        <w:rPr>
          <w:rtl w:val="true"/>
        </w:rPr>
        <w:t xml:space="preserve">, </w:t>
      </w:r>
      <w:r>
        <w:rPr>
          <w:rtl w:val="true"/>
        </w:rPr>
        <w:t>שכן הוא מציין מועד שבו היה המערער במעצר</w:t>
      </w:r>
      <w:r>
        <w:rPr>
          <w:rtl w:val="true"/>
        </w:rPr>
        <w:t xml:space="preserve">. </w:t>
      </w:r>
      <w:r>
        <w:rPr>
          <w:rtl w:val="true"/>
        </w:rPr>
        <w:t>כפי שציין המשיב</w:t>
      </w:r>
      <w:r>
        <w:rPr>
          <w:rtl w:val="true"/>
        </w:rPr>
        <w:t xml:space="preserve">, </w:t>
      </w:r>
      <w:r>
        <w:rPr>
          <w:rtl w:val="true"/>
        </w:rPr>
        <w:t xml:space="preserve">בסעיף </w:t>
      </w:r>
      <w:r>
        <w:rPr/>
        <w:t>111</w:t>
      </w:r>
      <w:r>
        <w:rPr>
          <w:rtl w:val="true"/>
        </w:rPr>
        <w:t xml:space="preserve"> </w:t>
      </w:r>
      <w:r>
        <w:rPr>
          <w:rtl w:val="true"/>
        </w:rPr>
        <w:t xml:space="preserve">לכתב האישום מצוין כי המעשה נעשה ביום </w:t>
      </w:r>
      <w:r>
        <w:rPr/>
        <w:t>16.7.2011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היה עצור החל מיום </w:t>
      </w:r>
      <w:r>
        <w:rPr/>
        <w:t>11.7.2011</w:t>
      </w:r>
      <w:r>
        <w:rPr>
          <w:rtl w:val="true"/>
        </w:rPr>
        <w:t xml:space="preserve">. </w:t>
      </w:r>
      <w:r>
        <w:rPr>
          <w:rtl w:val="true"/>
        </w:rPr>
        <w:t>אין בפער זה כדי לקעקע את האחיזה הראייתית הלכאורית של האישום</w:t>
      </w:r>
      <w:r>
        <w:rPr>
          <w:rtl w:val="true"/>
        </w:rPr>
        <w:t xml:space="preserve">, </w:t>
      </w:r>
      <w:r>
        <w:rPr>
          <w:rtl w:val="true"/>
        </w:rPr>
        <w:t>בשים לב לכך שאין בית המשפט בוחן את מהימנות ומשקל הראיות במסגרת הליך ההסגרה</w:t>
      </w:r>
      <w:r>
        <w:rPr>
          <w:rtl w:val="true"/>
        </w:rPr>
        <w:t xml:space="preserve">, </w:t>
      </w:r>
      <w:r>
        <w:rPr>
          <w:rtl w:val="true"/>
        </w:rPr>
        <w:t xml:space="preserve">כל עוד אין מדובר בראיות שהן חסרות ערך על פניהן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אוזיפה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). </w:t>
      </w:r>
      <w:r>
        <w:rPr>
          <w:rtl w:val="true"/>
        </w:rPr>
        <w:t>כפי שציין בצדק בית המשפט המחוזי</w:t>
      </w:r>
      <w:r>
        <w:rPr>
          <w:rtl w:val="true"/>
        </w:rPr>
        <w:t xml:space="preserve">, </w:t>
      </w:r>
      <w:r>
        <w:rPr>
          <w:rtl w:val="true"/>
        </w:rPr>
        <w:t>מקומה של טענה זו להתברר בהליך העיקרי</w:t>
      </w:r>
      <w:r>
        <w:rPr>
          <w:rtl w:val="true"/>
        </w:rPr>
        <w:t xml:space="preserve">, </w:t>
      </w:r>
      <w:r>
        <w:rPr>
          <w:rtl w:val="true"/>
        </w:rPr>
        <w:t xml:space="preserve">שכן הליך הסגרה אינו הליך פלילי מלא שקובע את אשמתו או חפותו של נאשם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בזק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מצאתי אם כן כי יש לדחות את טענותיו של המערער</w:t>
      </w:r>
      <w:r>
        <w:rPr>
          <w:rtl w:val="true"/>
        </w:rPr>
        <w:t xml:space="preserve">, </w:t>
      </w:r>
      <w:r>
        <w:rPr>
          <w:rtl w:val="true"/>
        </w:rPr>
        <w:t>וכי אין עילה להתערב בפסק הדין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מרבית הזיקות של העבירות המיוחסות למערער קשורות בעבותות לארצות הברית</w:t>
      </w:r>
      <w:r>
        <w:rPr>
          <w:rtl w:val="true"/>
        </w:rPr>
        <w:t xml:space="preserve">, </w:t>
      </w:r>
      <w:r>
        <w:rPr>
          <w:rtl w:val="true"/>
        </w:rPr>
        <w:t>וממילא אין להתערב בקביעה בדבר הסגרת המערער למדינה זו לצורך העמדתו לדין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לא מצאתי כי השיהוי בנקיטת ההליכים נגד המערער עולה כדי פגיעה בתקנת הציבור במידה שתצדיק את אי הסגרתו</w:t>
      </w:r>
      <w:r>
        <w:rPr>
          <w:rtl w:val="true"/>
        </w:rPr>
        <w:t xml:space="preserve">; </w:t>
      </w:r>
      <w:r>
        <w:rPr>
          <w:rtl w:val="true"/>
        </w:rPr>
        <w:t>וכך גם בנוגע לסבל שעשוי להיגרם לו מההסגרה</w:t>
      </w:r>
      <w:r>
        <w:rPr>
          <w:rtl w:val="true"/>
        </w:rPr>
        <w:t xml:space="preserve">, </w:t>
      </w:r>
      <w:r>
        <w:rPr>
          <w:rtl w:val="true"/>
        </w:rPr>
        <w:t>בשל מצבו הרפואי</w:t>
      </w:r>
      <w:r>
        <w:rPr>
          <w:rtl w:val="true"/>
        </w:rPr>
        <w:t xml:space="preserve">. </w:t>
      </w:r>
      <w:r>
        <w:rPr>
          <w:rtl w:val="true"/>
        </w:rPr>
        <w:t>לא מצאתי גם כי למערער עומדת הגנה מן הצדק</w:t>
      </w:r>
      <w:r>
        <w:rPr>
          <w:rtl w:val="true"/>
        </w:rPr>
        <w:t xml:space="preserve">, </w:t>
      </w:r>
      <w:r>
        <w:rPr>
          <w:rtl w:val="true"/>
        </w:rPr>
        <w:t>משלא הוכח כי ההחלטה בעניינו נגועה באכיפה בררנית</w:t>
      </w:r>
      <w:r>
        <w:rPr>
          <w:rtl w:val="true"/>
        </w:rPr>
        <w:t xml:space="preserve">. </w:t>
      </w:r>
      <w:r>
        <w:rPr>
          <w:rtl w:val="true"/>
        </w:rPr>
        <w:t>אף טענותיו הנוספות של המערער</w:t>
      </w:r>
      <w:r>
        <w:rPr>
          <w:rtl w:val="true"/>
        </w:rPr>
        <w:t xml:space="preserve">, </w:t>
      </w:r>
      <w:r>
        <w:rPr>
          <w:rtl w:val="true"/>
        </w:rPr>
        <w:t>דינן להידחות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</w:t>
      </w:r>
      <w:r>
        <w:rPr>
          <w:rtl w:val="true"/>
        </w:rPr>
        <w:t xml:space="preserve">.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, </w:t>
      </w:r>
      <w:r>
        <w:rPr>
          <w:rtl w:val="true"/>
        </w:rPr>
        <w:t>במדינות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יספקו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במגבלותיו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פתוחה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סוף דבר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אציע לחברותיי לדחות את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שההכרזה על המערער כבר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הסגרה לארצות הברית תיוותר על כנה</w:t>
      </w:r>
      <w:r>
        <w:rPr>
          <w:rFonts w:cs="Century" w:ascii="Century" w:hAnsi="Century"/>
          <w:rtl w:val="true"/>
        </w:rPr>
        <w:t>.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24" w:name="Start_Write"/>
            <w:bookmarkStart w:id="25" w:name="Writer_Name"/>
            <w:bookmarkStart w:id="26" w:name="Start_Write"/>
            <w:bookmarkStart w:id="27" w:name="Writer_Name"/>
            <w:bookmarkEnd w:id="26"/>
            <w:bookmarkEnd w:id="27"/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ארז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מצטרפת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הנחרצת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9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הלאום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היהודי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למוצאם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הדתי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Fonts w:ascii="Century" w:hAnsi="Century" w:cs="Century"/>
          <w:b/>
          <w:b/>
          <w:spacing w:val="0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בניהולו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מהיבטו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r>
        <w:rPr>
          <w:rtl w:val="true"/>
        </w:rPr>
        <w:t>שגית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ואסנת</w:t>
      </w:r>
      <w:r>
        <w:rPr>
          <w:rFonts w:eastAsia="Arial TUR;Arial" w:cs="Arial TUR;Arial"/>
          <w:rtl w:val="true"/>
        </w:rPr>
        <w:t xml:space="preserve"> </w:t>
      </w:r>
      <w:hyperlink r:id="rId97">
        <w:r>
          <w:rPr>
            <w:rStyle w:val="Hyperlink"/>
            <w:color w:val="0000FF"/>
            <w:u w:val="single"/>
            <w:rtl w:val="true"/>
          </w:rPr>
          <w:t>עין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דור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עדות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מוגבלת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מוגבלות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וקול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טז</w:t>
      </w:r>
      <w:r>
        <w:rPr>
          <w:rFonts w:eastAsia="Arial TUR;Arial" w:cs="Arial TUR;Arial"/>
          <w:rtl w:val="true"/>
        </w:rPr>
        <w:t xml:space="preserve"> </w:t>
      </w:r>
      <w:r>
        <w:rPr/>
        <w:t>187</w:t>
      </w:r>
      <w:r>
        <w:rPr>
          <w:rtl w:val="true"/>
        </w:rPr>
        <w:t xml:space="preserve"> (</w:t>
      </w:r>
      <w:r>
        <w:rPr/>
        <w:t>2015</w:t>
      </w:r>
      <w:r>
        <w:rPr>
          <w:rtl w:val="true"/>
        </w:rPr>
        <w:t xml:space="preserve">)),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מסביבתו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התומכת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עינינו</w:t>
      </w:r>
      <w:r>
        <w:rPr>
          <w:rtl w:val="true"/>
        </w:rPr>
        <w:t xml:space="preserve">. </w:t>
      </w:r>
      <w:r>
        <w:rPr>
          <w:rtl w:val="true"/>
        </w:rPr>
        <w:t>נחמה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sz w:val="28"/>
          <w:sz w:val="28"/>
          <w:rtl w:val="true"/>
        </w:rPr>
        <w:t>ה</w:t>
      </w:r>
      <w:hyperlink r:id="rId9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לנשיאת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עונש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מאסר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במדינת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אזרחותו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של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האסיר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ז</w:t>
      </w:r>
      <w:r>
        <w:rPr>
          <w:sz w:val="28"/>
          <w:sz w:val="28"/>
          <w:rtl w:val="true"/>
        </w:rPr>
        <w:t>–</w:t>
      </w:r>
      <w:r>
        <w:rPr>
          <w:sz w:val="28"/>
        </w:rPr>
        <w:t>1996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28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בתמוז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14.7.2019</w:t>
      </w:r>
      <w:r>
        <w:rPr>
          <w:rFonts w:cs="Century" w:ascii="Century" w:hAnsi="Century"/>
          <w:rtl w:val="true"/>
        </w:rPr>
        <w:t xml:space="preserve">). </w:t>
      </w:r>
      <w:bookmarkEnd w:id="28"/>
    </w:p>
    <w:p>
      <w:pPr>
        <w:pStyle w:val="Ruller41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18092030</w:t>
      </w:r>
      <w:r>
        <w:rPr>
          <w:sz w:val="16"/>
          <w:rtl w:val="true"/>
        </w:rPr>
        <w:t>_</w:t>
      </w:r>
      <w:r>
        <w:rPr>
          <w:sz w:val="16"/>
        </w:rPr>
        <w:t>M11.docx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9">
        <w:r>
          <w:rPr>
            <w:rStyle w:val="Hyperlink"/>
            <w:color w:val="0070C0"/>
            <w:sz w:val="16"/>
          </w:rPr>
          <w:t>http://supreme.court.gov.i</w:t>
        </w:r>
      </w:hyperlink>
      <w:r>
        <w:rPr>
          <w:color w:val="0070C0"/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פוגלמן </w:t>
      </w:r>
      <w:r>
        <w:rPr>
          <w:rFonts w:cs="David;Times New Roman" w:ascii="David;Times New Roman" w:hAnsi="David;Times New Roman"/>
          <w:color w:val="000000"/>
          <w:szCs w:val="22"/>
        </w:rPr>
        <w:t>54678313-9203/18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0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01"/>
      <w:footerReference w:type="default" r:id="rId10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alibri">
    <w:altName w:val="Arial Rounded MT Bold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9203/18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אלעד גבר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היועץ המשפטי לממשלה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Symbol" w:hAnsi="Symbol" w:eastAsia="Times New Roman;Times New Roman" w:cs="FrankRueh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Symbol" w:hAnsi="Symbol" w:eastAsia="Times New Roman;Times New Roman" w:cs="Miriam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default">
    <w:name w:val="default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;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445043" TargetMode="External"/><Relationship Id="rId3" Type="http://schemas.openxmlformats.org/officeDocument/2006/relationships/hyperlink" Target="http://www.nevo.co.il/law/71723" TargetMode="External"/><Relationship Id="rId4" Type="http://schemas.openxmlformats.org/officeDocument/2006/relationships/hyperlink" Target="http://www.nevo.co.il/law/71723/1a" TargetMode="External"/><Relationship Id="rId5" Type="http://schemas.openxmlformats.org/officeDocument/2006/relationships/hyperlink" Target="http://www.nevo.co.il/law/71723/2a.a.1" TargetMode="External"/><Relationship Id="rId6" Type="http://schemas.openxmlformats.org/officeDocument/2006/relationships/hyperlink" Target="http://www.nevo.co.il/law/71723/2b.a.6" TargetMode="External"/><Relationship Id="rId7" Type="http://schemas.openxmlformats.org/officeDocument/2006/relationships/hyperlink" Target="http://www.nevo.co.il/law/71723/2b.a.8" TargetMode="External"/><Relationship Id="rId8" Type="http://schemas.openxmlformats.org/officeDocument/2006/relationships/hyperlink" Target="http://www.nevo.co.il/law/71723/9.a" TargetMode="External"/><Relationship Id="rId9" Type="http://schemas.openxmlformats.org/officeDocument/2006/relationships/hyperlink" Target="http://www.nevo.co.il/law/157298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7.a.1" TargetMode="External"/><Relationship Id="rId12" Type="http://schemas.openxmlformats.org/officeDocument/2006/relationships/hyperlink" Target="http://www.nevo.co.il/law/70301/24.1" TargetMode="External"/><Relationship Id="rId13" Type="http://schemas.openxmlformats.org/officeDocument/2006/relationships/hyperlink" Target="http://www.nevo.co.il/law/70301/39" TargetMode="External"/><Relationship Id="rId14" Type="http://schemas.openxmlformats.org/officeDocument/2006/relationships/hyperlink" Target="http://www.nevo.co.il/law/70301/428" TargetMode="External"/><Relationship Id="rId15" Type="http://schemas.openxmlformats.org/officeDocument/2006/relationships/hyperlink" Target="http://www.nevo.co.il/law/70320" TargetMode="External"/><Relationship Id="rId16" Type="http://schemas.openxmlformats.org/officeDocument/2006/relationships/hyperlink" Target="http://www.nevo.co.il/law/70320/5" TargetMode="External"/><Relationship Id="rId17" Type="http://schemas.openxmlformats.org/officeDocument/2006/relationships/hyperlink" Target="http://www.nevo.co.il/law/74903" TargetMode="External"/><Relationship Id="rId18" Type="http://schemas.openxmlformats.org/officeDocument/2006/relationships/hyperlink" Target="http://www.nevo.co.il/law/74903/9.a.2" TargetMode="External"/><Relationship Id="rId19" Type="http://schemas.openxmlformats.org/officeDocument/2006/relationships/hyperlink" Target="http://www.nevo.co.il/law/74903/9.d" TargetMode="External"/><Relationship Id="rId20" Type="http://schemas.openxmlformats.org/officeDocument/2006/relationships/hyperlink" Target="http://www.nevo.co.il/law/74903/211" TargetMode="External"/><Relationship Id="rId21" Type="http://schemas.openxmlformats.org/officeDocument/2006/relationships/hyperlink" Target="http://www.nevo.co.il/law/74386" TargetMode="External"/><Relationship Id="rId22" Type="http://schemas.openxmlformats.org/officeDocument/2006/relationships/hyperlink" Target="http://www.nevo.co.il/safrut/bookgroup/616" TargetMode="External"/><Relationship Id="rId23" Type="http://schemas.openxmlformats.org/officeDocument/2006/relationships/hyperlink" Target="http://www.nevo.co.il/safrut/bookgroup/616" TargetMode="External"/><Relationship Id="rId24" Type="http://schemas.openxmlformats.org/officeDocument/2006/relationships/hyperlink" Target="http://www.nevo.co.il/safrut/book/19424" TargetMode="External"/><Relationship Id="rId25" Type="http://schemas.openxmlformats.org/officeDocument/2006/relationships/hyperlink" Target="http://www.nevo.co.il/safrut/book/19424" TargetMode="External"/><Relationship Id="rId26" Type="http://schemas.openxmlformats.org/officeDocument/2006/relationships/hyperlink" Target="http://www.nevo.co.il/law/71723/9.a" TargetMode="External"/><Relationship Id="rId27" Type="http://schemas.openxmlformats.org/officeDocument/2006/relationships/hyperlink" Target="http://www.nevo.co.il/law/71723" TargetMode="External"/><Relationship Id="rId28" Type="http://schemas.openxmlformats.org/officeDocument/2006/relationships/hyperlink" Target="http://www.nevo.co.il/case/4652924" TargetMode="External"/><Relationship Id="rId29" Type="http://schemas.openxmlformats.org/officeDocument/2006/relationships/hyperlink" Target="http://www.nevo.co.il/case/4652926" TargetMode="External"/><Relationship Id="rId30" Type="http://schemas.openxmlformats.org/officeDocument/2006/relationships/hyperlink" Target="http://www.nevo.co.il/case/5608057" TargetMode="External"/><Relationship Id="rId31" Type="http://schemas.openxmlformats.org/officeDocument/2006/relationships/hyperlink" Target="http://www.nevo.co.il/law/71723/2a.a.1" TargetMode="External"/><Relationship Id="rId32" Type="http://schemas.openxmlformats.org/officeDocument/2006/relationships/hyperlink" Target="http://www.nevo.co.il/law/71723" TargetMode="External"/><Relationship Id="rId33" Type="http://schemas.openxmlformats.org/officeDocument/2006/relationships/hyperlink" Target="http://www.nevo.co.il/law/157298" TargetMode="External"/><Relationship Id="rId34" Type="http://schemas.openxmlformats.org/officeDocument/2006/relationships/hyperlink" Target="http://www.nevo.co.il/case/22686670" TargetMode="External"/><Relationship Id="rId35" Type="http://schemas.openxmlformats.org/officeDocument/2006/relationships/hyperlink" Target="http://www.nevo.co.il/law/71723/1a" TargetMode="External"/><Relationship Id="rId36" Type="http://schemas.openxmlformats.org/officeDocument/2006/relationships/hyperlink" Target="http://www.nevo.co.il/law/71723" TargetMode="External"/><Relationship Id="rId37" Type="http://schemas.openxmlformats.org/officeDocument/2006/relationships/hyperlink" Target="http://www.nevo.co.il/law/71723" TargetMode="External"/><Relationship Id="rId38" Type="http://schemas.openxmlformats.org/officeDocument/2006/relationships/hyperlink" Target="http://www.nevo.co.il/case/23826496" TargetMode="External"/><Relationship Id="rId39" Type="http://schemas.openxmlformats.org/officeDocument/2006/relationships/hyperlink" Target="http://www.nevo.co.il/law/71723/1a" TargetMode="External"/><Relationship Id="rId40" Type="http://schemas.openxmlformats.org/officeDocument/2006/relationships/hyperlink" Target="http://www.nevo.co.il/law/71723" TargetMode="External"/><Relationship Id="rId41" Type="http://schemas.openxmlformats.org/officeDocument/2006/relationships/hyperlink" Target="http://www.nevo.co.il/law/71723/2b.a.6" TargetMode="External"/><Relationship Id="rId42" Type="http://schemas.openxmlformats.org/officeDocument/2006/relationships/hyperlink" Target="http://www.nevo.co.il/law/71723" TargetMode="External"/><Relationship Id="rId43" Type="http://schemas.openxmlformats.org/officeDocument/2006/relationships/hyperlink" Target="http://www.nevo.co.il/case/5966318" TargetMode="External"/><Relationship Id="rId44" Type="http://schemas.openxmlformats.org/officeDocument/2006/relationships/hyperlink" Target="http://www.nevo.co.il/case/5753695" TargetMode="External"/><Relationship Id="rId45" Type="http://schemas.openxmlformats.org/officeDocument/2006/relationships/hyperlink" Target="http://www.nevo.co.il/case/5821640" TargetMode="External"/><Relationship Id="rId46" Type="http://schemas.openxmlformats.org/officeDocument/2006/relationships/hyperlink" Target="http://www.nevo.co.il/case/5814012" TargetMode="External"/><Relationship Id="rId47" Type="http://schemas.openxmlformats.org/officeDocument/2006/relationships/hyperlink" Target="http://www.nevo.co.il/law/71723" TargetMode="External"/><Relationship Id="rId48" Type="http://schemas.openxmlformats.org/officeDocument/2006/relationships/hyperlink" Target="http://www.nevo.co.il/case/5896210" TargetMode="External"/><Relationship Id="rId49" Type="http://schemas.openxmlformats.org/officeDocument/2006/relationships/hyperlink" Target="http://www.nevo.co.il/case/20348052" TargetMode="External"/><Relationship Id="rId50" Type="http://schemas.openxmlformats.org/officeDocument/2006/relationships/hyperlink" Target="http://www.nevo.co.il/law/70301/7.a.1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5582741" TargetMode="External"/><Relationship Id="rId53" Type="http://schemas.openxmlformats.org/officeDocument/2006/relationships/hyperlink" Target="http://www.nevo.co.il/case/5706574" TargetMode="External"/><Relationship Id="rId54" Type="http://schemas.openxmlformats.org/officeDocument/2006/relationships/hyperlink" Target="http://www.nevo.co.il/safrut/bookgroup/616" TargetMode="External"/><Relationship Id="rId55" Type="http://schemas.openxmlformats.org/officeDocument/2006/relationships/hyperlink" Target="http://www.nevo.co.il/case/5947248" TargetMode="External"/><Relationship Id="rId56" Type="http://schemas.openxmlformats.org/officeDocument/2006/relationships/hyperlink" Target="http://www.nevo.co.il/law/70301/39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1723" TargetMode="External"/><Relationship Id="rId59" Type="http://schemas.openxmlformats.org/officeDocument/2006/relationships/hyperlink" Target="http://www.nevo.co.il/law/71723" TargetMode="External"/><Relationship Id="rId60" Type="http://schemas.openxmlformats.org/officeDocument/2006/relationships/hyperlink" Target="http://www.nevo.co.il/law/70320/5" TargetMode="External"/><Relationship Id="rId61" Type="http://schemas.openxmlformats.org/officeDocument/2006/relationships/hyperlink" Target="http://www.nevo.co.il/law/70320" TargetMode="External"/><Relationship Id="rId62" Type="http://schemas.openxmlformats.org/officeDocument/2006/relationships/hyperlink" Target="http://www.nevo.co.il/law/71723/1a" TargetMode="External"/><Relationship Id="rId63" Type="http://schemas.openxmlformats.org/officeDocument/2006/relationships/hyperlink" Target="http://www.nevo.co.il/law/71723" TargetMode="External"/><Relationship Id="rId64" Type="http://schemas.openxmlformats.org/officeDocument/2006/relationships/hyperlink" Target="http://www.nevo.co.il/law/71723/2b.a.8" TargetMode="External"/><Relationship Id="rId65" Type="http://schemas.openxmlformats.org/officeDocument/2006/relationships/hyperlink" Target="http://www.nevo.co.il/law/71723" TargetMode="External"/><Relationship Id="rId66" Type="http://schemas.openxmlformats.org/officeDocument/2006/relationships/hyperlink" Target="http://www.nevo.co.il/case/5838050" TargetMode="External"/><Relationship Id="rId67" Type="http://schemas.openxmlformats.org/officeDocument/2006/relationships/hyperlink" Target="http://www.nevo.co.il/law/71723" TargetMode="External"/><Relationship Id="rId68" Type="http://schemas.openxmlformats.org/officeDocument/2006/relationships/hyperlink" Target="http://www.nevo.co.il/case/6244299" TargetMode="External"/><Relationship Id="rId69" Type="http://schemas.openxmlformats.org/officeDocument/2006/relationships/hyperlink" Target="http://www.nevo.co.il/case/5594425" TargetMode="External"/><Relationship Id="rId70" Type="http://schemas.openxmlformats.org/officeDocument/2006/relationships/hyperlink" Target="http://www.nevo.co.il/case/5722289" TargetMode="External"/><Relationship Id="rId71" Type="http://schemas.openxmlformats.org/officeDocument/2006/relationships/hyperlink" Target="http://www.nevo.co.il/law/71723" TargetMode="External"/><Relationship Id="rId72" Type="http://schemas.openxmlformats.org/officeDocument/2006/relationships/hyperlink" Target="http://www.nevo.co.il/case/5594221" TargetMode="External"/><Relationship Id="rId73" Type="http://schemas.openxmlformats.org/officeDocument/2006/relationships/hyperlink" Target="http://www.nevo.co.il/case/6063901" TargetMode="External"/><Relationship Id="rId74" Type="http://schemas.openxmlformats.org/officeDocument/2006/relationships/hyperlink" Target="http://www.nevo.co.il/case/18653868" TargetMode="External"/><Relationship Id="rId75" Type="http://schemas.openxmlformats.org/officeDocument/2006/relationships/hyperlink" Target="http://www.nevo.co.il/case/21024461" TargetMode="External"/><Relationship Id="rId76" Type="http://schemas.openxmlformats.org/officeDocument/2006/relationships/hyperlink" Target="http://www.nevo.co.il/case/5819116" TargetMode="External"/><Relationship Id="rId77" Type="http://schemas.openxmlformats.org/officeDocument/2006/relationships/hyperlink" Target="http://www.nevo.co.il/case/6091961" TargetMode="External"/><Relationship Id="rId78" Type="http://schemas.openxmlformats.org/officeDocument/2006/relationships/hyperlink" Target="http://www.nevo.co.il/law/74903/211" TargetMode="External"/><Relationship Id="rId79" Type="http://schemas.openxmlformats.org/officeDocument/2006/relationships/hyperlink" Target="http://www.nevo.co.il/law/74903" TargetMode="External"/><Relationship Id="rId80" Type="http://schemas.openxmlformats.org/officeDocument/2006/relationships/hyperlink" Target="http://www.nevo.co.il/case/5605747" TargetMode="External"/><Relationship Id="rId81" Type="http://schemas.openxmlformats.org/officeDocument/2006/relationships/hyperlink" Target="http://www.nevo.co.il/case/20402459" TargetMode="External"/><Relationship Id="rId82" Type="http://schemas.openxmlformats.org/officeDocument/2006/relationships/hyperlink" Target="http://www.nevo.co.il/case/6243735" TargetMode="External"/><Relationship Id="rId83" Type="http://schemas.openxmlformats.org/officeDocument/2006/relationships/hyperlink" Target="http://www.nevo.co.il/case/5910195" TargetMode="External"/><Relationship Id="rId84" Type="http://schemas.openxmlformats.org/officeDocument/2006/relationships/hyperlink" Target="http://www.nevo.co.il/law/71723" TargetMode="External"/><Relationship Id="rId85" Type="http://schemas.openxmlformats.org/officeDocument/2006/relationships/hyperlink" Target="http://www.nevo.co.il/law/71723/2b.a.6" TargetMode="External"/><Relationship Id="rId86" Type="http://schemas.openxmlformats.org/officeDocument/2006/relationships/hyperlink" Target="http://www.nevo.co.il/law/71723" TargetMode="External"/><Relationship Id="rId87" Type="http://schemas.openxmlformats.org/officeDocument/2006/relationships/hyperlink" Target="http://www.nevo.co.il/case/6080497" TargetMode="External"/><Relationship Id="rId88" Type="http://schemas.openxmlformats.org/officeDocument/2006/relationships/hyperlink" Target="http://www.nevo.co.il/law/70301/428" TargetMode="External"/><Relationship Id="rId89" Type="http://schemas.openxmlformats.org/officeDocument/2006/relationships/hyperlink" Target="http://www.nevo.co.il/law/70301" TargetMode="External"/><Relationship Id="rId90" Type="http://schemas.openxmlformats.org/officeDocument/2006/relationships/hyperlink" Target="http://www.nevo.co.il/law/70301/24.1" TargetMode="External"/><Relationship Id="rId91" Type="http://schemas.openxmlformats.org/officeDocument/2006/relationships/hyperlink" Target="http://www.nevo.co.il/law/70301" TargetMode="External"/><Relationship Id="rId92" Type="http://schemas.openxmlformats.org/officeDocument/2006/relationships/hyperlink" Target="http://www.nevo.co.il/law/74903/9.a.2" TargetMode="External"/><Relationship Id="rId93" Type="http://schemas.openxmlformats.org/officeDocument/2006/relationships/hyperlink" Target="http://www.nevo.co.il/law/74903" TargetMode="External"/><Relationship Id="rId94" Type="http://schemas.openxmlformats.org/officeDocument/2006/relationships/hyperlink" Target="http://www.nevo.co.il/law/74903/9.d" TargetMode="External"/><Relationship Id="rId95" Type="http://schemas.openxmlformats.org/officeDocument/2006/relationships/hyperlink" Target="http://www.nevo.co.il/law/74903" TargetMode="External"/><Relationship Id="rId96" Type="http://schemas.openxmlformats.org/officeDocument/2006/relationships/hyperlink" Target="http://www.nevo.co.il/law/157298" TargetMode="External"/><Relationship Id="rId97" Type="http://schemas.openxmlformats.org/officeDocument/2006/relationships/hyperlink" Target="http://www.nevo.co.il/safrut/book/19424" TargetMode="External"/><Relationship Id="rId98" Type="http://schemas.openxmlformats.org/officeDocument/2006/relationships/hyperlink" Target="http://www.nevo.co.il/law/74386" TargetMode="External"/><Relationship Id="rId99" Type="http://schemas.openxmlformats.org/officeDocument/2006/relationships/hyperlink" Target="http://supreme.court.gov.il/" TargetMode="External"/><Relationship Id="rId100" Type="http://schemas.openxmlformats.org/officeDocument/2006/relationships/hyperlink" Target="http://www.nevo.co.il/advertisements/nevo-100.doc" TargetMode="External"/><Relationship Id="rId101" Type="http://schemas.openxmlformats.org/officeDocument/2006/relationships/header" Target="header1.xml"/><Relationship Id="rId102" Type="http://schemas.openxmlformats.org/officeDocument/2006/relationships/footer" Target="footer1.xml"/><Relationship Id="rId103" Type="http://schemas.openxmlformats.org/officeDocument/2006/relationships/numbering" Target="numbering.xml"/><Relationship Id="rId104" Type="http://schemas.openxmlformats.org/officeDocument/2006/relationships/fontTable" Target="fontTable.xml"/><Relationship Id="rId105" Type="http://schemas.openxmlformats.org/officeDocument/2006/relationships/settings" Target="settings.xml"/><Relationship Id="rId10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2019-07-15T09:34:00Z</dcterms:created>
  <dc:creator>h4</dc:creator>
  <dc:description/>
  <cp:keywords/>
  <dc:language>en-IL</dc:language>
  <cp:lastModifiedBy>orly</cp:lastModifiedBy>
  <cp:lastPrinted>2019-07-14T10:19:00Z</cp:lastPrinted>
  <dcterms:modified xsi:type="dcterms:W3CDTF">2019-07-15T09:34:00Z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אלעד גבר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היועץ המשפטי לממשלה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616</vt:lpwstr>
  </property>
  <property fmtid="{D5CDD505-2E9C-101B-9397-08002B2CF9AE}" pid="9" name="BOOKLISTTMP1">
    <vt:lpwstr>19424</vt:lpwstr>
  </property>
  <property fmtid="{D5CDD505-2E9C-101B-9397-08002B2CF9AE}" pid="10" name="CASESLISTTMP1">
    <vt:lpwstr>23445043;4652924;4652926;5608057;22686670;23826496;5966318;5753695;5821640;5814012;5896210;20348052;5582741;5706574;5947248;5838050;6244299;5594425;5722289;5594221;6063901;18653868;21024461;5819116;6091961;5605747;20402459;6243735;5910195;6080497</vt:lpwstr>
  </property>
  <property fmtid="{D5CDD505-2E9C-101B-9397-08002B2CF9AE}" pid="11" name="CITY">
    <vt:lpwstr/>
  </property>
  <property fmtid="{D5CDD505-2E9C-101B-9397-08002B2CF9AE}" pid="12" name="DATE">
    <vt:lpwstr>20190714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ע' פוגלמן;ד' ברק ארז;י' וילנר</vt:lpwstr>
  </property>
  <property fmtid="{D5CDD505-2E9C-101B-9397-08002B2CF9AE}" pid="16" name="LAWLISTTMP1">
    <vt:lpwstr>71723/009.a;002a.a.1;001a:3;002b.a.6:2;002b.a.8</vt:lpwstr>
  </property>
  <property fmtid="{D5CDD505-2E9C-101B-9397-08002B2CF9AE}" pid="17" name="LAWLISTTMP2">
    <vt:lpwstr>157298:2</vt:lpwstr>
  </property>
  <property fmtid="{D5CDD505-2E9C-101B-9397-08002B2CF9AE}" pid="18" name="LAWLISTTMP3">
    <vt:lpwstr>70301/007.a.1;039;428;024.1</vt:lpwstr>
  </property>
  <property fmtid="{D5CDD505-2E9C-101B-9397-08002B2CF9AE}" pid="19" name="LAWLISTTMP4">
    <vt:lpwstr>70320/005</vt:lpwstr>
  </property>
  <property fmtid="{D5CDD505-2E9C-101B-9397-08002B2CF9AE}" pid="20" name="LAWLISTTMP5">
    <vt:lpwstr>74903/211;009.a.2;009.d</vt:lpwstr>
  </property>
  <property fmtid="{D5CDD505-2E9C-101B-9397-08002B2CF9AE}" pid="21" name="LAWLISTTMP6">
    <vt:lpwstr>74386</vt:lpwstr>
  </property>
  <property fmtid="{D5CDD505-2E9C-101B-9397-08002B2CF9AE}" pid="22" name="LAWYER">
    <vt:lpwstr>אבי קרוננברג;שירן כהן;אביגדור פלדמן;יהל בן עובד;ימימה אברמוביץ'</vt:lpwstr>
  </property>
  <property fmtid="{D5CDD505-2E9C-101B-9397-08002B2CF9AE}" pid="23" name="LINKK1">
    <vt:lpwstr/>
  </property>
  <property fmtid="{D5CDD505-2E9C-101B-9397-08002B2CF9AE}" pid="24" name="LINKK2">
    <vt:lpwstr/>
  </property>
  <property fmtid="{D5CDD505-2E9C-101B-9397-08002B2CF9AE}" pid="25" name="LINKK3">
    <vt:lpwstr/>
  </property>
  <property fmtid="{D5CDD505-2E9C-101B-9397-08002B2CF9AE}" pid="26" name="LINKK4">
    <vt:lpwstr/>
  </property>
  <property fmtid="{D5CDD505-2E9C-101B-9397-08002B2CF9AE}" pid="27" name="LINKK5">
    <vt:lpwstr/>
  </property>
  <property fmtid="{D5CDD505-2E9C-101B-9397-08002B2CF9AE}" pid="28" name="METAKZER">
    <vt:lpwstr>פאני</vt:lpwstr>
  </property>
  <property fmtid="{D5CDD505-2E9C-101B-9397-08002B2CF9AE}" pid="29" name="NEWPARTA">
    <vt:lpwstr/>
  </property>
  <property fmtid="{D5CDD505-2E9C-101B-9397-08002B2CF9AE}" pid="30" name="NEWPARTB">
    <vt:lpwstr/>
  </property>
  <property fmtid="{D5CDD505-2E9C-101B-9397-08002B2CF9AE}" pid="31" name="NEWPARTC">
    <vt:lpwstr/>
  </property>
  <property fmtid="{D5CDD505-2E9C-101B-9397-08002B2CF9AE}" pid="32" name="NEWPROC">
    <vt:lpwstr/>
  </property>
  <property fmtid="{D5CDD505-2E9C-101B-9397-08002B2CF9AE}" pid="33" name="NOSE11">
    <vt:lpwstr>הסגרה</vt:lpwstr>
  </property>
  <property fmtid="{D5CDD505-2E9C-101B-9397-08002B2CF9AE}" pid="34" name="NOSE110">
    <vt:lpwstr/>
  </property>
  <property fmtid="{D5CDD505-2E9C-101B-9397-08002B2CF9AE}" pid="35" name="NOSE12">
    <vt:lpwstr>הסגרה</vt:lpwstr>
  </property>
  <property fmtid="{D5CDD505-2E9C-101B-9397-08002B2CF9AE}" pid="36" name="NOSE13">
    <vt:lpwstr>הסגרה</vt:lpwstr>
  </property>
  <property fmtid="{D5CDD505-2E9C-101B-9397-08002B2CF9AE}" pid="37" name="NOSE14">
    <vt:lpwstr>הסגרה</vt:lpwstr>
  </property>
  <property fmtid="{D5CDD505-2E9C-101B-9397-08002B2CF9AE}" pid="38" name="NOSE15">
    <vt:lpwstr>הסגרה</vt:lpwstr>
  </property>
  <property fmtid="{D5CDD505-2E9C-101B-9397-08002B2CF9AE}" pid="39" name="NOSE16">
    <vt:lpwstr/>
  </property>
  <property fmtid="{D5CDD505-2E9C-101B-9397-08002B2CF9AE}" pid="40" name="NOSE17">
    <vt:lpwstr/>
  </property>
  <property fmtid="{D5CDD505-2E9C-101B-9397-08002B2CF9AE}" pid="41" name="NOSE18">
    <vt:lpwstr/>
  </property>
  <property fmtid="{D5CDD505-2E9C-101B-9397-08002B2CF9AE}" pid="42" name="NOSE19">
    <vt:lpwstr/>
  </property>
  <property fmtid="{D5CDD505-2E9C-101B-9397-08002B2CF9AE}" pid="43" name="NOSE1ID">
    <vt:lpwstr>28;28;28;28;28</vt:lpwstr>
  </property>
  <property fmtid="{D5CDD505-2E9C-101B-9397-08002B2CF9AE}" pid="44" name="NOSE21">
    <vt:lpwstr>סייגים להסגרה</vt:lpwstr>
  </property>
  <property fmtid="{D5CDD505-2E9C-101B-9397-08002B2CF9AE}" pid="45" name="NOSE210">
    <vt:lpwstr/>
  </property>
  <property fmtid="{D5CDD505-2E9C-101B-9397-08002B2CF9AE}" pid="46" name="NOSE22">
    <vt:lpwstr>סייגים להסגרה</vt:lpwstr>
  </property>
  <property fmtid="{D5CDD505-2E9C-101B-9397-08002B2CF9AE}" pid="47" name="NOSE23">
    <vt:lpwstr>סייגים להסגרה</vt:lpwstr>
  </property>
  <property fmtid="{D5CDD505-2E9C-101B-9397-08002B2CF9AE}" pid="48" name="NOSE24">
    <vt:lpwstr>סייגים להסגרה</vt:lpwstr>
  </property>
  <property fmtid="{D5CDD505-2E9C-101B-9397-08002B2CF9AE}" pid="49" name="NOSE25">
    <vt:lpwstr>סייגים להסגרה</vt:lpwstr>
  </property>
  <property fmtid="{D5CDD505-2E9C-101B-9397-08002B2CF9AE}" pid="50" name="NOSE26">
    <vt:lpwstr/>
  </property>
  <property fmtid="{D5CDD505-2E9C-101B-9397-08002B2CF9AE}" pid="51" name="NOSE27">
    <vt:lpwstr/>
  </property>
  <property fmtid="{D5CDD505-2E9C-101B-9397-08002B2CF9AE}" pid="52" name="NOSE28">
    <vt:lpwstr/>
  </property>
  <property fmtid="{D5CDD505-2E9C-101B-9397-08002B2CF9AE}" pid="53" name="NOSE29">
    <vt:lpwstr/>
  </property>
  <property fmtid="{D5CDD505-2E9C-101B-9397-08002B2CF9AE}" pid="54" name="NOSE2ID">
    <vt:lpwstr>610;610;610;610;610</vt:lpwstr>
  </property>
  <property fmtid="{D5CDD505-2E9C-101B-9397-08002B2CF9AE}" pid="55" name="NOSE31">
    <vt:lpwstr>מרכז הכובד של העבירה</vt:lpwstr>
  </property>
  <property fmtid="{D5CDD505-2E9C-101B-9397-08002B2CF9AE}" pid="56" name="NOSE310">
    <vt:lpwstr/>
  </property>
  <property fmtid="{D5CDD505-2E9C-101B-9397-08002B2CF9AE}" pid="57" name="NOSE32">
    <vt:lpwstr>תקנת הציבור</vt:lpwstr>
  </property>
  <property fmtid="{D5CDD505-2E9C-101B-9397-08002B2CF9AE}" pid="58" name="NOSE33">
    <vt:lpwstr>התיישנות</vt:lpwstr>
  </property>
  <property fmtid="{D5CDD505-2E9C-101B-9397-08002B2CF9AE}" pid="59" name="NOSE34">
    <vt:lpwstr>הגנה מן הצדק</vt:lpwstr>
  </property>
  <property fmtid="{D5CDD505-2E9C-101B-9397-08002B2CF9AE}" pid="60" name="NOSE35">
    <vt:lpwstr>התיישנות</vt:lpwstr>
  </property>
  <property fmtid="{D5CDD505-2E9C-101B-9397-08002B2CF9AE}" pid="61" name="NOSE36">
    <vt:lpwstr/>
  </property>
  <property fmtid="{D5CDD505-2E9C-101B-9397-08002B2CF9AE}" pid="62" name="NOSE37">
    <vt:lpwstr/>
  </property>
  <property fmtid="{D5CDD505-2E9C-101B-9397-08002B2CF9AE}" pid="63" name="NOSE38">
    <vt:lpwstr/>
  </property>
  <property fmtid="{D5CDD505-2E9C-101B-9397-08002B2CF9AE}" pid="64" name="NOSE39">
    <vt:lpwstr/>
  </property>
  <property fmtid="{D5CDD505-2E9C-101B-9397-08002B2CF9AE}" pid="65" name="NOSE3ID">
    <vt:lpwstr>12405;4221;4218;13343;4218</vt:lpwstr>
  </property>
  <property fmtid="{D5CDD505-2E9C-101B-9397-08002B2CF9AE}" pid="66" name="PADIDATE">
    <vt:lpwstr>20190715</vt:lpwstr>
  </property>
  <property fmtid="{D5CDD505-2E9C-101B-9397-08002B2CF9AE}" pid="67" name="PADIMAIL">
    <vt:lpwstr>YES</vt:lpwstr>
  </property>
  <property fmtid="{D5CDD505-2E9C-101B-9397-08002B2CF9AE}" pid="68" name="PAGE">
    <vt:lpwstr/>
  </property>
  <property fmtid="{D5CDD505-2E9C-101B-9397-08002B2CF9AE}" pid="69" name="PART">
    <vt:lpwstr/>
  </property>
  <property fmtid="{D5CDD505-2E9C-101B-9397-08002B2CF9AE}" pid="70" name="PROCESS">
    <vt:lpwstr>עפ</vt:lpwstr>
  </property>
  <property fmtid="{D5CDD505-2E9C-101B-9397-08002B2CF9AE}" pid="71" name="PROCNUM">
    <vt:lpwstr>9203</vt:lpwstr>
  </property>
  <property fmtid="{D5CDD505-2E9C-101B-9397-08002B2CF9AE}" pid="72" name="PROCYEAR">
    <vt:lpwstr>18</vt:lpwstr>
  </property>
  <property fmtid="{D5CDD505-2E9C-101B-9397-08002B2CF9AE}" pid="73" name="PSAKDIN">
    <vt:lpwstr>פסק-דין</vt:lpwstr>
  </property>
  <property fmtid="{D5CDD505-2E9C-101B-9397-08002B2CF9AE}" pid="74" name="TYPE">
    <vt:lpwstr>1</vt:lpwstr>
  </property>
  <property fmtid="{D5CDD505-2E9C-101B-9397-08002B2CF9AE}" pid="75" name="TYPE_ABS_DATE">
    <vt:lpwstr>410120190714</vt:lpwstr>
  </property>
  <property fmtid="{D5CDD505-2E9C-101B-9397-08002B2CF9AE}" pid="76" name="TYPE_N_DATE">
    <vt:lpwstr>41020190714</vt:lpwstr>
  </property>
  <property fmtid="{D5CDD505-2E9C-101B-9397-08002B2CF9AE}" pid="77" name="VOLUME">
    <vt:lpwstr/>
  </property>
  <property fmtid="{D5CDD505-2E9C-101B-9397-08002B2CF9AE}" pid="78" name="WORDNUMPAGES">
    <vt:lpwstr>22</vt:lpwstr>
  </property>
</Properties>
</file>