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9238/17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23709-10-15</w:t>
            </w:r>
            <w:r>
              <w:rPr>
                <w:sz w:val="24"/>
                <w:szCs w:val="24"/>
                <w:rtl w:val="true"/>
              </w:rPr>
              <w:t xml:space="preserve"> (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כרמל</w:t>
            </w:r>
            <w:r>
              <w:rPr>
                <w:sz w:val="24"/>
                <w:szCs w:val="24"/>
                <w:rtl w:val="true"/>
              </w:rPr>
              <w:t xml:space="preserve">; </w:t>
            </w: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מוסק</w:t>
            </w:r>
            <w:r>
              <w:rPr>
                <w:sz w:val="24"/>
                <w:szCs w:val="24"/>
                <w:rtl w:val="true"/>
              </w:rPr>
              <w:t xml:space="preserve">;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ש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רנר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4.7.2017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76"/>
        <w:gridCol w:w="2657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7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6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24.7.2019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גז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משגב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inks_Start"/>
      <w:bookmarkEnd w:id="5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אליהו הרנון 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דיני ראיות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 כרך א 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3">
        <w:r>
          <w:rPr>
            <w:rtl w:val="true"/>
          </w:rPr>
        </w:r>
      </w:hyperlink>
      <w:bookmarkStart w:id="6" w:name="LawTable"/>
      <w:bookmarkStart w:id="7" w:name="Links_End"/>
      <w:bookmarkStart w:id="8" w:name="LawTable"/>
      <w:bookmarkStart w:id="9" w:name="Links_End"/>
      <w:bookmarkEnd w:id="8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ascii="FrankRuehl" w:hAnsi="FrankRuehl" w:cs="FrankRuehl"/>
          <w:color w:val="0000FF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כב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</w:rPr>
          <w:t>355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</w:rPr>
          <w:t>355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5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בפרק ו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' 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'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6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פרק י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'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7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8">
        <w:r>
          <w:rPr>
            <w:rStyle w:val="Hyperlink"/>
            <w:rFonts w:cs="FrankRuehl" w:ascii="FrankRuehl" w:hAnsi="FrankRuehl"/>
            <w:color w:val="0000FF"/>
            <w:sz w:val="24"/>
          </w:rPr>
          <w:t>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sz w:val="24"/>
          </w:rPr>
          <w:t>54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2" w:name="ABSTRACT_START"/>
      <w:bookmarkEnd w:id="12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>*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נדחה ערעור על הרשעת המערער בריבוי עבירות מין בתוך המשפחה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בהעדר כל עילה להתערבות ערכאת הערעור בהכרעות עובדה ומהימנות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נדחה הערעור על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שאינו חורג לחומרה מרמת הענישה הנוהגת בעבירות ממין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נתן משקל ראוי בקביעת העונש לכלל הנסיבות הרלבנטיות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מין במשפחה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עונשי מינימום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בממצאים עובדתיים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בחומרת העונש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מהימנות – התערבות ערכאת ערעור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קבילות – אמרות של עד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הרשעת המערער על ידי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בריבוי עבירות מין בתוך המשפחה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ולחלופין על חומרת העונש שהושת עליו בעקבות הרשעה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 מתמקד באישום הראשון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שעניינו מעשים מיניים אסורים שהמערער ביצע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לפי הטענה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בבתה של בת זוגו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במהלך שני פרקי זמן שבהם היא הי</w:t>
      </w:r>
      <w:r>
        <w:rPr>
          <w:rFonts w:ascii="Times New Roman" w:hAnsi="Times New Roman" w:cs="Times New Roman"/>
          <w:spacing w:val="0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תה מתחת לגיל </w:t>
      </w:r>
      <w:r>
        <w:rPr>
          <w:rFonts w:cs="Times New Roman" w:ascii="Times New Roman" w:hAnsi="Times New Roman"/>
          <w:spacing w:val="0"/>
          <w:szCs w:val="26"/>
        </w:rPr>
        <w:t>14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ומתחת לגיל </w:t>
      </w:r>
      <w:r>
        <w:rPr>
          <w:rFonts w:cs="Times New Roman" w:ascii="Times New Roman" w:hAnsi="Times New Roman"/>
          <w:spacing w:val="0"/>
          <w:szCs w:val="26"/>
        </w:rPr>
        <w:t>16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המערער הושתו </w:t>
      </w:r>
      <w:r>
        <w:rPr>
          <w:rFonts w:cs="Times New Roman" w:ascii="Times New Roman" w:hAnsi="Times New Roman"/>
          <w:spacing w:val="0"/>
          <w:szCs w:val="26"/>
        </w:rPr>
        <w:t>66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Cs w:val="26"/>
        </w:rPr>
        <w:t>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חודשי מאסר על תנאי ותשלום פיצויים למתלוננת בסך של </w:t>
      </w:r>
      <w:r>
        <w:rPr>
          <w:rFonts w:cs="Times New Roman" w:ascii="Times New Roman" w:hAnsi="Times New Roman"/>
          <w:spacing w:val="0"/>
          <w:szCs w:val="26"/>
        </w:rPr>
        <w:t>75,000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שטיין ובהסכמת השופטים ברק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ארז ומזוז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אשר להרשעה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פסק כי אין כל עילה לשנות מקביעותיו העובדתיות ומממצאי מהימנות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העומדים על תשתית ראייתית איתנה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עדות המתלוננת נתמכה בשלוש ראיות חיזוק עיקריות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עדות אמה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ששמעה את צעקת המתלוננת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אתה לא תיגע בי יותר בחיים שלך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"; </w:t>
      </w:r>
      <w:r>
        <w:rPr>
          <w:rFonts w:ascii="Times New Roman" w:hAnsi="Times New Roman" w:cs="Times New Roman"/>
          <w:spacing w:val="0"/>
          <w:szCs w:val="26"/>
          <w:rtl w:val="true"/>
        </w:rPr>
        <w:t>עדות בן זוגה הקודם של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שסיפר כי בהיותה בת </w:t>
      </w:r>
      <w:r>
        <w:rPr>
          <w:rFonts w:cs="Times New Roman" w:ascii="Times New Roman" w:hAnsi="Times New Roman"/>
          <w:spacing w:val="0"/>
          <w:szCs w:val="26"/>
        </w:rPr>
        <w:t>18-17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היא התוודתה בפניו כי עברה הטרדה מינית והאופן שבו נחשפה הפרשה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אגב תקרית שבמהלכה נצפה המערער על ידי אֵם המתלוננת מכניס את ידו לתוך תחתוניה של נכדתה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משחזתה האֵם במתרחש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היא מחתה על 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ואילו המתלוננת הגיבה באמירה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מה חדש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?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עשה לי את זה שבע 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צעקת המתלוננת קבילה כראיה לאמיתות תוכנה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בהיותה אמרה ספונטנית המהווה חלק מאירוע רלבנטי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הדברים שאמרה המתלוננת לאמה אף הם קבילים כראיה לאמיתות תוכנה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הם נאמרו בצורה ספונטנית כתגובה לאירוע המעורר סערת רגשות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ולכן הם נכנסים לגדר החריג לכלל הפוסל עדות מפי השמועה 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res gestae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אמרת המתלוננת עליה העיד בן זוגה הקודם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קבילה כראיה בדבר קיומה של תלונה מוקדמת אשר באה מפיה של נפגעת עבירה בנסיבות בהן לא ניתן לייחס לה ניסיון של פיברוק או המצאה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התרשם לחיוב מעדות המתלוננת ונתן בה אמון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ואמינותה התחזקה עוד יותר לנוכח קיומן של ראיות החיזוק דלעיל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וממצאיהן נומקו כדבעי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מאידך עדות המערער נמצאה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מוזרה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כל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הרשעת המערער בריבוי עבירות המין עומדת על יסודות איתנים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כשכל פרטיה מוכחים מעבר לספק סביר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 על ההרשעה נדחה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פעל במתווה הקבוע בסעיף 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לפרק 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והיטיב עם המערער יתר על המידה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355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העונשין העונש לא יפחת מרבע העונש המירבי הקבוע בצד העבירות בהן נמצא המערער 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אם כן החליט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מטעמים מיוחדים שיירשמו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להקל בעונשו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לא הסתמך על טעמים מיוחדים בבואו לגזור את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שכן התביעה כלל לא ביקשה ממנו שיפעיל את הכלל הקבוע בסעיף </w:t>
      </w:r>
      <w:r>
        <w:rPr>
          <w:rFonts w:cs="Times New Roman" w:ascii="Times New Roman" w:hAnsi="Times New Roman"/>
          <w:spacing w:val="0"/>
          <w:sz w:val="24"/>
          <w:szCs w:val="26"/>
        </w:rPr>
        <w:t>355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במקרה של ריבוי עבירת מין שבאות בגדרו של סעיף </w:t>
      </w:r>
      <w:r>
        <w:rPr>
          <w:rFonts w:cs="Times New Roman" w:ascii="Times New Roman" w:hAnsi="Times New Roman"/>
          <w:spacing w:val="0"/>
          <w:sz w:val="24"/>
          <w:szCs w:val="26"/>
        </w:rPr>
        <w:t>355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חייב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לגזור את עונש המינימום מסך כל העונשים המרביים שמוטלים בגין כל עבירה ועבירה שביצע 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במצב של 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ודאות לגבי מספרן המדויק של העבירות שבוצעו במשך תקופה ארוכה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יהא זה נכון להניח שהנאשם ביצע לפחות 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בשנה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בגדר סעיף </w:t>
      </w:r>
      <w:r>
        <w:rPr>
          <w:rFonts w:cs="Times New Roman" w:ascii="Times New Roman" w:hAnsi="Times New Roman"/>
          <w:spacing w:val="0"/>
          <w:sz w:val="24"/>
          <w:szCs w:val="26"/>
        </w:rPr>
        <w:t>355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אמור היה המערער להיאסר לתקופה ארוכה ביותר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שעולה על </w:t>
      </w:r>
      <w:r>
        <w:rPr>
          <w:rFonts w:cs="Times New Roman" w:ascii="Times New Roman" w:hAnsi="Times New Roman"/>
          <w:spacing w:val="0"/>
          <w:sz w:val="24"/>
          <w:szCs w:val="26"/>
        </w:rPr>
        <w:t>56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אם נניח כי המערער ראוי לאור בקצה המנהרה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ולכן ראוי היה להפחית תקופה זו מטעמים מיוחדים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ברור כיצד הפחתה זו יכלה להביא את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אל מתחם העונשים הנמוך שקבע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מסיבה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טענות המערער בנוגע לחומרת העונש דינן דחייה על הסף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השופטת ברק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ארז ציינה כי די בנסיבות העניין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בכך שהעונש אינו חורג לחומרה מרמת הענישה הנוהגת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 כל אמת מידה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ומבלי שיש צורך בחישובים נוספים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 אינו נוטה לצד המחמיר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13" w:name="ABSTRACT_END"/>
      <w:bookmarkStart w:id="14" w:name="ABSTRACT_END"/>
      <w:bookmarkEnd w:id="14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5" w:name="PsakDin"/>
            <w:bookmarkStart w:id="16" w:name="BeginProtocol"/>
            <w:bookmarkStart w:id="17" w:name="secretary"/>
            <w:bookmarkEnd w:id="15"/>
            <w:bookmarkEnd w:id="16"/>
            <w:bookmarkEnd w:id="1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8" w:name="Writer_Name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שטיין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9" w:name="Start_Write"/>
      <w:bookmarkStart w:id="20" w:name="Start_Write"/>
      <w:bookmarkEnd w:id="20"/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הערעור שלפנינו תוקף את הרשעת המערער על ידי בית המשפט המחוזי ירושלים בריבוי עבירות מין בתוך המשפחה בגדרו של תפ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/>
        <w:t>23709-10-15</w:t>
      </w:r>
      <w:r>
        <w:rPr>
          <w:rtl w:val="true"/>
        </w:rPr>
        <w:t xml:space="preserve"> (</w:t>
      </w:r>
      <w:r>
        <w:rPr>
          <w:rtl w:val="true"/>
        </w:rPr>
        <w:t xml:space="preserve">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כרמל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מוסק</w:t>
      </w:r>
      <w:r>
        <w:rPr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רנר</w:t>
      </w:r>
      <w:r>
        <w:rPr>
          <w:rtl w:val="true"/>
        </w:rPr>
        <w:t xml:space="preserve">), </w:t>
      </w:r>
      <w:r>
        <w:rPr>
          <w:rtl w:val="true"/>
        </w:rPr>
        <w:t>ולחלופין את חומרת העונש שהושת עליו בעקבות הרשעה זו</w:t>
      </w:r>
      <w:r>
        <w:rPr>
          <w:rtl w:val="true"/>
        </w:rPr>
        <w:t xml:space="preserve">. </w:t>
      </w:r>
      <w:r>
        <w:rPr>
          <w:rtl w:val="true"/>
        </w:rPr>
        <w:t>הערעור מתמקד בפרט האישום הראשון</w:t>
      </w:r>
      <w:r>
        <w:rPr>
          <w:rtl w:val="true"/>
        </w:rPr>
        <w:t xml:space="preserve">, </w:t>
      </w:r>
      <w:r>
        <w:rPr>
          <w:rtl w:val="true"/>
        </w:rPr>
        <w:t>שעניינו מעשים מיניים אסורים שהמערער ביצע</w:t>
      </w:r>
      <w:r>
        <w:rPr>
          <w:rtl w:val="true"/>
        </w:rPr>
        <w:t xml:space="preserve">, </w:t>
      </w:r>
      <w:r>
        <w:rPr>
          <w:rtl w:val="true"/>
        </w:rPr>
        <w:t>לפי הטענה</w:t>
      </w:r>
      <w:r>
        <w:rPr>
          <w:rtl w:val="true"/>
        </w:rPr>
        <w:t xml:space="preserve">, </w:t>
      </w:r>
      <w:r>
        <w:rPr>
          <w:rtl w:val="true"/>
        </w:rPr>
        <w:t xml:space="preserve">בבתה של בת זוגו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tl w:val="true"/>
        </w:rPr>
        <w:t xml:space="preserve">), </w:t>
      </w:r>
      <w:r>
        <w:rPr>
          <w:rtl w:val="true"/>
        </w:rPr>
        <w:t xml:space="preserve">במהלכם של שני פרקי זמן שבהם היא היתה מתחת לגיל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 xml:space="preserve">ומתחת לגיל </w:t>
      </w:r>
      <w:r>
        <w:rPr/>
        <w:t>16</w:t>
      </w:r>
      <w:r>
        <w:rPr>
          <w:rtl w:val="true"/>
        </w:rPr>
        <w:t xml:space="preserve">, </w:t>
      </w:r>
      <w:r>
        <w:rPr>
          <w:rtl w:val="true"/>
        </w:rPr>
        <w:t xml:space="preserve">בין השנים </w:t>
      </w:r>
      <w:r>
        <w:rPr/>
        <w:t>2007-2000</w:t>
      </w:r>
      <w:r>
        <w:rPr>
          <w:rtl w:val="true"/>
        </w:rPr>
        <w:t xml:space="preserve">. </w:t>
      </w:r>
      <w:r>
        <w:rPr>
          <w:rtl w:val="true"/>
        </w:rPr>
        <w:t>מעשים אסורים אלה כללו מגעים שונים באברי המין של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והיוו את הבסיס להרשעת המערער במעשה מגונה בנסיבות אינוס בבת משפחה שטרם מלאו לה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 xml:space="preserve">עבירות לפי </w:t>
      </w:r>
      <w:hyperlink r:id="rId20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בצירוף </w:t>
      </w:r>
      <w:hyperlink r:id="rId21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2"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); </w:t>
      </w:r>
      <w:r>
        <w:rPr>
          <w:rtl w:val="true"/>
        </w:rPr>
        <w:t xml:space="preserve">וכן במעשה מגונה בנסיבות אינוס בבת משפחה שטרם מלאו לה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 xml:space="preserve">עבירות לפי </w:t>
      </w:r>
      <w:hyperlink r:id="rId24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בצירוף </w:t>
      </w:r>
      <w:hyperlink r:id="rId25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hyperlink r:id="rId26"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7"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בעקבות הרשעת המערער בעבירות כאמור</w:t>
      </w:r>
      <w:r>
        <w:rPr>
          <w:rtl w:val="true"/>
        </w:rPr>
        <w:t xml:space="preserve">, </w:t>
      </w:r>
      <w:r>
        <w:rPr>
          <w:rtl w:val="true"/>
        </w:rPr>
        <w:t xml:space="preserve">השית עליו בית משפט קמא </w:t>
      </w:r>
      <w:r>
        <w:rPr/>
        <w:t>66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לבל יעבור במשך שלוש שנים מיום שחרורו ממאסרו עבירת מין לפי </w:t>
      </w:r>
      <w:hyperlink r:id="rId28">
        <w:r>
          <w:rPr>
            <w:rStyle w:val="Hyperlink"/>
            <w:rtl w:val="true"/>
          </w:rPr>
          <w:t>סימן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ה</w:t>
        </w:r>
        <w:r>
          <w:rPr>
            <w:rStyle w:val="Hyperlink"/>
            <w:rtl w:val="true"/>
          </w:rPr>
          <w:t xml:space="preserve">', </w:t>
        </w:r>
        <w:r>
          <w:rPr>
            <w:rStyle w:val="Hyperlink"/>
            <w:rtl w:val="true"/>
          </w:rPr>
          <w:t>פרק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וחייבוֹ לשלם למתלוננת פיצויים בסך של </w:t>
      </w:r>
      <w:r>
        <w:rPr/>
        <w:t>75,000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פסק הדין קמא זיכה את המערער מהעבירה שיוחסה לו בפרט האישום השני</w:t>
      </w:r>
      <w:r>
        <w:rPr>
          <w:rtl w:val="true"/>
        </w:rPr>
        <w:t xml:space="preserve">; </w:t>
      </w:r>
      <w:r>
        <w:rPr>
          <w:rtl w:val="true"/>
        </w:rPr>
        <w:t>ובהיעדר ערעור המדינה על הזיכוי</w:t>
      </w:r>
      <w:r>
        <w:rPr>
          <w:rtl w:val="true"/>
        </w:rPr>
        <w:t xml:space="preserve">, </w:t>
      </w:r>
      <w:r>
        <w:rPr>
          <w:rtl w:val="true"/>
        </w:rPr>
        <w:t>לא אעסוק בפרט זה אלא במידה הדרושה לבדיקת הרשעתו של המערער בעבירות נושא הפרט הראשון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טוען כי מן הדין היה לזכותו מכל העבירות בהן הואשם</w:t>
      </w:r>
      <w:r>
        <w:rPr>
          <w:rtl w:val="true"/>
        </w:rPr>
        <w:t xml:space="preserve">, </w:t>
      </w:r>
      <w:r>
        <w:rPr>
          <w:rtl w:val="true"/>
        </w:rPr>
        <w:t>ולו מחמת הספק</w:t>
      </w:r>
      <w:r>
        <w:rPr>
          <w:rtl w:val="true"/>
        </w:rPr>
        <w:t xml:space="preserve">, </w:t>
      </w:r>
      <w:r>
        <w:rPr>
          <w:rtl w:val="true"/>
        </w:rPr>
        <w:t>משום שקיימים ספקות של ממש</w:t>
      </w:r>
      <w:r>
        <w:rPr>
          <w:rtl w:val="true"/>
        </w:rPr>
        <w:t xml:space="preserve">, </w:t>
      </w:r>
      <w:r>
        <w:rPr>
          <w:rtl w:val="true"/>
        </w:rPr>
        <w:t>אם לא למעלה מכך</w:t>
      </w:r>
      <w:r>
        <w:rPr>
          <w:rtl w:val="true"/>
        </w:rPr>
        <w:t xml:space="preserve">, </w:t>
      </w:r>
      <w:r>
        <w:rPr>
          <w:rtl w:val="true"/>
        </w:rPr>
        <w:t>בנוגע למהימנות עדותה של המתלוננת</w:t>
      </w:r>
      <w:r>
        <w:rPr>
          <w:rtl w:val="true"/>
        </w:rPr>
        <w:t xml:space="preserve">, </w:t>
      </w:r>
      <w:r>
        <w:rPr>
          <w:rtl w:val="true"/>
        </w:rPr>
        <w:t>עליה ביסס בית משפט קמא את הכרעת הדין</w:t>
      </w:r>
      <w:r>
        <w:rPr>
          <w:rtl w:val="true"/>
        </w:rPr>
        <w:t xml:space="preserve">. </w:t>
      </w:r>
      <w:r>
        <w:rPr>
          <w:rtl w:val="true"/>
        </w:rPr>
        <w:t>כמו כן תוקף המערער את ההנמקה שנתן בית המשפט להכרעת הדין בטענה כי הוא קבע ממצאים עובדתיים מבלי לקבוע במפורש כי הם הוכחו מעבר לספק סביר</w:t>
      </w:r>
      <w:r>
        <w:rPr>
          <w:rtl w:val="true"/>
        </w:rPr>
        <w:t xml:space="preserve">. </w:t>
      </w:r>
      <w:r>
        <w:rPr>
          <w:rtl w:val="true"/>
        </w:rPr>
        <w:t>המערער מוסיף וטוען כי עדותו בפני בית משפט קמא סיפקה הסברים מספקים לחשודות שעלו נגדו</w:t>
      </w:r>
      <w:r>
        <w:rPr>
          <w:rtl w:val="true"/>
        </w:rPr>
        <w:t xml:space="preserve">, </w:t>
      </w:r>
      <w:r>
        <w:rPr>
          <w:rtl w:val="true"/>
        </w:rPr>
        <w:t>ואולם בית המשפט לא שעה להסברים אלה</w:t>
      </w:r>
      <w:r>
        <w:rPr>
          <w:rtl w:val="true"/>
        </w:rPr>
        <w:t xml:space="preserve">, </w:t>
      </w:r>
      <w:r>
        <w:rPr>
          <w:rtl w:val="true"/>
        </w:rPr>
        <w:t>ובכך טעה</w:t>
      </w:r>
      <w:r>
        <w:rPr>
          <w:rtl w:val="true"/>
        </w:rPr>
        <w:t xml:space="preserve">. </w:t>
      </w:r>
      <w:r>
        <w:rPr>
          <w:rtl w:val="true"/>
        </w:rPr>
        <w:t xml:space="preserve">לחלופין טוען המערער כי העונש של </w:t>
      </w:r>
      <w:r>
        <w:rPr/>
        <w:t>66</w:t>
      </w:r>
      <w:r>
        <w:rPr>
          <w:rtl w:val="true"/>
        </w:rPr>
        <w:t xml:space="preserve"> </w:t>
      </w:r>
      <w:r>
        <w:rPr>
          <w:rtl w:val="true"/>
        </w:rPr>
        <w:t>חודשי מאסר בפועל שהשית עליו בית משפט קמא הינו חמור מדי</w:t>
      </w:r>
      <w:r>
        <w:rPr>
          <w:rtl w:val="true"/>
        </w:rPr>
        <w:t xml:space="preserve">. </w:t>
      </w:r>
      <w:r>
        <w:rPr>
          <w:rtl w:val="true"/>
        </w:rPr>
        <w:t>המערער מבקש אפוא מאתנו כי נקל בעונש זה ככל שניתן</w:t>
      </w:r>
      <w:r>
        <w:rPr>
          <w:rtl w:val="true"/>
        </w:rPr>
        <w:t xml:space="preserve">, </w:t>
      </w:r>
      <w:r>
        <w:rPr>
          <w:rtl w:val="true"/>
        </w:rPr>
        <w:t>בהתחשב בגילו המתקדם ובשאר הנסיבות המקלות שציין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המשיבה מצדה סומכת את ידיה על פסק הדין קמא</w:t>
      </w:r>
      <w:r>
        <w:rPr>
          <w:rtl w:val="true"/>
        </w:rPr>
        <w:t xml:space="preserve">, </w:t>
      </w:r>
      <w:r>
        <w:rPr>
          <w:rtl w:val="true"/>
        </w:rPr>
        <w:t>על כל חלקיו</w:t>
      </w:r>
      <w:r>
        <w:rPr>
          <w:rtl w:val="true"/>
        </w:rPr>
        <w:t xml:space="preserve">, </w:t>
      </w:r>
      <w:r>
        <w:rPr>
          <w:rtl w:val="true"/>
        </w:rPr>
        <w:t>ומבקשת מאתנו שנדחה את הערעור</w:t>
      </w:r>
      <w:r>
        <w:rPr>
          <w:rtl w:val="true"/>
        </w:rPr>
        <w:t xml:space="preserve">. </w:t>
      </w:r>
      <w:r>
        <w:rPr>
          <w:rtl w:val="true"/>
        </w:rPr>
        <w:t>לעניין הכרעת הדין</w:t>
      </w:r>
      <w:r>
        <w:rPr>
          <w:rtl w:val="true"/>
        </w:rPr>
        <w:t xml:space="preserve">, </w:t>
      </w:r>
      <w:r>
        <w:rPr>
          <w:rtl w:val="true"/>
        </w:rPr>
        <w:t>טוענת המשיבה כי בית משפט קמא מצא את המערער אשם בעבירות שבפרט האישום הראשון בהתבסס על קביעות מהימנות מובהקות</w:t>
      </w:r>
      <w:r>
        <w:rPr>
          <w:rtl w:val="true"/>
        </w:rPr>
        <w:t xml:space="preserve">, </w:t>
      </w:r>
      <w:r>
        <w:rPr>
          <w:rtl w:val="true"/>
        </w:rPr>
        <w:t>שבהן אין כל עילה להתערב</w:t>
      </w:r>
      <w:r>
        <w:rPr>
          <w:rtl w:val="true"/>
        </w:rPr>
        <w:t xml:space="preserve">. </w:t>
      </w:r>
      <w:r>
        <w:rPr>
          <w:rtl w:val="true"/>
        </w:rPr>
        <w:t>לעניין עונש המאסר</w:t>
      </w:r>
      <w:r>
        <w:rPr>
          <w:rtl w:val="true"/>
        </w:rPr>
        <w:t xml:space="preserve">, </w:t>
      </w:r>
      <w:r>
        <w:rPr>
          <w:rtl w:val="true"/>
        </w:rPr>
        <w:t xml:space="preserve">טוענת המשיבה כי מדובר בעונש מידתי ושקול שגם בו לא ניתן </w:t>
      </w:r>
      <w:r>
        <w:rPr>
          <w:rtl w:val="true"/>
        </w:rPr>
        <w:t>–</w:t>
      </w:r>
      <w:r>
        <w:rPr>
          <w:rtl w:val="true"/>
        </w:rPr>
        <w:t xml:space="preserve"> וממילא לא רצוי </w:t>
      </w:r>
      <w:r>
        <w:rPr>
          <w:rtl w:val="true"/>
        </w:rPr>
        <w:t>–</w:t>
      </w:r>
      <w:r>
        <w:rPr>
          <w:rtl w:val="true"/>
        </w:rPr>
        <w:t xml:space="preserve"> להתערב</w:t>
      </w:r>
      <w:r>
        <w:rPr>
          <w:rtl w:val="true"/>
        </w:rPr>
        <w:t xml:space="preserve">. </w:t>
      </w:r>
    </w:p>
    <w:p>
      <w:pPr>
        <w:pStyle w:val="Normal"/>
        <w:overflowPunct w:val="true"/>
        <w:autoSpaceDE w:val="true"/>
        <w:bidi w:val="0"/>
        <w:jc w:val="start"/>
        <w:textAlignment w:val="auto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ההרשעה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סבורני</w:t>
      </w:r>
      <w:r>
        <w:rPr>
          <w:rtl w:val="true"/>
        </w:rPr>
        <w:t xml:space="preserve">, </w:t>
      </w:r>
      <w:r>
        <w:rPr>
          <w:rtl w:val="true"/>
        </w:rPr>
        <w:t>כי טענות המערער אשר באות לתקוף את הרשעתו תלויות על בלימה</w:t>
      </w:r>
      <w:r>
        <w:rPr>
          <w:rtl w:val="true"/>
        </w:rPr>
        <w:t xml:space="preserve">. </w:t>
      </w:r>
      <w:r>
        <w:rPr>
          <w:rtl w:val="true"/>
        </w:rPr>
        <w:t>הלכה היא עמנו כי לא בנקל תתערב ערכאת הערעור בקביעות עובדתיות ובממצאי מהימנות שנקבעו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שלה היתרון בהתרשמות בלתי אמצעית מן העדים והראיות ששמעה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4655/12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25</w:t>
      </w:r>
      <w:r>
        <w:rPr>
          <w:rtl w:val="true"/>
        </w:rPr>
        <w:t xml:space="preserve"> (</w:t>
      </w:r>
      <w:r>
        <w:rPr/>
        <w:t>29.9.2014</w:t>
      </w:r>
      <w:r>
        <w:rPr>
          <w:rtl w:val="true"/>
        </w:rPr>
        <w:t xml:space="preserve">);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9822/17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21</w:t>
      </w:r>
      <w:r>
        <w:rPr>
          <w:rtl w:val="true"/>
        </w:rPr>
        <w:t xml:space="preserve"> (</w:t>
      </w:r>
      <w:r>
        <w:rPr/>
        <w:t>16.4.2019</w:t>
      </w:r>
      <w:r>
        <w:rPr>
          <w:rtl w:val="true"/>
        </w:rPr>
        <w:t xml:space="preserve">); </w:t>
      </w:r>
      <w:r>
        <w:rPr>
          <w:rtl w:val="true"/>
        </w:rPr>
        <w:t>ו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6773/17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זליג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(</w:t>
      </w:r>
      <w:r>
        <w:rPr/>
        <w:t>3.4.2019</w:t>
      </w:r>
      <w:r>
        <w:rPr>
          <w:rtl w:val="true"/>
        </w:rPr>
        <w:t xml:space="preserve">);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4087/14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סקורדוק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פסקאות </w:t>
      </w:r>
      <w:r>
        <w:rPr/>
        <w:t>53-52</w:t>
      </w:r>
      <w:r>
        <w:rPr>
          <w:rtl w:val="true"/>
        </w:rPr>
        <w:t xml:space="preserve"> (</w:t>
      </w:r>
      <w:r>
        <w:rPr/>
        <w:t>5.1.2017</w:t>
      </w:r>
      <w:r>
        <w:rPr>
          <w:rtl w:val="true"/>
        </w:rPr>
        <w:t xml:space="preserve">)). </w:t>
      </w:r>
      <w:r>
        <w:rPr>
          <w:rtl w:val="true"/>
        </w:rPr>
        <w:t xml:space="preserve">התערבות כאמור תתאפשר רק במקרים חריגים ובהתקיימן של נסיבות מיוחדות </w:t>
      </w:r>
      <w:r>
        <w:rPr>
          <w:rtl w:val="true"/>
        </w:rPr>
        <w:t>(</w:t>
      </w:r>
      <w:r>
        <w:rPr>
          <w:sz w:val="28"/>
          <w:sz w:val="28"/>
          <w:rtl w:val="true"/>
        </w:rPr>
        <w:t xml:space="preserve">ראו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5633/12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ניימן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28</w:t>
      </w:r>
      <w:r>
        <w:rPr>
          <w:rtl w:val="true"/>
        </w:rPr>
        <w:t xml:space="preserve"> (</w:t>
      </w:r>
      <w:r>
        <w:rPr/>
        <w:t>10.7.2013</w:t>
      </w:r>
      <w:r>
        <w:rPr>
          <w:rtl w:val="true"/>
        </w:rPr>
        <w:t xml:space="preserve">); </w:t>
      </w:r>
      <w:r>
        <w:rPr>
          <w:rtl w:val="true"/>
        </w:rPr>
        <w:t>ו</w:t>
      </w:r>
      <w:hyperlink r:id="rId35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8146/09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אבשלום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 xml:space="preserve">פסקה </w:t>
      </w:r>
      <w:r>
        <w:rPr>
          <w:sz w:val="28"/>
        </w:rPr>
        <w:t>19</w:t>
      </w:r>
      <w:r>
        <w:rPr>
          <w:sz w:val="28"/>
          <w:rtl w:val="true"/>
        </w:rPr>
        <w:t xml:space="preserve"> (</w:t>
      </w:r>
      <w:r>
        <w:rPr>
          <w:sz w:val="28"/>
        </w:rPr>
        <w:t>8.9.2011</w:t>
      </w:r>
      <w:r>
        <w:rPr>
          <w:sz w:val="28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המקרה דכאן נופל בגדר הכלל ולא בגדר החריג לכלל</w:t>
      </w:r>
      <w:r>
        <w:rPr>
          <w:rtl w:val="true"/>
        </w:rPr>
        <w:t xml:space="preserve">. </w:t>
      </w:r>
      <w:r>
        <w:rPr>
          <w:rtl w:val="true"/>
        </w:rPr>
        <w:t>אינני מוצא שום עילה לשנות מקביעותיו העובדתיות ומממצאי המהימנות של בית משפט קמא</w:t>
      </w:r>
      <w:r>
        <w:rPr>
          <w:rtl w:val="true"/>
        </w:rPr>
        <w:t xml:space="preserve">. </w:t>
      </w:r>
      <w:r>
        <w:rPr>
          <w:rtl w:val="true"/>
        </w:rPr>
        <w:t>קביעות וממצאים אלו עומדים על תשתית ראייתית איתנה</w:t>
      </w:r>
      <w:r>
        <w:rPr>
          <w:rtl w:val="true"/>
        </w:rPr>
        <w:t xml:space="preserve">. </w:t>
      </w:r>
      <w:r>
        <w:rPr>
          <w:rtl w:val="true"/>
        </w:rPr>
        <w:t>עוד אציין</w:t>
      </w:r>
      <w:r>
        <w:rPr>
          <w:rtl w:val="true"/>
        </w:rPr>
        <w:t xml:space="preserve">, </w:t>
      </w:r>
      <w:r>
        <w:rPr>
          <w:rtl w:val="true"/>
        </w:rPr>
        <w:t>כי אני מסכים גם לכל פרטי הניתוח שהובילו את בית משפט קמא אל מסקנותיו המרשיעות ביחס למערער</w:t>
      </w:r>
      <w:r>
        <w:rPr>
          <w:rtl w:val="true"/>
        </w:rPr>
        <w:t xml:space="preserve">, </w:t>
      </w:r>
      <w:r>
        <w:rPr>
          <w:rtl w:val="true"/>
        </w:rPr>
        <w:t>כפי שאראה להלן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המתלוננת היתה בת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בעת מתן עדותה בפני בית משפט קמא</w:t>
      </w:r>
      <w:r>
        <w:rPr>
          <w:rtl w:val="true"/>
        </w:rPr>
        <w:t xml:space="preserve">. </w:t>
      </w:r>
      <w:r>
        <w:rPr>
          <w:rtl w:val="true"/>
        </w:rPr>
        <w:t>היא סיפרה לבית המשפט כי היא מאורסת</w:t>
      </w:r>
      <w:r>
        <w:rPr>
          <w:rtl w:val="true"/>
        </w:rPr>
        <w:t xml:space="preserve">, </w:t>
      </w:r>
      <w:r>
        <w:rPr>
          <w:rtl w:val="true"/>
        </w:rPr>
        <w:t>מתגוררת עם בן זוגה ולומדת במוסד להשכלה גבוהה</w:t>
      </w:r>
      <w:r>
        <w:rPr>
          <w:rtl w:val="true"/>
        </w:rPr>
        <w:t xml:space="preserve">. </w:t>
      </w:r>
      <w:r>
        <w:rPr>
          <w:rtl w:val="true"/>
        </w:rPr>
        <w:t>כמו כן סיפרה המתלוננת לבית המשפט כי במהלך ילדותה ועד אשר היתה לנערה היא אהבה את המערער</w:t>
      </w:r>
      <w:r>
        <w:rPr>
          <w:rtl w:val="true"/>
        </w:rPr>
        <w:t xml:space="preserve">, </w:t>
      </w:r>
      <w:r>
        <w:rPr>
          <w:rtl w:val="true"/>
        </w:rPr>
        <w:t>העריכה אותו וראתה בו אב לכל דבר</w:t>
      </w:r>
      <w:r>
        <w:rPr>
          <w:rtl w:val="true"/>
        </w:rPr>
        <w:t xml:space="preserve">. </w:t>
      </w:r>
      <w:r>
        <w:rPr>
          <w:rtl w:val="true"/>
        </w:rPr>
        <w:t xml:space="preserve">רקע זה מלמדנו כי מסירת העדות </w:t>
      </w:r>
      <w:r>
        <w:rPr>
          <w:rtl w:val="true"/>
        </w:rPr>
        <w:t>נגד</w:t>
      </w:r>
      <w:r>
        <w:rPr>
          <w:rtl w:val="true"/>
        </w:rPr>
        <w:t xml:space="preserve"> המערער</w:t>
      </w:r>
      <w:r>
        <w:rPr>
          <w:rtl w:val="true"/>
        </w:rPr>
        <w:t xml:space="preserve"> </w:t>
      </w:r>
      <w:r>
        <w:rPr>
          <w:rtl w:val="true"/>
        </w:rPr>
        <w:t xml:space="preserve">היתה לא קלה עבור המתלוננת וכי לא היה לה שום מניע </w:t>
      </w:r>
      <w:r>
        <w:rPr>
          <w:rtl w:val="true"/>
        </w:rPr>
        <w:t>–</w:t>
      </w:r>
      <w:r>
        <w:rPr>
          <w:rtl w:val="true"/>
        </w:rPr>
        <w:t xml:space="preserve"> פסיכולוגי</w:t>
      </w:r>
      <w:r>
        <w:rPr>
          <w:rtl w:val="true"/>
        </w:rPr>
        <w:t xml:space="preserve">, </w:t>
      </w:r>
      <w:r>
        <w:rPr>
          <w:rtl w:val="true"/>
        </w:rPr>
        <w:t xml:space="preserve">חומרי או אחר </w:t>
      </w:r>
      <w:r>
        <w:rPr>
          <w:rtl w:val="true"/>
        </w:rPr>
        <w:t>–</w:t>
      </w:r>
      <w:r>
        <w:rPr>
          <w:rtl w:val="true"/>
        </w:rPr>
        <w:t xml:space="preserve"> להעליל עליו עלילת שווא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בעדותה בבית המשפט</w:t>
      </w:r>
      <w:r>
        <w:rPr>
          <w:rtl w:val="true"/>
        </w:rPr>
        <w:t xml:space="preserve">, </w:t>
      </w:r>
      <w:r>
        <w:rPr>
          <w:rtl w:val="true"/>
        </w:rPr>
        <w:t>המתלוננת העידה כי המערער ביצע בה מעשים מגונים במשך כ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 xml:space="preserve">בהיותה בין הגילאים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, </w:t>
      </w:r>
      <w:r>
        <w:rPr>
          <w:rtl w:val="true"/>
        </w:rPr>
        <w:t>וכי מעשים אלה נעשו</w:t>
      </w:r>
      <w:r>
        <w:rPr>
          <w:rtl w:val="true"/>
        </w:rPr>
        <w:t xml:space="preserve">, </w:t>
      </w:r>
      <w:r>
        <w:rPr>
          <w:rtl w:val="true"/>
        </w:rPr>
        <w:t>ברגיל</w:t>
      </w:r>
      <w:r>
        <w:rPr>
          <w:rtl w:val="true"/>
        </w:rPr>
        <w:t xml:space="preserve">, </w:t>
      </w:r>
      <w:r>
        <w:rPr>
          <w:rtl w:val="true"/>
        </w:rPr>
        <w:t>שלוש פעמים בשבוע</w:t>
      </w:r>
      <w:r>
        <w:rPr>
          <w:rtl w:val="true"/>
        </w:rPr>
        <w:t xml:space="preserve">. </w:t>
      </w:r>
      <w:r>
        <w:rPr>
          <w:rtl w:val="true"/>
        </w:rPr>
        <w:t>המעשים נעשו בדירה בה המתלוננת התגוררה ביחד עם אמה ואחיה</w:t>
      </w:r>
      <w:r>
        <w:rPr>
          <w:rtl w:val="true"/>
        </w:rPr>
        <w:t xml:space="preserve">, </w:t>
      </w:r>
      <w:r>
        <w:rPr>
          <w:rtl w:val="true"/>
        </w:rPr>
        <w:t>וכן בדירת המערער</w:t>
      </w:r>
      <w:r>
        <w:rPr>
          <w:rtl w:val="true"/>
        </w:rPr>
        <w:t xml:space="preserve">, </w:t>
      </w:r>
      <w:r>
        <w:rPr>
          <w:rtl w:val="true"/>
        </w:rPr>
        <w:t>שבה המשפחה נהגה להתארח</w:t>
      </w:r>
      <w:r>
        <w:rPr>
          <w:rtl w:val="true"/>
        </w:rPr>
        <w:t xml:space="preserve">. </w:t>
      </w:r>
      <w:r>
        <w:rPr>
          <w:rtl w:val="true"/>
        </w:rPr>
        <w:t>מעשים אלו כללו ליטופים במקומות גוף שונים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בחזה</w:t>
      </w:r>
      <w:r>
        <w:rPr>
          <w:rtl w:val="true"/>
        </w:rPr>
        <w:t xml:space="preserve">, </w:t>
      </w:r>
      <w:r>
        <w:rPr>
          <w:rtl w:val="true"/>
        </w:rPr>
        <w:t>בבטן ובישבן</w:t>
      </w:r>
      <w:r>
        <w:rPr>
          <w:rtl w:val="true"/>
        </w:rPr>
        <w:t xml:space="preserve">; </w:t>
      </w:r>
      <w:r>
        <w:rPr>
          <w:rtl w:val="true"/>
        </w:rPr>
        <w:t>נשיקות באזור החזה ובאזור איבר המין</w:t>
      </w:r>
      <w:r>
        <w:rPr>
          <w:rtl w:val="true"/>
        </w:rPr>
        <w:t xml:space="preserve">; </w:t>
      </w:r>
      <w:r>
        <w:rPr>
          <w:rtl w:val="true"/>
        </w:rPr>
        <w:t>וכן פישוק רגליים</w:t>
      </w:r>
      <w:r>
        <w:rPr>
          <w:rtl w:val="true"/>
        </w:rPr>
        <w:t xml:space="preserve">, </w:t>
      </w:r>
      <w:r>
        <w:rPr>
          <w:rtl w:val="true"/>
        </w:rPr>
        <w:t>פישוק שפתי איבר המין ועיסוי הדגדגן באמצעות אצבע</w:t>
      </w:r>
      <w:r>
        <w:rPr>
          <w:rtl w:val="true"/>
        </w:rPr>
        <w:t xml:space="preserve">. </w:t>
      </w:r>
      <w:r>
        <w:rPr>
          <w:rtl w:val="true"/>
        </w:rPr>
        <w:t>המתלוננת סיפרה כי ניסתה למנוע את מגעי המערער עם איבר מינה</w:t>
      </w:r>
      <w:r>
        <w:rPr>
          <w:rtl w:val="true"/>
        </w:rPr>
        <w:t xml:space="preserve">, </w:t>
      </w:r>
      <w:r>
        <w:rPr>
          <w:rtl w:val="true"/>
        </w:rPr>
        <w:t>אך ללא הועיל</w:t>
      </w:r>
      <w:r>
        <w:rPr>
          <w:rtl w:val="true"/>
        </w:rPr>
        <w:t xml:space="preserve">. </w:t>
      </w:r>
      <w:r>
        <w:rPr>
          <w:rtl w:val="true"/>
        </w:rPr>
        <w:t>עוד היא סיפרה</w:t>
      </w:r>
      <w:r>
        <w:rPr>
          <w:rtl w:val="true"/>
        </w:rPr>
        <w:t xml:space="preserve">, </w:t>
      </w:r>
      <w:r>
        <w:rPr>
          <w:rtl w:val="true"/>
        </w:rPr>
        <w:t>כי בשני מקרים</w:t>
      </w:r>
      <w:r>
        <w:rPr>
          <w:rtl w:val="true"/>
        </w:rPr>
        <w:t xml:space="preserve">, </w:t>
      </w:r>
      <w:r>
        <w:rPr>
          <w:rtl w:val="true"/>
        </w:rPr>
        <w:t xml:space="preserve">בהיותה בגילאים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, </w:t>
      </w:r>
      <w:r>
        <w:rPr>
          <w:rtl w:val="true"/>
        </w:rPr>
        <w:t>היא הגיעה לסיפוק מיני בעקבות עיסויי הדגדגן</w:t>
      </w:r>
      <w:r>
        <w:rPr>
          <w:rtl w:val="true"/>
        </w:rPr>
        <w:t xml:space="preserve">. </w:t>
      </w:r>
      <w:r>
        <w:rPr>
          <w:rtl w:val="true"/>
        </w:rPr>
        <w:t xml:space="preserve">עקב כך היא חשה אשמה והבינה כי מה שעברה </w:t>
      </w:r>
      <w:r>
        <w:rPr>
          <w:rtl w:val="true"/>
        </w:rPr>
        <w:t>"</w:t>
      </w:r>
      <w:r>
        <w:rPr>
          <w:rtl w:val="true"/>
        </w:rPr>
        <w:t>אינו בסדר</w:t>
      </w:r>
      <w:r>
        <w:rPr>
          <w:rtl w:val="true"/>
        </w:rPr>
        <w:t xml:space="preserve">".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באותה תקופה היא הרגישה שהיא אוהבת את המערער ושאינה רוצה לאבד אותו</w:t>
      </w:r>
      <w:r>
        <w:rPr>
          <w:rtl w:val="true"/>
        </w:rPr>
        <w:t xml:space="preserve">, </w:t>
      </w:r>
      <w:r>
        <w:rPr>
          <w:rtl w:val="true"/>
        </w:rPr>
        <w:t xml:space="preserve">ועל כן זמן קצר לפני הגיעהּ לגיל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היא שוחחה עמו וביקשה ממנו לחדול ממעשיו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המערער צחק מכך והכה אותה בישבנה עם כף ידו</w:t>
      </w:r>
      <w:r>
        <w:rPr>
          <w:rtl w:val="true"/>
        </w:rPr>
        <w:t xml:space="preserve">. </w:t>
      </w:r>
      <w:r>
        <w:rPr>
          <w:rtl w:val="true"/>
        </w:rPr>
        <w:t xml:space="preserve">כמו כן סיפרה המתלוננת לבית המשפט כי באותה העת היא למדה בבית ספר דתי בו למדה על </w:t>
      </w:r>
      <w:r>
        <w:rPr>
          <w:rtl w:val="true"/>
        </w:rPr>
        <w:t>"</w:t>
      </w:r>
      <w:r>
        <w:rPr>
          <w:rtl w:val="true"/>
        </w:rPr>
        <w:t>שמירת נגיעה</w:t>
      </w:r>
      <w:r>
        <w:rPr>
          <w:rtl w:val="true"/>
        </w:rPr>
        <w:t xml:space="preserve">", </w:t>
      </w:r>
      <w:r>
        <w:rPr>
          <w:rtl w:val="true"/>
        </w:rPr>
        <w:t>ועל כן היא סברה כי עליה לשמור נגיעה מהמערער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המערער לא היה שותף לרעיון זה</w:t>
      </w:r>
      <w:r>
        <w:rPr>
          <w:rtl w:val="true"/>
        </w:rPr>
        <w:t xml:space="preserve">: </w:t>
      </w:r>
      <w:r>
        <w:rPr>
          <w:rtl w:val="true"/>
        </w:rPr>
        <w:t>באחד מהערבים הוא ניסה לנשקה והכניס את ידו מתחת לחצאיתה</w:t>
      </w:r>
      <w:r>
        <w:rPr>
          <w:rtl w:val="true"/>
        </w:rPr>
        <w:t xml:space="preserve">. </w:t>
      </w:r>
      <w:r>
        <w:rPr>
          <w:rtl w:val="true"/>
        </w:rPr>
        <w:t>בתגובה לכך</w:t>
      </w:r>
      <w:r>
        <w:rPr>
          <w:rtl w:val="true"/>
        </w:rPr>
        <w:t xml:space="preserve">, </w:t>
      </w:r>
      <w:r>
        <w:rPr>
          <w:rtl w:val="true"/>
        </w:rPr>
        <w:t xml:space="preserve">צעקה המתלוננת בקול רם </w:t>
      </w:r>
      <w:r>
        <w:rPr>
          <w:rtl w:val="true"/>
        </w:rPr>
        <w:t>"</w:t>
      </w:r>
      <w:r>
        <w:rPr>
          <w:rtl w:val="true"/>
        </w:rPr>
        <w:t>תעזוב אותי כבר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אתה לא תיגע בי יותר בחיים שלך</w:t>
      </w:r>
      <w:r>
        <w:rPr>
          <w:rtl w:val="true"/>
        </w:rPr>
        <w:t xml:space="preserve">". </w:t>
      </w:r>
      <w:r>
        <w:rPr>
          <w:rtl w:val="true"/>
        </w:rPr>
        <w:t>אמה של המתלוננת ובני הבית האחרים שהיו בדירה באותו זמן שמעו את הצעקה</w:t>
      </w:r>
      <w:r>
        <w:rPr>
          <w:rtl w:val="true"/>
        </w:rPr>
        <w:t xml:space="preserve">, </w:t>
      </w:r>
      <w:r>
        <w:rPr>
          <w:rtl w:val="true"/>
        </w:rPr>
        <w:t>והאֵם העידה עליה במשפט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עדות המתלוננת נתמכה בשלוש ראיות חיזוק עיקריות</w:t>
      </w:r>
      <w:r>
        <w:rPr>
          <w:rtl w:val="true"/>
        </w:rPr>
        <w:t xml:space="preserve">: </w:t>
      </w:r>
      <w:r>
        <w:rPr>
          <w:rtl w:val="true"/>
        </w:rPr>
        <w:t>עדות אמה</w:t>
      </w:r>
      <w:r>
        <w:rPr>
          <w:rtl w:val="true"/>
        </w:rPr>
        <w:t xml:space="preserve">, </w:t>
      </w:r>
      <w:r>
        <w:rPr>
          <w:rtl w:val="true"/>
        </w:rPr>
        <w:t xml:space="preserve">שכאמור שמעה את צעקת המתלוננת </w:t>
      </w:r>
      <w:r>
        <w:rPr>
          <w:rtl w:val="true"/>
        </w:rPr>
        <w:t>"</w:t>
      </w:r>
      <w:r>
        <w:rPr>
          <w:rtl w:val="true"/>
        </w:rPr>
        <w:t>אתה לא תיגע בי יותר בחיים שלך</w:t>
      </w:r>
      <w:r>
        <w:rPr>
          <w:rtl w:val="true"/>
        </w:rPr>
        <w:t xml:space="preserve">"; </w:t>
      </w:r>
      <w:r>
        <w:rPr>
          <w:rtl w:val="true"/>
        </w:rPr>
        <w:t>עדות בן זוגה הקודם של המתלוננת</w:t>
      </w:r>
      <w:r>
        <w:rPr>
          <w:rtl w:val="true"/>
        </w:rPr>
        <w:t xml:space="preserve">, </w:t>
      </w:r>
      <w:r>
        <w:rPr>
          <w:rtl w:val="true"/>
        </w:rPr>
        <w:t>שסיפר לבית המשפט כי בהיותה ב</w:t>
      </w:r>
      <w:r>
        <w:rPr>
          <w:rtl w:val="true"/>
        </w:rPr>
        <w:t>ת</w:t>
      </w:r>
      <w:r>
        <w:rPr>
          <w:rtl w:val="true"/>
        </w:rPr>
        <w:t xml:space="preserve"> </w:t>
      </w:r>
      <w:r>
        <w:rPr/>
        <w:t>18-17</w:t>
      </w:r>
      <w:r>
        <w:rPr>
          <w:rtl w:val="true"/>
        </w:rPr>
        <w:t xml:space="preserve"> </w:t>
      </w:r>
      <w:r>
        <w:rPr>
          <w:rtl w:val="true"/>
        </w:rPr>
        <w:t>היא התוודתה בפניו כי עברה הטרדה מינית</w:t>
      </w:r>
      <w:r>
        <w:rPr>
          <w:rtl w:val="true"/>
        </w:rPr>
        <w:t xml:space="preserve">, </w:t>
      </w:r>
      <w:r>
        <w:rPr>
          <w:rtl w:val="true"/>
        </w:rPr>
        <w:t>אך סירבה לחלוק עמו את פרטיה</w:t>
      </w:r>
      <w:r>
        <w:rPr>
          <w:rtl w:val="true"/>
        </w:rPr>
        <w:t xml:space="preserve">; </w:t>
      </w:r>
      <w:r>
        <w:rPr>
          <w:rtl w:val="true"/>
        </w:rPr>
        <w:t xml:space="preserve">וכן האופן שבו נחשפה הפרשה </w:t>
      </w:r>
      <w:r>
        <w:rPr>
          <w:rtl w:val="true"/>
        </w:rPr>
        <w:t>–</w:t>
      </w:r>
      <w:r>
        <w:rPr>
          <w:rtl w:val="true"/>
        </w:rPr>
        <w:t xml:space="preserve"> אגב תקרית שבמהלכה נצפה המערער על ידי אֵם המתלוננת מכניס את ידו לתוך תחתוניה של נכדתה</w:t>
      </w:r>
      <w:r>
        <w:rPr>
          <w:rtl w:val="true"/>
        </w:rPr>
        <w:t xml:space="preserve">. </w:t>
      </w:r>
      <w:r>
        <w:rPr>
          <w:rtl w:val="true"/>
        </w:rPr>
        <w:t>משחזתה האֵם במתרחש</w:t>
      </w:r>
      <w:r>
        <w:rPr>
          <w:rtl w:val="true"/>
        </w:rPr>
        <w:t xml:space="preserve">, </w:t>
      </w:r>
      <w:r>
        <w:rPr>
          <w:rtl w:val="true"/>
        </w:rPr>
        <w:t>היא מחתה על כך</w:t>
      </w:r>
      <w:r>
        <w:rPr>
          <w:rtl w:val="true"/>
        </w:rPr>
        <w:t xml:space="preserve">, </w:t>
      </w:r>
      <w:r>
        <w:rPr>
          <w:rtl w:val="true"/>
        </w:rPr>
        <w:t>ואילו המתלוננת</w:t>
      </w:r>
      <w:r>
        <w:rPr>
          <w:rtl w:val="true"/>
        </w:rPr>
        <w:t xml:space="preserve">, </w:t>
      </w:r>
      <w:r>
        <w:rPr>
          <w:rtl w:val="true"/>
        </w:rPr>
        <w:t>שירדה במדרגות ושמעה מאמה את שקרה</w:t>
      </w:r>
      <w:r>
        <w:rPr>
          <w:rtl w:val="true"/>
        </w:rPr>
        <w:t xml:space="preserve">, </w:t>
      </w:r>
      <w:r>
        <w:rPr>
          <w:rtl w:val="true"/>
        </w:rPr>
        <w:t xml:space="preserve">הגיבה באמירה </w:t>
      </w:r>
      <w:r>
        <w:rPr>
          <w:rtl w:val="true"/>
        </w:rPr>
        <w:t>"</w:t>
      </w:r>
      <w:r>
        <w:rPr>
          <w:rtl w:val="true"/>
        </w:rPr>
        <w:t>מה חדש</w:t>
      </w:r>
      <w:r>
        <w:rPr>
          <w:rtl w:val="true"/>
        </w:rPr>
        <w:t xml:space="preserve">? </w:t>
      </w:r>
      <w:r>
        <w:rPr>
          <w:rtl w:val="true"/>
        </w:rPr>
        <w:t>הוא עשה לי את זה שבע שנים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תקרית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החשיפה</w:t>
      </w:r>
      <w:r>
        <w:rPr>
          <w:rtl w:val="true"/>
        </w:rPr>
        <w:t xml:space="preserve">). </w:t>
      </w:r>
      <w:r>
        <w:rPr>
          <w:rtl w:val="true"/>
        </w:rPr>
        <w:t>ברי הוא</w:t>
      </w:r>
      <w:r>
        <w:rPr>
          <w:rtl w:val="true"/>
        </w:rPr>
        <w:t xml:space="preserve">, </w:t>
      </w:r>
      <w:r>
        <w:rPr>
          <w:rtl w:val="true"/>
        </w:rPr>
        <w:t>כי צעקת המתלוננת הינה קבילה כראיה לאמיתות תוכנה</w:t>
      </w:r>
      <w:r>
        <w:rPr>
          <w:rtl w:val="true"/>
        </w:rPr>
        <w:t xml:space="preserve">, </w:t>
      </w:r>
      <w:r>
        <w:rPr>
          <w:rtl w:val="true"/>
        </w:rPr>
        <w:t xml:space="preserve">בהיותה אמרה ספונטאנית המהווה חלק מאירוע רלבנטי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3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הראיות</w:t>
      </w:r>
      <w:r>
        <w:rPr>
          <w:rtl w:val="true"/>
        </w:rPr>
        <w:t xml:space="preserve">)).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אין ספק כי הדברים שאמרה המתלוננת לאמה בעת תקרית החשיפה אף הם קבילים כראיה לאמיתות תוכנה </w:t>
      </w:r>
      <w:r>
        <w:rPr>
          <w:rtl w:val="true"/>
        </w:rPr>
        <w:t>–</w:t>
      </w:r>
      <w:r>
        <w:rPr>
          <w:rtl w:val="true"/>
        </w:rPr>
        <w:t xml:space="preserve"> זאת</w:t>
      </w:r>
      <w:r>
        <w:rPr>
          <w:rtl w:val="true"/>
        </w:rPr>
        <w:t xml:space="preserve">, </w:t>
      </w:r>
      <w:r>
        <w:rPr>
          <w:rtl w:val="true"/>
        </w:rPr>
        <w:t>מן הטעם שהם נאמרו בצורה ספונטאנית כתגובה לאירוע המעורר סערת רגשות</w:t>
      </w:r>
      <w:r>
        <w:rPr>
          <w:rtl w:val="true"/>
        </w:rPr>
        <w:t xml:space="preserve">, </w:t>
      </w:r>
      <w:r>
        <w:rPr>
          <w:rtl w:val="true"/>
        </w:rPr>
        <w:t>ועל כן הם נכנסים לגדר החריג לכלל הפוסל עדות מפי השמועה</w:t>
      </w:r>
      <w:r>
        <w:rPr>
          <w:rtl w:val="true"/>
        </w:rPr>
        <w:t xml:space="preserve">, </w:t>
      </w:r>
      <w:r>
        <w:rPr>
          <w:rtl w:val="true"/>
        </w:rPr>
        <w:t xml:space="preserve">ששמו </w:t>
      </w:r>
      <w:r>
        <w:rPr>
          <w:rFonts w:cs="Times New Roman" w:ascii="Times New Roman" w:hAnsi="Times New Roman"/>
        </w:rPr>
        <w:t>res gestae</w:t>
      </w:r>
      <w:r>
        <w:rPr>
          <w:rtl w:val="true"/>
        </w:rPr>
        <w:t xml:space="preserve"> (</w:t>
      </w:r>
      <w:r>
        <w:rPr>
          <w:rtl w:val="true"/>
        </w:rPr>
        <w:t xml:space="preserve">ראו </w:t>
      </w:r>
      <w:r>
        <w:rPr>
          <w:rFonts w:ascii="Century" w:hAnsi="Century" w:cs="Century"/>
          <w:sz w:val="22"/>
          <w:sz w:val="22"/>
          <w:rtl w:val="true"/>
        </w:rPr>
        <w:t>אליהו הרנון</w:t>
      </w:r>
      <w:r>
        <w:rPr>
          <w:rtl w:val="true"/>
        </w:rPr>
        <w:t xml:space="preserve"> </w:t>
      </w:r>
      <w:hyperlink r:id="rId38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ראיות</w:t>
        </w:r>
      </w:hyperlink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חלק שני</w:t>
      </w:r>
      <w:r>
        <w:rPr>
          <w:rtl w:val="true"/>
        </w:rPr>
        <w:t xml:space="preserve"> </w:t>
      </w:r>
      <w:r>
        <w:rPr/>
        <w:t>200-195</w:t>
      </w:r>
      <w:r>
        <w:rPr>
          <w:rtl w:val="true"/>
        </w:rPr>
        <w:t xml:space="preserve"> (</w:t>
      </w:r>
      <w:r>
        <w:rPr/>
        <w:t>1977</w:t>
      </w:r>
      <w:r>
        <w:rPr>
          <w:rtl w:val="true"/>
        </w:rPr>
        <w:t xml:space="preserve">)). </w:t>
      </w:r>
      <w:r>
        <w:rPr>
          <w:rtl w:val="true"/>
        </w:rPr>
        <w:t xml:space="preserve">באשר לאמרת המתלוננת עליה העיד בן זוגה הקודם </w:t>
      </w:r>
      <w:r>
        <w:rPr>
          <w:rtl w:val="true"/>
        </w:rPr>
        <w:t>–</w:t>
      </w:r>
      <w:r>
        <w:rPr>
          <w:rtl w:val="true"/>
        </w:rPr>
        <w:t xml:space="preserve"> אמרה זו קבילה כראיה בדבר קיומה של תלונה מוקדמת אשר באה מפיה של נפגעת עבירה בנסיבות בהן לא ניתן לייחס לה ניסיון של פברוק או המצאה </w:t>
      </w:r>
      <w:r>
        <w:rPr>
          <w:rtl w:val="true"/>
        </w:rPr>
        <w:t>(</w:t>
      </w:r>
      <w:r>
        <w:rPr>
          <w:rtl w:val="true"/>
        </w:rPr>
        <w:t>לעניין שימוש בתלונה מוקדמת שמסרה הנפגעת מעבירת מין כחיזוק למהימנות עדותה במשפט</w:t>
      </w:r>
      <w:r>
        <w:rPr>
          <w:rtl w:val="true"/>
        </w:rPr>
        <w:t xml:space="preserve">, </w:t>
      </w:r>
      <w:r>
        <w:rPr>
          <w:rtl w:val="true"/>
        </w:rPr>
        <w:t xml:space="preserve">ראו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3012/12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78</w:t>
      </w:r>
      <w:r>
        <w:rPr>
          <w:rtl w:val="true"/>
        </w:rPr>
        <w:t xml:space="preserve"> </w:t>
      </w:r>
      <w:r>
        <w:rPr>
          <w:rtl w:val="true"/>
        </w:rPr>
        <w:t>(‏</w:t>
      </w:r>
      <w:r>
        <w:rPr/>
        <w:t>12.1.2015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משפט קמא התרשם לחיוב מעדות המתלוננת ונתן בה אמון בלתי מסויג</w:t>
      </w:r>
      <w:r>
        <w:rPr>
          <w:rtl w:val="true"/>
        </w:rPr>
        <w:t xml:space="preserve">, </w:t>
      </w:r>
      <w:r>
        <w:rPr>
          <w:rtl w:val="true"/>
        </w:rPr>
        <w:t>בעמדו על כך שהיא היתה מאוזנת</w:t>
      </w:r>
      <w:r>
        <w:rPr>
          <w:rtl w:val="true"/>
        </w:rPr>
        <w:t xml:space="preserve">, </w:t>
      </w:r>
      <w:r>
        <w:rPr>
          <w:rtl w:val="true"/>
        </w:rPr>
        <w:t>מדוייקת</w:t>
      </w:r>
      <w:r>
        <w:rPr>
          <w:rtl w:val="true"/>
        </w:rPr>
        <w:t xml:space="preserve">, </w:t>
      </w:r>
      <w:r>
        <w:rPr>
          <w:rtl w:val="true"/>
        </w:rPr>
        <w:t>רוויית פרטים ונטולת הפרזות</w:t>
      </w:r>
      <w:r>
        <w:rPr>
          <w:rtl w:val="true"/>
        </w:rPr>
        <w:t xml:space="preserve">, </w:t>
      </w:r>
      <w:r>
        <w:rPr>
          <w:rtl w:val="true"/>
        </w:rPr>
        <w:t>חרף הקשיים הנפשיים שחוותה המתלוננת במהלך נתינתה</w:t>
      </w:r>
      <w:r>
        <w:rPr>
          <w:rtl w:val="true"/>
        </w:rPr>
        <w:t xml:space="preserve">. </w:t>
      </w:r>
      <w:r>
        <w:rPr>
          <w:rtl w:val="true"/>
        </w:rPr>
        <w:t xml:space="preserve">אמינותה של המתלוננת התחזקה עוד יותר לנוכח קיומן של ראיות החיזוק דלעיל </w:t>
      </w:r>
      <w:r>
        <w:rPr>
          <w:rtl w:val="true"/>
        </w:rPr>
        <w:t>(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כי ראיות אלה יחדיו מגיעות כדי סיוע ממשי</w:t>
      </w:r>
      <w:r>
        <w:rPr>
          <w:rtl w:val="true"/>
        </w:rPr>
        <w:t xml:space="preserve">, </w:t>
      </w:r>
      <w:r>
        <w:rPr>
          <w:rtl w:val="true"/>
        </w:rPr>
        <w:t>אך זה ממילא לא היה נחוץ להרשעת המערער</w:t>
      </w:r>
      <w:r>
        <w:rPr>
          <w:rtl w:val="true"/>
        </w:rPr>
        <w:t xml:space="preserve">). </w:t>
      </w:r>
      <w:r>
        <w:rPr>
          <w:rtl w:val="true"/>
        </w:rPr>
        <w:t>בהתייחסו לראיות החיזוק</w:t>
      </w:r>
      <w:r>
        <w:rPr>
          <w:rtl w:val="true"/>
        </w:rPr>
        <w:t xml:space="preserve">, </w:t>
      </w:r>
      <w:r>
        <w:rPr>
          <w:rtl w:val="true"/>
        </w:rPr>
        <w:t>ציין בית המשפט כי מצא את עדות האֵם מהימנה וכי הוא נותן גם בה אמון מלא</w:t>
      </w:r>
      <w:r>
        <w:rPr>
          <w:rtl w:val="true"/>
        </w:rPr>
        <w:t xml:space="preserve">. </w:t>
      </w:r>
      <w:r>
        <w:rPr>
          <w:rtl w:val="true"/>
        </w:rPr>
        <w:t>דברים דומים נאמרו גם ביחס לעדות הפחות חשובה שמסרה אחותה של המתלוננת</w:t>
      </w:r>
      <w:r>
        <w:rPr>
          <w:rtl w:val="true"/>
        </w:rPr>
        <w:t xml:space="preserve">. </w:t>
      </w:r>
      <w:r>
        <w:rPr>
          <w:rtl w:val="true"/>
        </w:rPr>
        <w:t xml:space="preserve">ממצאים אלה של בית משפט קמא נומקו כדבעי בהתאם לאמות המידה הקבועות </w:t>
      </w:r>
      <w:hyperlink r:id="rId40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ואף למעלה מכך</w:t>
      </w:r>
      <w:r>
        <w:rPr>
          <w:rtl w:val="true"/>
        </w:rPr>
        <w:t xml:space="preserve">, </w:t>
      </w:r>
      <w:r>
        <w:rPr>
          <w:rtl w:val="true"/>
        </w:rPr>
        <w:t>שכן עדות המתלוננת לא היתה הראיה היחידה עליה ביסס בית המשפט את ההרשעה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עדותו של המערער</w:t>
      </w:r>
      <w:r>
        <w:rPr>
          <w:rtl w:val="true"/>
        </w:rPr>
        <w:t xml:space="preserve">,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תוארה על ידי בית משפט קמא כ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מוזרה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כמעוררת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תימהון</w:t>
      </w:r>
      <w:r>
        <w:rPr>
          <w:rtl w:val="true"/>
        </w:rPr>
        <w:t xml:space="preserve">", </w:t>
      </w:r>
      <w:r>
        <w:rPr>
          <w:rtl w:val="true"/>
        </w:rPr>
        <w:t>ודי אם אומר רק זאת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לא השתמש אמנם בביטויים כמו </w:t>
      </w:r>
      <w:r>
        <w:rPr>
          <w:rtl w:val="true"/>
        </w:rPr>
        <w:t>"</w:t>
      </w:r>
      <w:r>
        <w:rPr>
          <w:rtl w:val="true"/>
        </w:rPr>
        <w:t>מופרכת</w:t>
      </w:r>
      <w:r>
        <w:rPr>
          <w:rtl w:val="true"/>
        </w:rPr>
        <w:t xml:space="preserve">", </w:t>
      </w:r>
      <w:r>
        <w:rPr>
          <w:rtl w:val="true"/>
        </w:rPr>
        <w:t>שלהם קשר הדוק יותר עם דרישת ההוכחה מעבר לספק סביר אשר חלה על התביעה</w:t>
      </w:r>
      <w:r>
        <w:rPr>
          <w:rtl w:val="true"/>
        </w:rPr>
        <w:t xml:space="preserve">, </w:t>
      </w:r>
      <w:r>
        <w:rPr>
          <w:rtl w:val="true"/>
        </w:rPr>
        <w:t>אך לטעמי זהו עניין סמנטי ותו לא</w:t>
      </w:r>
      <w:r>
        <w:rPr>
          <w:rtl w:val="true"/>
        </w:rPr>
        <w:t xml:space="preserve">, </w:t>
      </w:r>
      <w:r>
        <w:rPr>
          <w:rtl w:val="true"/>
        </w:rPr>
        <w:t xml:space="preserve">שכן אין להעלות על הדעת שמותב מנוסה של שלושה שופטים מחוזיים איננו מכיר את דרישת ההוכחה הבסיסית הקבועה </w:t>
      </w:r>
      <w:hyperlink r:id="rId42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כב</w:t>
        </w:r>
      </w:hyperlink>
      <w:r>
        <w:rPr>
          <w:rtl w:val="true"/>
        </w:rPr>
        <w:t xml:space="preserve"> ל</w:t>
      </w:r>
      <w:hyperlink r:id="rId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וממאן לפעול לפיה</w:t>
      </w:r>
      <w:r>
        <w:rPr>
          <w:rtl w:val="true"/>
        </w:rPr>
        <w:t xml:space="preserve">. </w:t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הנני סבור כי הכרעת הדין קמא מבוססת היטב וכי הרשעת המערער בריבוי עבירות המין עומדת על יסודות איתנים</w:t>
      </w:r>
      <w:r>
        <w:rPr>
          <w:rtl w:val="true"/>
        </w:rPr>
        <w:t xml:space="preserve">, </w:t>
      </w:r>
      <w:r>
        <w:rPr>
          <w:rtl w:val="true"/>
        </w:rPr>
        <w:t>כשכל פרטיה מוכחים מעבר לספק סביר</w:t>
      </w:r>
      <w:r>
        <w:rPr>
          <w:rtl w:val="true"/>
        </w:rPr>
        <w:t xml:space="preserve">. </w:t>
      </w:r>
      <w:r>
        <w:rPr>
          <w:rtl w:val="true"/>
        </w:rPr>
        <w:t>דין הערעור על ההרשעה להידחות אפוא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בבואו לגזור את עונשו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בית משפט קמא פעל במתווה הקבוע </w:t>
      </w:r>
      <w:hyperlink r:id="rId44">
        <w:r>
          <w:rPr>
            <w:rStyle w:val="Hyperlink"/>
            <w:color w:val="0000FF"/>
            <w:u w:val="single"/>
            <w:rtl w:val="true"/>
          </w:rPr>
          <w:t>בפרק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 xml:space="preserve">', </w:t>
        </w:r>
        <w:r>
          <w:rPr>
            <w:rStyle w:val="Hyperlink"/>
            <w:color w:val="0000FF"/>
            <w:u w:val="single"/>
            <w:rtl w:val="true"/>
          </w:rPr>
          <w:t>סימן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'</w:t>
        </w:r>
        <w:r>
          <w:rPr>
            <w:rStyle w:val="Hyperlink"/>
            <w:color w:val="0000FF"/>
            <w:u w:val="single"/>
          </w:rPr>
          <w:t>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: </w:t>
      </w:r>
      <w:r>
        <w:rPr>
          <w:rtl w:val="true"/>
        </w:rPr>
        <w:t>הוא בחן את הנסיבות בהן ביצע המערער את העבירות דלעיל</w:t>
      </w:r>
      <w:r>
        <w:rPr>
          <w:rtl w:val="true"/>
        </w:rPr>
        <w:t xml:space="preserve">; </w:t>
      </w:r>
      <w:r>
        <w:rPr>
          <w:rtl w:val="true"/>
        </w:rPr>
        <w:t xml:space="preserve">קבע את מתחם העונשים בהתחשב במדיניות הענישה הנוהגת כנע בין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; </w:t>
      </w:r>
      <w:r>
        <w:rPr>
          <w:rtl w:val="true"/>
        </w:rPr>
        <w:t>העמיד לנגד עיניו את העובדה שהמערער לא לקח אחריות על מעשיו ולא הביע שום חרטה על ביצועם גם לאחר שהורשע בדינו</w:t>
      </w:r>
      <w:r>
        <w:rPr>
          <w:rtl w:val="true"/>
        </w:rPr>
        <w:t xml:space="preserve">, </w:t>
      </w:r>
      <w:r>
        <w:rPr>
          <w:rtl w:val="true"/>
        </w:rPr>
        <w:t>כשיקול לחומרא</w:t>
      </w:r>
      <w:r>
        <w:rPr>
          <w:rtl w:val="true"/>
        </w:rPr>
        <w:t xml:space="preserve">, </w:t>
      </w:r>
      <w:r>
        <w:rPr>
          <w:rtl w:val="true"/>
        </w:rPr>
        <w:t>ואת נסיבות חייו הקשות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ובכללן את האירוע המוחי שהלה עבר בשנת </w:t>
      </w:r>
      <w:r>
        <w:rPr/>
        <w:t>1998</w:t>
      </w:r>
      <w:r>
        <w:rPr>
          <w:rtl w:val="true"/>
        </w:rPr>
        <w:t xml:space="preserve">, </w:t>
      </w:r>
      <w:r>
        <w:rPr>
          <w:rtl w:val="true"/>
        </w:rPr>
        <w:t>כשיקול לקולא</w:t>
      </w:r>
      <w:r>
        <w:rPr>
          <w:rtl w:val="true"/>
        </w:rPr>
        <w:t xml:space="preserve">; </w:t>
      </w:r>
      <w:r>
        <w:rPr>
          <w:rtl w:val="true"/>
        </w:rPr>
        <w:t xml:space="preserve">ולבסוף השית על המערער </w:t>
      </w:r>
      <w:r>
        <w:rPr/>
        <w:t>66</w:t>
      </w:r>
      <w:r>
        <w:rPr>
          <w:rtl w:val="true"/>
        </w:rPr>
        <w:t xml:space="preserve"> </w:t>
      </w:r>
      <w:r>
        <w:rPr>
          <w:rtl w:val="true"/>
        </w:rPr>
        <w:t>חודשי מאסר לריצוי בפועל לצד העונשים הנוספים כמפורט לעיל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סבורני כי בית משפט קמא הטיב עם המערער יתר על המידה</w:t>
      </w:r>
      <w:r>
        <w:rPr>
          <w:rtl w:val="true"/>
        </w:rPr>
        <w:t xml:space="preserve">. </w:t>
      </w:r>
      <w:r>
        <w:rPr>
          <w:rtl w:val="true"/>
        </w:rPr>
        <w:t xml:space="preserve">קביעת עונשו של המערער נשלטת על ידי </w:t>
      </w:r>
      <w:hyperlink r:id="rId4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אשר קובע </w:t>
      </w:r>
      <w:r>
        <w:rPr>
          <w:rFonts w:ascii="Times New Roman" w:hAnsi="Times New Roman" w:cs="Times New Roman"/>
          <w:rtl w:val="true"/>
        </w:rPr>
        <w:t>עונש מינימום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לפי האמור באותו סעיף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עונש זה </w:t>
      </w:r>
      <w:r>
        <w:rPr>
          <w:rtl w:val="true"/>
        </w:rPr>
        <w:t>לא יפחת מרבע העונש המירבי הקבוע בצד העבירות בהן נמצא המערער אשם</w:t>
      </w:r>
      <w:r>
        <w:rPr>
          <w:rtl w:val="true"/>
        </w:rPr>
        <w:t>, "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 </w:t>
      </w:r>
      <w:r>
        <w:rPr>
          <w:rtl w:val="true"/>
        </w:rPr>
        <w:t>החליט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מטעמים</w:t>
      </w:r>
      <w:r>
        <w:rPr>
          <w:rtl w:val="true"/>
        </w:rPr>
        <w:t xml:space="preserve"> </w:t>
      </w:r>
      <w:r>
        <w:rPr>
          <w:rtl w:val="true"/>
        </w:rPr>
        <w:t>מיוחדים</w:t>
      </w:r>
      <w:r>
        <w:rPr>
          <w:rtl w:val="true"/>
        </w:rPr>
        <w:t xml:space="preserve"> </w:t>
      </w:r>
      <w:r>
        <w:rPr>
          <w:rtl w:val="true"/>
        </w:rPr>
        <w:t>שיירשמו</w:t>
      </w:r>
      <w:r>
        <w:rPr>
          <w:rtl w:val="true"/>
        </w:rPr>
        <w:t xml:space="preserve">, </w:t>
      </w:r>
      <w:r>
        <w:rPr>
          <w:rtl w:val="true"/>
        </w:rPr>
        <w:t>להקל</w:t>
      </w:r>
      <w:r>
        <w:rPr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". </w:t>
      </w:r>
      <w:r>
        <w:rPr>
          <w:rtl w:val="true"/>
        </w:rPr>
        <w:t>ברי הוא</w:t>
      </w:r>
      <w:r>
        <w:rPr>
          <w:rtl w:val="true"/>
        </w:rPr>
        <w:t xml:space="preserve">, </w:t>
      </w:r>
      <w:r>
        <w:rPr>
          <w:rtl w:val="true"/>
        </w:rPr>
        <w:t>כי בית משפט קמא לא הסתמך על שום טעמים מיוחדים בבואו לגזור את עונשו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שכן התביעה כלל לא ביקשה ממנו שיפעיל את הכלל הקבוע </w:t>
      </w:r>
      <w:hyperlink r:id="rId48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355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וטענה למתחם העונשים שבין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עונש המינימום הקבוע </w:t>
      </w:r>
      <w:hyperlink r:id="rId49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355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אמור היה לקבוע את הסף התחתון של מתחם העונשים ההולם את המקרה דכאן </w:t>
      </w:r>
      <w:r>
        <w:rPr>
          <w:rtl w:val="true"/>
        </w:rPr>
        <w:t>(</w:t>
      </w:r>
      <w:r>
        <w:rPr>
          <w:rtl w:val="true"/>
        </w:rPr>
        <w:t xml:space="preserve">כמוסבר </w:t>
      </w:r>
      <w:hyperlink r:id="rId50">
        <w:r>
          <w:rPr>
            <w:rStyle w:val="Hyperlink"/>
            <w:color w:val="0000FF"/>
            <w:u w:val="single"/>
            <w:rtl w:val="true"/>
          </w:rPr>
          <w:t>בע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337/13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</w:rPr>
          <w:t>890/13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9.9.2013</w:t>
      </w:r>
      <w:r>
        <w:rPr>
          <w:rtl w:val="true"/>
        </w:rPr>
        <w:t xml:space="preserve">) </w:t>
      </w:r>
      <w:r>
        <w:rPr>
          <w:rtl w:val="true"/>
        </w:rPr>
        <w:t xml:space="preserve">בפסקה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 xml:space="preserve">אשר דן ביחס שבין </w:t>
      </w:r>
      <w:hyperlink r:id="rId5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355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 xml:space="preserve">וראו גם את 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ובראן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 אז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1605/13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26</w:t>
      </w:r>
      <w:r>
        <w:rPr>
          <w:rtl w:val="true"/>
        </w:rPr>
        <w:t xml:space="preserve"> (</w:t>
      </w:r>
      <w:r>
        <w:rPr/>
        <w:t>28.8.2014</w:t>
      </w:r>
      <w:r>
        <w:rPr>
          <w:rtl w:val="true"/>
        </w:rPr>
        <w:t xml:space="preserve">)). </w:t>
      </w:r>
      <w:r>
        <w:rPr>
          <w:rtl w:val="true"/>
        </w:rPr>
        <w:t xml:space="preserve">במקרה של ריבוי עבירת מין אשר באות בגדרו של </w:t>
      </w:r>
      <w:hyperlink r:id="rId5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חייב בית המשפט לגזור את עונש המינימום מסך כל העונשים המירביים אשר מוטלים בגין כל עבירה ועבירה שבוצעה על ידי הנאשם </w:t>
      </w:r>
      <w:r>
        <w:rPr>
          <w:rtl w:val="true"/>
        </w:rPr>
        <w:t>(</w:t>
      </w:r>
      <w:r>
        <w:rPr>
          <w:rtl w:val="true"/>
        </w:rPr>
        <w:t xml:space="preserve">השוו 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9603/09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ובראן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כתוארו אז</w:t>
      </w:r>
      <w:r>
        <w:rPr>
          <w:rFonts w:cs="Century" w:ascii="Century" w:hAnsi="Century"/>
          <w:sz w:val="22"/>
          <w:rtl w:val="true"/>
        </w:rPr>
        <w:t>) (</w:t>
      </w:r>
      <w:r>
        <w:rPr>
          <w:rFonts w:cs="Century" w:ascii="Century" w:hAnsi="Century"/>
          <w:sz w:val="22"/>
        </w:rPr>
        <w:t>27.7.2008</w:t>
      </w:r>
      <w:r>
        <w:rPr>
          <w:rFonts w:cs="Century" w:ascii="Century" w:hAnsi="Century"/>
          <w:sz w:val="22"/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במצב של אי</w:t>
      </w:r>
      <w:r>
        <w:rPr>
          <w:rtl w:val="true"/>
        </w:rPr>
        <w:t>-</w:t>
      </w:r>
      <w:r>
        <w:rPr>
          <w:rtl w:val="true"/>
        </w:rPr>
        <w:t>ודאות לגבי מספרן המדויק של העבירות אשר בוצעו במשך תקופה ארוכה</w:t>
      </w:r>
      <w:r>
        <w:rPr>
          <w:rtl w:val="true"/>
        </w:rPr>
        <w:t xml:space="preserve">, </w:t>
      </w:r>
      <w:r>
        <w:rPr>
          <w:rtl w:val="true"/>
        </w:rPr>
        <w:t xml:space="preserve">סבורני כי יהא זה נכון להניח שהנאשם ביצע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לפחות</w:t>
      </w:r>
      <w:r>
        <w:rPr>
          <w:rtl w:val="true"/>
        </w:rPr>
        <w:t xml:space="preserve"> שלוש עבירות בשנה</w:t>
      </w:r>
      <w:r>
        <w:rPr>
          <w:rtl w:val="true"/>
        </w:rPr>
        <w:t xml:space="preserve">. </w:t>
      </w:r>
      <w:r>
        <w:rPr>
          <w:rtl w:val="true"/>
        </w:rPr>
        <w:t>ברוב רובם של מקרים אלה</w:t>
      </w:r>
      <w:r>
        <w:rPr>
          <w:rtl w:val="true"/>
        </w:rPr>
        <w:t xml:space="preserve">, </w:t>
      </w:r>
      <w:r>
        <w:rPr>
          <w:rtl w:val="true"/>
        </w:rPr>
        <w:t xml:space="preserve">הנחה זו תטיב עם הנאשם </w:t>
      </w:r>
      <w:r>
        <w:rPr>
          <w:rtl w:val="true"/>
        </w:rPr>
        <w:t>(</w:t>
      </w:r>
      <w:r>
        <w:rPr>
          <w:rtl w:val="true"/>
        </w:rPr>
        <w:t xml:space="preserve">השוו 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1867/00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גוטמן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נד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145</w:t>
      </w:r>
      <w:r>
        <w:rPr>
          <w:rtl w:val="true"/>
        </w:rPr>
        <w:t xml:space="preserve">, </w:t>
      </w:r>
      <w:r>
        <w:rPr/>
        <w:t>157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/>
        <w:t>2000</w:t>
      </w:r>
      <w:r>
        <w:rPr>
          <w:rtl w:val="true"/>
        </w:rPr>
        <w:t>) ("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אילו</w:t>
      </w:r>
      <w:r>
        <w:rPr>
          <w:rtl w:val="true"/>
        </w:rPr>
        <w:t xml:space="preserve"> </w:t>
      </w:r>
      <w:r>
        <w:rPr>
          <w:rtl w:val="true"/>
        </w:rPr>
        <w:t>נתקיים</w:t>
      </w:r>
      <w:r>
        <w:rPr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 </w:t>
      </w:r>
      <w:r>
        <w:rPr>
          <w:rtl w:val="true"/>
        </w:rPr>
        <w:t>בפרשנות</w:t>
      </w:r>
      <w:r>
        <w:rPr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 </w:t>
      </w:r>
      <w:r>
        <w:rPr>
          <w:rtl w:val="true"/>
        </w:rPr>
        <w:t>נוכח</w:t>
      </w:r>
      <w:r>
        <w:rPr>
          <w:rtl w:val="true"/>
        </w:rPr>
        <w:t xml:space="preserve"> </w:t>
      </w:r>
      <w:r>
        <w:rPr>
          <w:rtl w:val="true"/>
        </w:rPr>
        <w:t>ההיסטוריה</w:t>
      </w:r>
      <w:r>
        <w:rPr>
          <w:rtl w:val="true"/>
        </w:rPr>
        <w:t xml:space="preserve"> </w:t>
      </w:r>
      <w:r>
        <w:rPr>
          <w:rtl w:val="true"/>
        </w:rPr>
        <w:t>החקיקתית</w:t>
      </w:r>
      <w:r>
        <w:rPr>
          <w:rtl w:val="true"/>
        </w:rPr>
        <w:t xml:space="preserve"> </w:t>
      </w:r>
      <w:r>
        <w:rPr>
          <w:rtl w:val="true"/>
        </w:rPr>
        <w:t>שהביאה</w:t>
      </w:r>
      <w:r>
        <w:rPr>
          <w:rtl w:val="true"/>
        </w:rPr>
        <w:t xml:space="preserve"> </w:t>
      </w:r>
      <w:r>
        <w:rPr>
          <w:rtl w:val="true"/>
        </w:rPr>
        <w:t>לחקיקתה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הוראת</w:t>
      </w:r>
      <w:r>
        <w:rPr>
          <w:rtl w:val="true"/>
        </w:rPr>
        <w:t xml:space="preserve"> </w:t>
      </w:r>
      <w:hyperlink r:id="rId5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 </w:t>
      </w:r>
      <w:r>
        <w:rPr>
          <w:rtl w:val="true"/>
        </w:rPr>
        <w:t>מן</w:t>
      </w:r>
      <w:r>
        <w:rPr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להכריע</w:t>
      </w:r>
      <w:r>
        <w:rPr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...</w:t>
      </w:r>
      <w:r>
        <w:rPr>
          <w:rtl w:val="true"/>
        </w:rPr>
        <w:t>לפי</w:t>
      </w:r>
      <w:r>
        <w:rPr>
          <w:rtl w:val="true"/>
        </w:rPr>
        <w:t xml:space="preserve"> </w:t>
      </w:r>
      <w:r>
        <w:rPr>
          <w:rtl w:val="true"/>
        </w:rPr>
        <w:t>הפירוש</w:t>
      </w:r>
      <w:r>
        <w:rPr>
          <w:rtl w:val="true"/>
        </w:rPr>
        <w:t xml:space="preserve"> </w:t>
      </w:r>
      <w:r>
        <w:rPr>
          <w:rtl w:val="true"/>
        </w:rPr>
        <w:t>המקל</w:t>
      </w:r>
      <w:r>
        <w:rPr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מי</w:t>
      </w:r>
      <w:r>
        <w:rPr>
          <w:rtl w:val="true"/>
        </w:rPr>
        <w:t xml:space="preserve"> </w:t>
      </w:r>
      <w:r>
        <w:rPr>
          <w:rtl w:val="true"/>
        </w:rPr>
        <w:t>שאמור</w:t>
      </w:r>
      <w:r>
        <w:rPr>
          <w:rtl w:val="true"/>
        </w:rPr>
        <w:t xml:space="preserve"> </w:t>
      </w:r>
      <w:r>
        <w:rPr>
          <w:rtl w:val="true"/>
        </w:rPr>
        <w:t>לשאת</w:t>
      </w:r>
      <w:r>
        <w:rPr>
          <w:rtl w:val="true"/>
        </w:rPr>
        <w:t xml:space="preserve"> </w:t>
      </w:r>
      <w:r>
        <w:rPr>
          <w:rtl w:val="true"/>
        </w:rPr>
        <w:t>באחריות</w:t>
      </w:r>
      <w:r>
        <w:rPr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כמשמעות</w:t>
      </w:r>
      <w:r>
        <w:rPr>
          <w:rtl w:val="true"/>
        </w:rPr>
        <w:t xml:space="preserve"> </w:t>
      </w:r>
      <w:r>
        <w:rPr>
          <w:rtl w:val="true"/>
        </w:rPr>
        <w:t>ההוראה</w:t>
      </w:r>
      <w:r>
        <w:rPr>
          <w:rtl w:val="true"/>
        </w:rPr>
        <w:t xml:space="preserve"> </w:t>
      </w:r>
      <w:r>
        <w:rPr>
          <w:rtl w:val="true"/>
        </w:rPr>
        <w:t>בסעיף</w:t>
      </w:r>
      <w:r>
        <w:rPr>
          <w:rtl w:val="true"/>
        </w:rPr>
        <w:t xml:space="preserve"> </w:t>
      </w:r>
      <w:r>
        <w:rPr/>
        <w:t>34</w:t>
      </w:r>
      <w:r>
        <w:rPr>
          <w:rtl w:val="true"/>
        </w:rPr>
        <w:t>כא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")).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דרך חישוב זו בוודאי לא היתה מקפחת את המערער</w:t>
      </w:r>
      <w:r>
        <w:rPr>
          <w:rtl w:val="true"/>
        </w:rPr>
        <w:t xml:space="preserve">, </w:t>
      </w:r>
      <w:r>
        <w:rPr>
          <w:rtl w:val="true"/>
        </w:rPr>
        <w:t>שכאמור ביצע את זממו ופגע בגופה ובנפשה של המתלוננת שלוש פעמים בשבוע במשך שבע שנים</w:t>
      </w:r>
      <w:r>
        <w:rPr>
          <w:rtl w:val="true"/>
        </w:rPr>
        <w:t xml:space="preserve">. </w:t>
      </w:r>
      <w:r>
        <w:rPr>
          <w:rtl w:val="true"/>
        </w:rPr>
        <w:t xml:space="preserve">בגדרו של </w:t>
      </w:r>
      <w:hyperlink r:id="rId5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אמור היה המערער להיאסר לתקופה ארוכה ביותר</w:t>
      </w:r>
      <w:r>
        <w:rPr>
          <w:rtl w:val="true"/>
        </w:rPr>
        <w:t xml:space="preserve">, </w:t>
      </w:r>
      <w:r>
        <w:rPr>
          <w:rtl w:val="true"/>
        </w:rPr>
        <w:t xml:space="preserve">אשר עולה על </w:t>
      </w:r>
      <w:r>
        <w:rPr/>
        <w:t>56</w:t>
      </w:r>
      <w:r>
        <w:rPr>
          <w:rtl w:val="true"/>
        </w:rPr>
        <w:t xml:space="preserve"> </w:t>
      </w:r>
      <w:r>
        <w:rPr>
          <w:rtl w:val="true"/>
        </w:rPr>
        <w:t xml:space="preserve">שנים </w:t>
      </w:r>
      <w:r>
        <w:rPr>
          <w:rtl w:val="true"/>
        </w:rPr>
        <w:t>(</w:t>
      </w:r>
      <w:r>
        <w:rPr>
          <w:rtl w:val="true"/>
        </w:rPr>
        <w:t xml:space="preserve">רבע מהעונש המירבי המצטבר בגין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עבירות לפי </w:t>
      </w:r>
      <w:hyperlink r:id="rId6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 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עבירות לפי </w:t>
      </w:r>
      <w:hyperlink r:id="rId6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 xml:space="preserve">גם אם אניח לטובת המערער כי הוא ראוי לאור בקצה המנהרה ועל כן ראוי היה להפחית תקופה זו מטעמים מיוחדים כאמור </w:t>
      </w:r>
      <w:hyperlink r:id="rId63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אינני רואה כיצד הפחתה זו יכלה להביא את בית המשפט אל מתחם העונשים הנמוך שקבע</w:t>
      </w:r>
      <w:r>
        <w:rPr>
          <w:rtl w:val="true"/>
        </w:rPr>
        <w:t xml:space="preserve">. </w:t>
      </w:r>
      <w:r>
        <w:rPr>
          <w:rtl w:val="true"/>
        </w:rPr>
        <w:t>מסיבה זו</w:t>
      </w:r>
      <w:r>
        <w:rPr>
          <w:rtl w:val="true"/>
        </w:rPr>
        <w:t xml:space="preserve">, </w:t>
      </w:r>
      <w:r>
        <w:rPr>
          <w:rtl w:val="true"/>
        </w:rPr>
        <w:t>טענות המערער בנוגע לחומרת העונש שהושת עליו דינן להידחות על הסף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הנני מציע לחבריי לדחות את הערעור שלפנינו על שני חלקיו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מ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מזוז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שותף לעמדתו ולמסקנתו של חברי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יש לדחות את הערעור על שני חלקיו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המערער לא ביסס כל עילה להתערבותנו בהכרעות עובדה ומהימנות של </w:t>
      </w:r>
      <w:r>
        <w:rPr>
          <w:rFonts w:ascii="Century" w:hAnsi="Century" w:cs="Century"/>
          <w:rtl w:val="true"/>
        </w:rPr>
        <w:t>בית 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עליהם מבוססת הרשעתו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 עונשו של המערער אינו חורג לחומרה מרמת הענישה הנוהגת בעבירות ממין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>בית משפט קמא</w:t>
      </w:r>
      <w:r>
        <w:rPr>
          <w:rFonts w:ascii="Century" w:hAnsi="Century" w:cs="Century"/>
          <w:rtl w:val="true"/>
        </w:rPr>
        <w:t xml:space="preserve"> נתן משקל ראוי בקביעת עונשו של המערער לכלל הנסיבות הרלבנטיות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לרבות נסיבותיו האישיות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ארז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מצטרפת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אוסיף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ואומר</w:t>
      </w:r>
      <w:r>
        <w:rPr>
          <w:rtl w:val="true"/>
        </w:rPr>
        <w:t xml:space="preserve">, </w:t>
      </w:r>
      <w:r>
        <w:rPr>
          <w:rtl w:val="true"/>
        </w:rPr>
        <w:t>בהתייחס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ברוח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מזוז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בעיקרו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. </w:t>
      </w:r>
      <w:r>
        <w:rPr>
          <w:rtl w:val="true"/>
        </w:rPr>
        <w:t>כשלעצמי</w:t>
      </w:r>
      <w:r>
        <w:rPr>
          <w:rtl w:val="true"/>
        </w:rPr>
        <w:t xml:space="preserve">, </w:t>
      </w:r>
      <w:r>
        <w:rPr>
          <w:rtl w:val="true"/>
        </w:rPr>
        <w:t>הייתי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מהתבססות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מידה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בחישובים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המחמיר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להיבט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אסתפק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משתם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שחוותה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להוסיף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שלמדנו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עושה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21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22.8.2019</w:t>
      </w:r>
      <w:r>
        <w:rPr>
          <w:rtl w:val="true"/>
        </w:rPr>
        <w:t xml:space="preserve">). </w:t>
      </w:r>
      <w:bookmarkEnd w:id="21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17092380</w:t>
      </w:r>
      <w:r>
        <w:rPr>
          <w:sz w:val="16"/>
          <w:rtl w:val="true"/>
        </w:rPr>
        <w:t>_</w:t>
      </w:r>
      <w:r>
        <w:rPr>
          <w:sz w:val="16"/>
        </w:rPr>
        <w:t>F12.docx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64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ד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ברק ארז </w:t>
      </w:r>
      <w:r>
        <w:rPr>
          <w:rFonts w:cs="David" w:ascii="David" w:hAnsi="David"/>
          <w:color w:val="000000"/>
          <w:szCs w:val="22"/>
        </w:rPr>
        <w:t>54678313-9238/17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6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66"/>
      <w:footerReference w:type="default" r:id="rId6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9238/17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group/3965" TargetMode="External"/><Relationship Id="rId3" Type="http://schemas.openxmlformats.org/officeDocument/2006/relationships/hyperlink" Target="http://www.nevo.co.il/safrut/bookgroup/3965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345.a.1" TargetMode="External"/><Relationship Id="rId6" Type="http://schemas.openxmlformats.org/officeDocument/2006/relationships/hyperlink" Target="http://www.nevo.co.il/law/70301/345.a.3" TargetMode="External"/><Relationship Id="rId7" Type="http://schemas.openxmlformats.org/officeDocument/2006/relationships/hyperlink" Target="http://www.nevo.co.il/law/70301/345.b.1" TargetMode="External"/><Relationship Id="rId8" Type="http://schemas.openxmlformats.org/officeDocument/2006/relationships/hyperlink" Target="http://www.nevo.co.il/law/70301/348.a" TargetMode="External"/><Relationship Id="rId9" Type="http://schemas.openxmlformats.org/officeDocument/2006/relationships/hyperlink" Target="http://www.nevo.co.il/law/70301/348.b" TargetMode="External"/><Relationship Id="rId10" Type="http://schemas.openxmlformats.org/officeDocument/2006/relationships/hyperlink" Target="http://www.nevo.co.il/law/70301/34kb" TargetMode="External"/><Relationship Id="rId11" Type="http://schemas.openxmlformats.org/officeDocument/2006/relationships/hyperlink" Target="http://www.nevo.co.il/law/70301/351.c.1" TargetMode="External"/><Relationship Id="rId12" Type="http://schemas.openxmlformats.org/officeDocument/2006/relationships/hyperlink" Target="http://www.nevo.co.il/law/70301/351.c.2" TargetMode="External"/><Relationship Id="rId13" Type="http://schemas.openxmlformats.org/officeDocument/2006/relationships/hyperlink" Target="http://www.nevo.co.il/law/70301/355" TargetMode="External"/><Relationship Id="rId14" Type="http://schemas.openxmlformats.org/officeDocument/2006/relationships/hyperlink" Target="http://www.nevo.co.il/law/70301/355.b" TargetMode="External"/><Relationship Id="rId15" Type="http://schemas.openxmlformats.org/officeDocument/2006/relationships/hyperlink" Target="http://www.nevo.co.il/law/70301/fCa1S" TargetMode="External"/><Relationship Id="rId16" Type="http://schemas.openxmlformats.org/officeDocument/2006/relationships/hyperlink" Target="http://www.nevo.co.il/law/70301/jCeS" TargetMode="External"/><Relationship Id="rId17" Type="http://schemas.openxmlformats.org/officeDocument/2006/relationships/hyperlink" Target="http://www.nevo.co.il/law/98569" TargetMode="External"/><Relationship Id="rId18" Type="http://schemas.openxmlformats.org/officeDocument/2006/relationships/hyperlink" Target="http://www.nevo.co.il/law/98569/9" TargetMode="External"/><Relationship Id="rId19" Type="http://schemas.openxmlformats.org/officeDocument/2006/relationships/hyperlink" Target="http://www.nevo.co.il/law/98569/54a.b" TargetMode="External"/><Relationship Id="rId20" Type="http://schemas.openxmlformats.org/officeDocument/2006/relationships/hyperlink" Target="http://www.nevo.co.il/law/70301/351.c.1" TargetMode="External"/><Relationship Id="rId21" Type="http://schemas.openxmlformats.org/officeDocument/2006/relationships/hyperlink" Target="http://www.nevo.co.il/law/70301/348.a" TargetMode="External"/><Relationship Id="rId22" Type="http://schemas.openxmlformats.org/officeDocument/2006/relationships/hyperlink" Target="http://www.nevo.co.il/law/70301/345.a.3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351.c.2" TargetMode="External"/><Relationship Id="rId25" Type="http://schemas.openxmlformats.org/officeDocument/2006/relationships/hyperlink" Target="http://www.nevo.co.il/law/70301/348.b" TargetMode="External"/><Relationship Id="rId26" Type="http://schemas.openxmlformats.org/officeDocument/2006/relationships/hyperlink" Target="http://www.nevo.co.il/law/70301/345.b.1" TargetMode="External"/><Relationship Id="rId27" Type="http://schemas.openxmlformats.org/officeDocument/2006/relationships/hyperlink" Target="http://www.nevo.co.il/law/70301/345.a.1" TargetMode="External"/><Relationship Id="rId28" Type="http://schemas.openxmlformats.org/officeDocument/2006/relationships/hyperlink" Target="http://www.nevo.co.il/law/70301/jCeS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5573130" TargetMode="External"/><Relationship Id="rId31" Type="http://schemas.openxmlformats.org/officeDocument/2006/relationships/hyperlink" Target="http://www.nevo.co.il/case/23507393" TargetMode="External"/><Relationship Id="rId32" Type="http://schemas.openxmlformats.org/officeDocument/2006/relationships/hyperlink" Target="http://www.nevo.co.il/case/22948019" TargetMode="External"/><Relationship Id="rId33" Type="http://schemas.openxmlformats.org/officeDocument/2006/relationships/hyperlink" Target="http://www.nevo.co.il/case/16987316" TargetMode="External"/><Relationship Id="rId34" Type="http://schemas.openxmlformats.org/officeDocument/2006/relationships/hyperlink" Target="http://www.nevo.co.il/case/6246489" TargetMode="External"/><Relationship Id="rId35" Type="http://schemas.openxmlformats.org/officeDocument/2006/relationships/hyperlink" Target="http://www.nevo.co.il/case/5756128" TargetMode="External"/><Relationship Id="rId36" Type="http://schemas.openxmlformats.org/officeDocument/2006/relationships/hyperlink" Target="http://www.nevo.co.il/law/98569/9" TargetMode="External"/><Relationship Id="rId37" Type="http://schemas.openxmlformats.org/officeDocument/2006/relationships/hyperlink" Target="http://www.nevo.co.il/law/98569" TargetMode="External"/><Relationship Id="rId38" Type="http://schemas.openxmlformats.org/officeDocument/2006/relationships/hyperlink" Target="http://www.nevo.co.il/safrut/bookgroup/3965" TargetMode="External"/><Relationship Id="rId39" Type="http://schemas.openxmlformats.org/officeDocument/2006/relationships/hyperlink" Target="http://www.nevo.co.il/case/5585445" TargetMode="External"/><Relationship Id="rId40" Type="http://schemas.openxmlformats.org/officeDocument/2006/relationships/hyperlink" Target="http://www.nevo.co.il/law/98569/54a.b" TargetMode="External"/><Relationship Id="rId41" Type="http://schemas.openxmlformats.org/officeDocument/2006/relationships/hyperlink" Target="http://www.nevo.co.il/law/98569" TargetMode="External"/><Relationship Id="rId42" Type="http://schemas.openxmlformats.org/officeDocument/2006/relationships/hyperlink" Target="http://www.nevo.co.il/law/70301/34kb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/fCa1S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0301/355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/355" TargetMode="External"/><Relationship Id="rId49" Type="http://schemas.openxmlformats.org/officeDocument/2006/relationships/hyperlink" Target="http://www.nevo.co.il/law/70301/355" TargetMode="External"/><Relationship Id="rId50" Type="http://schemas.openxmlformats.org/officeDocument/2006/relationships/hyperlink" Target="http://www.nevo.co.il/case/6244892" TargetMode="External"/><Relationship Id="rId51" Type="http://schemas.openxmlformats.org/officeDocument/2006/relationships/hyperlink" Target="http://www.nevo.co.il/law/70301/355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case/6708658" TargetMode="External"/><Relationship Id="rId54" Type="http://schemas.openxmlformats.org/officeDocument/2006/relationships/hyperlink" Target="http://www.nevo.co.il/law/70301/355" TargetMode="External"/><Relationship Id="rId55" Type="http://schemas.openxmlformats.org/officeDocument/2006/relationships/hyperlink" Target="http://www.nevo.co.il/case/6249234" TargetMode="External"/><Relationship Id="rId56" Type="http://schemas.openxmlformats.org/officeDocument/2006/relationships/hyperlink" Target="http://www.nevo.co.il/case/5796872" TargetMode="External"/><Relationship Id="rId57" Type="http://schemas.openxmlformats.org/officeDocument/2006/relationships/hyperlink" Target="http://www.nevo.co.il/law/70301/355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law/70301/355" TargetMode="External"/><Relationship Id="rId60" Type="http://schemas.openxmlformats.org/officeDocument/2006/relationships/hyperlink" Target="http://www.nevo.co.il/law/70301" TargetMode="External"/><Relationship Id="rId61" Type="http://schemas.openxmlformats.org/officeDocument/2006/relationships/hyperlink" Target="http://www.nevo.co.il/law/70301/351.c.1" TargetMode="External"/><Relationship Id="rId62" Type="http://schemas.openxmlformats.org/officeDocument/2006/relationships/hyperlink" Target="http://www.nevo.co.il/law/70301/351.c.2" TargetMode="External"/><Relationship Id="rId63" Type="http://schemas.openxmlformats.org/officeDocument/2006/relationships/hyperlink" Target="http://www.nevo.co.il/law/70301/355.b" TargetMode="External"/><Relationship Id="rId64" Type="http://schemas.openxmlformats.org/officeDocument/2006/relationships/hyperlink" Target="http://supreme.court.gov.il/" TargetMode="External"/><Relationship Id="rId65" Type="http://schemas.openxmlformats.org/officeDocument/2006/relationships/hyperlink" Target="http://www.nevo.co.il/advertisements/nevo-100.doc" TargetMode="External"/><Relationship Id="rId66" Type="http://schemas.openxmlformats.org/officeDocument/2006/relationships/header" Target="header1.xml"/><Relationship Id="rId67" Type="http://schemas.openxmlformats.org/officeDocument/2006/relationships/footer" Target="footer1.xml"/><Relationship Id="rId68" Type="http://schemas.openxmlformats.org/officeDocument/2006/relationships/numbering" Target="numbering.xml"/><Relationship Id="rId69" Type="http://schemas.openxmlformats.org/officeDocument/2006/relationships/fontTable" Target="fontTable.xml"/><Relationship Id="rId70" Type="http://schemas.openxmlformats.org/officeDocument/2006/relationships/settings" Target="settings.xml"/><Relationship Id="rId7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2022-05-22T09:45:00Z</dcterms:created>
  <dc:creator> </dc:creator>
  <dc:description/>
  <cp:keywords/>
  <dc:language>en-IL</dc:language>
  <cp:lastModifiedBy>h1</cp:lastModifiedBy>
  <cp:lastPrinted>2019-08-22T12:33:00Z</cp:lastPrinted>
  <dcterms:modified xsi:type="dcterms:W3CDTF">2022-05-22T09:45:00Z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EE">
    <vt:lpwstr>מדינת ישראל</vt:lpwstr>
  </property>
  <property fmtid="{D5CDD505-2E9C-101B-9397-08002B2CF9AE}" pid="4" name="BOOKGROUPTMP1">
    <vt:lpwstr>3965:2</vt:lpwstr>
  </property>
  <property fmtid="{D5CDD505-2E9C-101B-9397-08002B2CF9AE}" pid="5" name="CASESLISTTMP1">
    <vt:lpwstr>5573130;23507393;22948019;16987316;6246489;5756128;5585445;6244892;6708658;6249234;5796872</vt:lpwstr>
  </property>
  <property fmtid="{D5CDD505-2E9C-101B-9397-08002B2CF9AE}" pid="6" name="DATE">
    <vt:lpwstr>20190822</vt:lpwstr>
  </property>
  <property fmtid="{D5CDD505-2E9C-101B-9397-08002B2CF9AE}" pid="7" name="ISABSTRACT">
    <vt:lpwstr>Y</vt:lpwstr>
  </property>
  <property fmtid="{D5CDD505-2E9C-101B-9397-08002B2CF9AE}" pid="8" name="JUDGE">
    <vt:lpwstr>ד' ברק ארז;מ' מזוז;א' שטיין</vt:lpwstr>
  </property>
  <property fmtid="{D5CDD505-2E9C-101B-9397-08002B2CF9AE}" pid="9" name="LAWLISTTMP1">
    <vt:lpwstr>70301/351.c.1:2;348.a;345.a.3;351.c.2:2;348.b;345.b.1;345.a.1;jCeS;34kb;fCa1S;355:7;355.b</vt:lpwstr>
  </property>
  <property fmtid="{D5CDD505-2E9C-101B-9397-08002B2CF9AE}" pid="10" name="LAWLISTTMP2">
    <vt:lpwstr>98569/009;054a.b</vt:lpwstr>
  </property>
  <property fmtid="{D5CDD505-2E9C-101B-9397-08002B2CF9AE}" pid="11" name="LAWYER">
    <vt:lpwstr>שרית משגב;ששי גז</vt:lpwstr>
  </property>
  <property fmtid="{D5CDD505-2E9C-101B-9397-08002B2CF9AE}" pid="12" name="METAKZER">
    <vt:lpwstr>פאני</vt:lpwstr>
  </property>
  <property fmtid="{D5CDD505-2E9C-101B-9397-08002B2CF9AE}" pid="13" name="NOSE11">
    <vt:lpwstr>עונשין</vt:lpwstr>
  </property>
  <property fmtid="{D5CDD505-2E9C-101B-9397-08002B2CF9AE}" pid="14" name="NOSE12">
    <vt:lpwstr>עונשין</vt:lpwstr>
  </property>
  <property fmtid="{D5CDD505-2E9C-101B-9397-08002B2CF9AE}" pid="15" name="NOSE13">
    <vt:lpwstr>עונשין</vt:lpwstr>
  </property>
  <property fmtid="{D5CDD505-2E9C-101B-9397-08002B2CF9AE}" pid="16" name="NOSE14">
    <vt:lpwstr>דיון פלילי</vt:lpwstr>
  </property>
  <property fmtid="{D5CDD505-2E9C-101B-9397-08002B2CF9AE}" pid="17" name="NOSE15">
    <vt:lpwstr>דיון פלילי</vt:lpwstr>
  </property>
  <property fmtid="{D5CDD505-2E9C-101B-9397-08002B2CF9AE}" pid="18" name="NOSE16">
    <vt:lpwstr>ראיות</vt:lpwstr>
  </property>
  <property fmtid="{D5CDD505-2E9C-101B-9397-08002B2CF9AE}" pid="19" name="NOSE17">
    <vt:lpwstr>ראיות</vt:lpwstr>
  </property>
  <property fmtid="{D5CDD505-2E9C-101B-9397-08002B2CF9AE}" pid="20" name="NOSE1ID">
    <vt:lpwstr>77;77;77;18;18;89;89</vt:lpwstr>
  </property>
  <property fmtid="{D5CDD505-2E9C-101B-9397-08002B2CF9AE}" pid="21" name="NOSE21">
    <vt:lpwstr>ענישה</vt:lpwstr>
  </property>
  <property fmtid="{D5CDD505-2E9C-101B-9397-08002B2CF9AE}" pid="22" name="NOSE22">
    <vt:lpwstr>ענישה</vt:lpwstr>
  </property>
  <property fmtid="{D5CDD505-2E9C-101B-9397-08002B2CF9AE}" pid="23" name="NOSE23">
    <vt:lpwstr>ענישה</vt:lpwstr>
  </property>
  <property fmtid="{D5CDD505-2E9C-101B-9397-08002B2CF9AE}" pid="24" name="NOSE24">
    <vt:lpwstr>ערעור</vt:lpwstr>
  </property>
  <property fmtid="{D5CDD505-2E9C-101B-9397-08002B2CF9AE}" pid="25" name="NOSE25">
    <vt:lpwstr>ערעור</vt:lpwstr>
  </property>
  <property fmtid="{D5CDD505-2E9C-101B-9397-08002B2CF9AE}" pid="26" name="NOSE26">
    <vt:lpwstr>מהימנות</vt:lpwstr>
  </property>
  <property fmtid="{D5CDD505-2E9C-101B-9397-08002B2CF9AE}" pid="27" name="NOSE27">
    <vt:lpwstr>קבילות</vt:lpwstr>
  </property>
  <property fmtid="{D5CDD505-2E9C-101B-9397-08002B2CF9AE}" pid="28" name="NOSE2ID">
    <vt:lpwstr>1446;1446;1446;504;504;1635;1661</vt:lpwstr>
  </property>
  <property fmtid="{D5CDD505-2E9C-101B-9397-08002B2CF9AE}" pid="29" name="NOSE31">
    <vt:lpwstr>מדיניות ענישה: עבירות מין במשפחה</vt:lpwstr>
  </property>
  <property fmtid="{D5CDD505-2E9C-101B-9397-08002B2CF9AE}" pid="30" name="NOSE32">
    <vt:lpwstr>מדיניות ענישה: התערבות ערכאת ערעור</vt:lpwstr>
  </property>
  <property fmtid="{D5CDD505-2E9C-101B-9397-08002B2CF9AE}" pid="31" name="NOSE33">
    <vt:lpwstr>עונשי מינימום</vt:lpwstr>
  </property>
  <property fmtid="{D5CDD505-2E9C-101B-9397-08002B2CF9AE}" pid="32" name="NOSE34">
    <vt:lpwstr>אי-התערבות בממצאים עובדתיים</vt:lpwstr>
  </property>
  <property fmtid="{D5CDD505-2E9C-101B-9397-08002B2CF9AE}" pid="33" name="NOSE35">
    <vt:lpwstr>אי-התערבות בחומרת העונש</vt:lpwstr>
  </property>
  <property fmtid="{D5CDD505-2E9C-101B-9397-08002B2CF9AE}" pid="34" name="NOSE36">
    <vt:lpwstr>התערבות ערכאת ערעור</vt:lpwstr>
  </property>
  <property fmtid="{D5CDD505-2E9C-101B-9397-08002B2CF9AE}" pid="35" name="NOSE37">
    <vt:lpwstr>אמרות של עד</vt:lpwstr>
  </property>
  <property fmtid="{D5CDD505-2E9C-101B-9397-08002B2CF9AE}" pid="36" name="NOSE3ID">
    <vt:lpwstr>16241;8982;9000;3849;17692;10199;10476</vt:lpwstr>
  </property>
  <property fmtid="{D5CDD505-2E9C-101B-9397-08002B2CF9AE}" pid="37" name="PADIDATE">
    <vt:lpwstr>20190825</vt:lpwstr>
  </property>
  <property fmtid="{D5CDD505-2E9C-101B-9397-08002B2CF9AE}" pid="38" name="PADIMAIL">
    <vt:lpwstr>YES</vt:lpwstr>
  </property>
  <property fmtid="{D5CDD505-2E9C-101B-9397-08002B2CF9AE}" pid="39" name="PROCESS">
    <vt:lpwstr>עפ</vt:lpwstr>
  </property>
  <property fmtid="{D5CDD505-2E9C-101B-9397-08002B2CF9AE}" pid="40" name="PROCNUM">
    <vt:lpwstr>9238</vt:lpwstr>
  </property>
  <property fmtid="{D5CDD505-2E9C-101B-9397-08002B2CF9AE}" pid="41" name="PROCYEAR">
    <vt:lpwstr>17</vt:lpwstr>
  </property>
  <property fmtid="{D5CDD505-2E9C-101B-9397-08002B2CF9AE}" pid="42" name="PSAKDIN">
    <vt:lpwstr>פסק-דין</vt:lpwstr>
  </property>
  <property fmtid="{D5CDD505-2E9C-101B-9397-08002B2CF9AE}" pid="43" name="TYPE">
    <vt:lpwstr>1</vt:lpwstr>
  </property>
  <property fmtid="{D5CDD505-2E9C-101B-9397-08002B2CF9AE}" pid="44" name="TYPE_ABS_DATE">
    <vt:lpwstr>410120190822</vt:lpwstr>
  </property>
  <property fmtid="{D5CDD505-2E9C-101B-9397-08002B2CF9AE}" pid="45" name="TYPE_N_DATE">
    <vt:lpwstr>41020190822</vt:lpwstr>
  </property>
  <property fmtid="{D5CDD505-2E9C-101B-9397-08002B2CF9AE}" pid="46" name="WORDNUMPAGES">
    <vt:lpwstr>9</vt:lpwstr>
  </property>
</Properties>
</file>