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9283/16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30.10.2016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46727-05-15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ארבל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אטרש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15.11.17</w:t>
      </w:r>
      <w:r>
        <w:rPr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ויסאם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ים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פרג</w:t>
      </w:r>
      <w:r>
        <w:rPr>
          <w:rtl w:val="true"/>
        </w:rPr>
        <w:t>'</w:t>
      </w:r>
      <w:r>
        <w:rPr>
          <w:rtl w:val="true"/>
        </w:rPr>
        <w:t>ון</w:t>
      </w:r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שהטילה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דבק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הכיעור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הטמונה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מנצל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הכוחות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הקורבנות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צלקות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עמוקות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ומותירים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בתפקודם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המכוונות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סלידתה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העמוקה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העמוקות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שנגרמות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במיגור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התופעה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ונמצאות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שרחשה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דודהּ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ארוכה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טיבם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דודהּ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לסייע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לנכדתו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להיחלץ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דודהּ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להדחתה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בחשיבותם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ונפשה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לפירוק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נישואיה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נכדתו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לחצים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הופעלו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והובילו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לבקש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מתלונתה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שמנעד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ובוודאי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מבוטלת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בהרחבה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ודאי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נ</w:t>
      </w:r>
      <w:r>
        <w:rPr>
          <w:rFonts w:cs="Times New Roman" w:ascii="Times New Roman" w:hAnsi="Times New Roman"/>
          <w:rtl w:val="true"/>
        </w:rPr>
        <w:t>.,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אטרש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אברהם</w:t>
      </w:r>
      <w:r>
        <w:rPr>
          <w:rtl w:val="true"/>
        </w:rPr>
        <w:t xml:space="preserve">),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30.10.2016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46727-05-15</w:t>
        </w:r>
      </w:hyperlink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11.5.2015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10.8.2015</w:t>
      </w:r>
      <w:r>
        <w:rPr>
          <w:rtl w:val="true"/>
        </w:rPr>
        <w:t xml:space="preserve">);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כוּון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הערותינו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23.12.2015</w:t>
      </w:r>
      <w:r>
        <w:rPr>
          <w:rtl w:val="true"/>
        </w:rPr>
        <w:t xml:space="preserve"> </w:t>
      </w:r>
      <w:r>
        <w:rPr>
          <w:rtl w:val="true"/>
        </w:rPr>
        <w:t>הוגש נגד המערער ואדם נוסף כתב אישום מתוקן המגולל שני אישומים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1953</w:t>
      </w:r>
      <w:r>
        <w:rPr>
          <w:rtl w:val="true"/>
        </w:rPr>
        <w:t xml:space="preserve">, </w:t>
      </w:r>
      <w:r>
        <w:rPr>
          <w:rtl w:val="true"/>
        </w:rPr>
        <w:t xml:space="preserve">הינו סבהּ של המתלוננת </w:t>
      </w:r>
      <w:r>
        <w:rPr>
          <w:rtl w:val="true"/>
        </w:rPr>
        <w:t>–</w:t>
      </w:r>
      <w:r>
        <w:rPr>
          <w:rtl w:val="true"/>
        </w:rPr>
        <w:t xml:space="preserve"> קטינה ילידת שנת </w:t>
      </w:r>
      <w:r>
        <w:rPr/>
        <w:t>1999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tl w:val="true"/>
        </w:rPr>
        <w:t xml:space="preserve">). </w:t>
      </w:r>
      <w:r>
        <w:rPr>
          <w:rtl w:val="true"/>
        </w:rPr>
        <w:t>הנאשם הנוסף בכתב האישום הינו חתנו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בעלה של אחות אֵם הקטינה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הדוד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המערער ו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התגוררו כולם בסמיכות זה לזה</w:t>
      </w:r>
      <w:r>
        <w:rPr>
          <w:rtl w:val="true"/>
        </w:rPr>
        <w:t xml:space="preserve">, </w:t>
      </w:r>
      <w:r>
        <w:rPr>
          <w:rtl w:val="true"/>
        </w:rPr>
        <w:t xml:space="preserve">באותו הכפר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הכפר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המתואר באישום הראשון</w:t>
      </w:r>
      <w:r>
        <w:rPr>
          <w:rtl w:val="true"/>
        </w:rPr>
        <w:t xml:space="preserve">, </w:t>
      </w:r>
      <w:r>
        <w:rPr>
          <w:rtl w:val="true"/>
        </w:rPr>
        <w:t>עובר למעשים המתוארים בכתב האישום</w:t>
      </w:r>
      <w:r>
        <w:rPr>
          <w:rtl w:val="true"/>
        </w:rPr>
        <w:t xml:space="preserve">, </w:t>
      </w:r>
      <w:r>
        <w:rPr>
          <w:rtl w:val="true"/>
        </w:rPr>
        <w:t>שררו בין הקטינה למערער</w:t>
      </w:r>
      <w:r>
        <w:rPr>
          <w:rtl w:val="true"/>
        </w:rPr>
        <w:t xml:space="preserve">, </w:t>
      </w:r>
      <w:r>
        <w:rPr>
          <w:rtl w:val="true"/>
        </w:rPr>
        <w:t>כנכדה וסב</w:t>
      </w:r>
      <w:r>
        <w:rPr>
          <w:rtl w:val="true"/>
        </w:rPr>
        <w:t xml:space="preserve">, </w:t>
      </w:r>
      <w:r>
        <w:rPr>
          <w:rtl w:val="true"/>
        </w:rPr>
        <w:t>יחסי אמון וקרבה</w:t>
      </w:r>
      <w:r>
        <w:rPr>
          <w:rtl w:val="true"/>
        </w:rPr>
        <w:t xml:space="preserve">. </w:t>
      </w:r>
      <w:r>
        <w:rPr>
          <w:rtl w:val="true"/>
        </w:rPr>
        <w:t xml:space="preserve">בראשית 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עת הייתה הקטינה 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סיפר המערער לקטינה </w:t>
      </w:r>
      <w:r>
        <w:rPr>
          <w:rFonts w:ascii="Century" w:hAnsi="Century" w:cs="Century"/>
          <w:sz w:val="22"/>
          <w:sz w:val="22"/>
          <w:rtl w:val="true"/>
        </w:rPr>
        <w:t>כי נ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מאוהב בה ומעוניין לפתח עימה קשר רומנטי</w:t>
      </w:r>
      <w:r>
        <w:rPr>
          <w:rtl w:val="true"/>
        </w:rPr>
        <w:t xml:space="preserve">. </w:t>
      </w:r>
      <w:r>
        <w:rPr>
          <w:rtl w:val="true"/>
        </w:rPr>
        <w:t>המערער עודד את הקטינה להסכים להצעותיו של נ</w:t>
      </w:r>
      <w:r>
        <w:rPr>
          <w:rtl w:val="true"/>
        </w:rPr>
        <w:t xml:space="preserve">', </w:t>
      </w:r>
      <w:r>
        <w:rPr>
          <w:rtl w:val="true"/>
        </w:rPr>
        <w:t>תוך שהוא מציין כי היא אפילו יכולה לקיים עימו יחסי מין וכי היא תהנה מכך</w:t>
      </w:r>
      <w:r>
        <w:rPr>
          <w:rtl w:val="true"/>
        </w:rPr>
        <w:t xml:space="preserve">. </w:t>
      </w:r>
      <w:r>
        <w:rPr>
          <w:rtl w:val="true"/>
        </w:rPr>
        <w:t>זמן מה לאחר אותה שיחה</w:t>
      </w:r>
      <w:r>
        <w:rPr>
          <w:rtl w:val="true"/>
        </w:rPr>
        <w:t xml:space="preserve">, </w:t>
      </w:r>
      <w:r>
        <w:rPr>
          <w:rtl w:val="true"/>
        </w:rPr>
        <w:t>הגיע נ</w:t>
      </w:r>
      <w:r>
        <w:rPr>
          <w:rtl w:val="true"/>
        </w:rPr>
        <w:t xml:space="preserve">' </w:t>
      </w:r>
      <w:r>
        <w:rPr>
          <w:rtl w:val="true"/>
        </w:rPr>
        <w:t>לבית הקטינה עת שהתה בו לבדה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סתם את פיה ואיים עליה כי אם תצעק יהרוג אותה</w:t>
      </w:r>
      <w:r>
        <w:rPr>
          <w:rtl w:val="true"/>
        </w:rPr>
        <w:t xml:space="preserve">, </w:t>
      </w:r>
      <w:r>
        <w:rPr>
          <w:rtl w:val="true"/>
        </w:rPr>
        <w:t>אחז בה בחוזקה</w:t>
      </w:r>
      <w:r>
        <w:rPr>
          <w:rtl w:val="true"/>
        </w:rPr>
        <w:t xml:space="preserve">, </w:t>
      </w:r>
      <w:r>
        <w:rPr>
          <w:rtl w:val="true"/>
        </w:rPr>
        <w:t>הפשיט אותה והחדיר את איבר מינו לפי הטבעת שלה</w:t>
      </w:r>
      <w:r>
        <w:rPr>
          <w:rtl w:val="true"/>
        </w:rPr>
        <w:t xml:space="preserve">, </w:t>
      </w:r>
      <w:r>
        <w:rPr>
          <w:rtl w:val="true"/>
        </w:rPr>
        <w:t>בעודה מתנגדת למעשיו</w:t>
      </w:r>
      <w:r>
        <w:rPr>
          <w:rtl w:val="true"/>
        </w:rPr>
        <w:t xml:space="preserve">. </w:t>
      </w:r>
      <w:r>
        <w:rPr>
          <w:rtl w:val="true"/>
        </w:rPr>
        <w:t>למחרת היום סיפרה הקטינה למערער על שהתרחש והוא הורה לה לשתף פעולה עם נ</w:t>
      </w:r>
      <w:r>
        <w:rPr>
          <w:rtl w:val="true"/>
        </w:rPr>
        <w:t xml:space="preserve">' </w:t>
      </w:r>
      <w:r>
        <w:rPr>
          <w:rtl w:val="true"/>
        </w:rPr>
        <w:t>ולהיענות 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במהלך שבעת החודשים שלאחר מכן</w:t>
      </w:r>
      <w:r>
        <w:rPr>
          <w:rtl w:val="true"/>
        </w:rPr>
        <w:t xml:space="preserve">, </w:t>
      </w:r>
      <w:r>
        <w:rPr>
          <w:rtl w:val="true"/>
        </w:rPr>
        <w:t>נהג נ</w:t>
      </w:r>
      <w:r>
        <w:rPr>
          <w:rtl w:val="true"/>
        </w:rPr>
        <w:t xml:space="preserve">' </w:t>
      </w:r>
      <w:r>
        <w:rPr>
          <w:rtl w:val="true"/>
        </w:rPr>
        <w:t>לפגוש את הקטינה על בסיס שבועי</w:t>
      </w:r>
      <w:r>
        <w:rPr>
          <w:rtl w:val="true"/>
        </w:rPr>
        <w:t xml:space="preserve">. </w:t>
      </w:r>
      <w:r>
        <w:rPr>
          <w:rtl w:val="true"/>
        </w:rPr>
        <w:t>המפגשים התקיימו לעיתים בביתה של הקטינה ולעיתים בחורשה הסמוכה לכפר</w:t>
      </w:r>
      <w:r>
        <w:rPr>
          <w:rtl w:val="true"/>
        </w:rPr>
        <w:t xml:space="preserve">. </w:t>
      </w:r>
      <w:r>
        <w:rPr>
          <w:rtl w:val="true"/>
        </w:rPr>
        <w:t>במהלך מפגשים אלה החדיר נ</w:t>
      </w:r>
      <w:r>
        <w:rPr>
          <w:rtl w:val="true"/>
        </w:rPr>
        <w:t xml:space="preserve">' </w:t>
      </w:r>
      <w:r>
        <w:rPr>
          <w:rtl w:val="true"/>
        </w:rPr>
        <w:t>את איבר מינו לפי הטבעת של הקטינה</w:t>
      </w:r>
      <w:r>
        <w:rPr>
          <w:rtl w:val="true"/>
        </w:rPr>
        <w:t xml:space="preserve">, </w:t>
      </w:r>
      <w:r>
        <w:rPr>
          <w:rtl w:val="true"/>
        </w:rPr>
        <w:t>בניגוד לרצונה</w:t>
      </w:r>
      <w:r>
        <w:rPr>
          <w:rtl w:val="true"/>
        </w:rPr>
        <w:t xml:space="preserve">, </w:t>
      </w:r>
      <w:r>
        <w:rPr>
          <w:rtl w:val="true"/>
        </w:rPr>
        <w:t>תוך שהוא מסב לה כאבים</w:t>
      </w:r>
      <w:r>
        <w:rPr>
          <w:rtl w:val="true"/>
        </w:rPr>
        <w:t xml:space="preserve">. </w:t>
      </w:r>
      <w:r>
        <w:rPr>
          <w:rtl w:val="true"/>
        </w:rPr>
        <w:t>אגב כך גם הצהיר באזניה הצהרות בדבר אהבתו אליה</w:t>
      </w:r>
      <w:r>
        <w:rPr>
          <w:rtl w:val="true"/>
        </w:rPr>
        <w:t xml:space="preserve">. </w:t>
      </w:r>
      <w:r>
        <w:rPr>
          <w:rtl w:val="true"/>
        </w:rPr>
        <w:t>כל אותה העת ידע המערער על אודות הקשר בין נ</w:t>
      </w:r>
      <w:r>
        <w:rPr>
          <w:rtl w:val="true"/>
        </w:rPr>
        <w:t xml:space="preserve">' </w:t>
      </w:r>
      <w:r>
        <w:rPr>
          <w:rtl w:val="true"/>
        </w:rPr>
        <w:t>לקטינה ועל המעשים אותם הוא מבצע בה</w:t>
      </w:r>
      <w:r>
        <w:rPr>
          <w:rtl w:val="true"/>
        </w:rPr>
        <w:t xml:space="preserve">. </w:t>
      </w:r>
      <w:r>
        <w:rPr>
          <w:rtl w:val="true"/>
        </w:rPr>
        <w:t>נוכח תמיכתו של המערער במעשי נ</w:t>
      </w:r>
      <w:r>
        <w:rPr>
          <w:rtl w:val="true"/>
        </w:rPr>
        <w:t xml:space="preserve">', </w:t>
      </w:r>
      <w:r>
        <w:rPr>
          <w:rtl w:val="true"/>
        </w:rPr>
        <w:t>המשיכה הקטינה לשתף פעולה עם נ</w:t>
      </w:r>
      <w:r>
        <w:rPr>
          <w:rtl w:val="true"/>
        </w:rPr>
        <w:t xml:space="preserve">' </w:t>
      </w:r>
      <w:r>
        <w:rPr>
          <w:rtl w:val="true"/>
        </w:rPr>
        <w:t>ונמנעה מלדווח בדבר המעשים להוריה או לכל גורם אחר</w:t>
      </w:r>
      <w:r>
        <w:rPr>
          <w:rtl w:val="true"/>
        </w:rPr>
        <w:t xml:space="preserve">. </w:t>
      </w:r>
      <w:r>
        <w:rPr>
          <w:rtl w:val="true"/>
        </w:rPr>
        <w:t>במהלך אותה תקופה</w:t>
      </w:r>
      <w:r>
        <w:rPr>
          <w:rtl w:val="true"/>
        </w:rPr>
        <w:t xml:space="preserve">, </w:t>
      </w:r>
      <w:r>
        <w:rPr>
          <w:rtl w:val="true"/>
        </w:rPr>
        <w:t>הורה נ</w:t>
      </w:r>
      <w:r>
        <w:rPr>
          <w:rtl w:val="true"/>
        </w:rPr>
        <w:t xml:space="preserve">' </w:t>
      </w:r>
      <w:r>
        <w:rPr>
          <w:rtl w:val="true"/>
        </w:rPr>
        <w:t>לקטינה לצלם את עצמה</w:t>
      </w:r>
      <w:r>
        <w:rPr>
          <w:rtl w:val="true"/>
        </w:rPr>
        <w:t xml:space="preserve">, </w:t>
      </w:r>
      <w:r>
        <w:rPr>
          <w:rtl w:val="true"/>
        </w:rPr>
        <w:t>לעיתים בעירום ולעיתים בבגדים תחתונים ולשלוח אליו את התמונות</w:t>
      </w:r>
      <w:r>
        <w:rPr>
          <w:rtl w:val="true"/>
        </w:rPr>
        <w:t xml:space="preserve">, </w:t>
      </w:r>
      <w:r>
        <w:rPr>
          <w:rtl w:val="true"/>
        </w:rPr>
        <w:t>זאת תוך שהוא מאיים עליה</w:t>
      </w:r>
      <w:r>
        <w:rPr>
          <w:rtl w:val="true"/>
        </w:rPr>
        <w:t xml:space="preserve">. </w:t>
      </w:r>
      <w:r>
        <w:rPr>
          <w:rtl w:val="true"/>
        </w:rPr>
        <w:t>הקטינה פעלה כמצוותו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במהלך חודש פברואר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יצר נ</w:t>
      </w:r>
      <w:r>
        <w:rPr>
          <w:rtl w:val="true"/>
        </w:rPr>
        <w:t xml:space="preserve">' </w:t>
      </w:r>
      <w:r>
        <w:rPr>
          <w:rtl w:val="true"/>
        </w:rPr>
        <w:t>קשר עם חברתה לכיתה של הקטינה באמצעות מכשיר טלפון סלולארי אותו ביקש מהקטינה להעביר לה</w:t>
      </w:r>
      <w:r>
        <w:rPr>
          <w:rtl w:val="true"/>
        </w:rPr>
        <w:t xml:space="preserve">. </w:t>
      </w:r>
      <w:r>
        <w:rPr>
          <w:rtl w:val="true"/>
        </w:rPr>
        <w:t>משנודע דבר הקשר להוריה של החברה</w:t>
      </w:r>
      <w:r>
        <w:rPr>
          <w:rtl w:val="true"/>
        </w:rPr>
        <w:t xml:space="preserve">, </w:t>
      </w:r>
      <w:r>
        <w:rPr>
          <w:rtl w:val="true"/>
        </w:rPr>
        <w:t>הם דיווחו על כך למנהלת בית הספר</w:t>
      </w:r>
      <w:r>
        <w:rPr>
          <w:rtl w:val="true"/>
        </w:rPr>
        <w:t xml:space="preserve">, </w:t>
      </w:r>
      <w:r>
        <w:rPr>
          <w:rtl w:val="true"/>
        </w:rPr>
        <w:t>וזו החרימה את מכשיר הטלפון והקשר בין השניים נותק</w:t>
      </w:r>
      <w:r>
        <w:rPr>
          <w:rtl w:val="true"/>
        </w:rPr>
        <w:t xml:space="preserve">. </w:t>
      </w:r>
      <w:r>
        <w:rPr>
          <w:rtl w:val="true"/>
        </w:rPr>
        <w:t>בנסיבות אלו זומנה הקטינה לשיחה עם מנהלת בית הספר</w:t>
      </w:r>
      <w:r>
        <w:rPr>
          <w:rtl w:val="true"/>
        </w:rPr>
        <w:t xml:space="preserve">. </w:t>
      </w:r>
      <w:r>
        <w:rPr>
          <w:rtl w:val="true"/>
        </w:rPr>
        <w:t>הקטינה חשפה בפניה את דבר הקשר עם נ</w:t>
      </w:r>
      <w:r>
        <w:rPr>
          <w:rtl w:val="true"/>
        </w:rPr>
        <w:t xml:space="preserve">' </w:t>
      </w:r>
      <w:r>
        <w:rPr>
          <w:rtl w:val="true"/>
        </w:rPr>
        <w:t>וכן סיפרה לה על חלק מן המעשים שהוא מבצע בה</w:t>
      </w:r>
      <w:r>
        <w:rPr>
          <w:rtl w:val="true"/>
        </w:rPr>
        <w:t xml:space="preserve">. </w:t>
      </w:r>
      <w:r>
        <w:rPr>
          <w:rtl w:val="true"/>
        </w:rPr>
        <w:t>לאחר השיחה פנתה הקטינה אל המערער וסיפרה לו כי חשפה בפני המנהלת את דבר קשריה עם נ</w:t>
      </w:r>
      <w:r>
        <w:rPr>
          <w:rtl w:val="true"/>
        </w:rPr>
        <w:t xml:space="preserve">'. </w:t>
      </w:r>
      <w:r>
        <w:rPr>
          <w:rtl w:val="true"/>
        </w:rPr>
        <w:t>המערער עדכן בכך את נ</w:t>
      </w:r>
      <w:r>
        <w:rPr>
          <w:rtl w:val="true"/>
        </w:rPr>
        <w:t xml:space="preserve">' </w:t>
      </w:r>
      <w:r>
        <w:rPr>
          <w:rtl w:val="true"/>
        </w:rPr>
        <w:t>והשניים הורו לה להכחיש הכל</w:t>
      </w:r>
      <w:r>
        <w:rPr>
          <w:rtl w:val="true"/>
        </w:rPr>
        <w:t xml:space="preserve">. </w:t>
      </w:r>
      <w:r>
        <w:rPr>
          <w:rtl w:val="true"/>
        </w:rPr>
        <w:t>בעקבות הדיווח שהעבירה המנהלת נפתחה חקירה משטרתית במסגרתה נגבתה הודעה מהקטינה</w:t>
      </w:r>
      <w:r>
        <w:rPr>
          <w:rtl w:val="true"/>
        </w:rPr>
        <w:t xml:space="preserve">, </w:t>
      </w:r>
      <w:r>
        <w:rPr>
          <w:rtl w:val="true"/>
        </w:rPr>
        <w:t>אולם זו הכחישה בפני החוקרים את דבריה הקודמים</w:t>
      </w:r>
      <w:r>
        <w:rPr>
          <w:rtl w:val="true"/>
        </w:rPr>
        <w:t xml:space="preserve">, </w:t>
      </w:r>
      <w:r>
        <w:rPr>
          <w:rtl w:val="true"/>
        </w:rPr>
        <w:t>מה שהוביל לסגירת תיק החקירה</w:t>
      </w:r>
      <w:r>
        <w:rPr>
          <w:rtl w:val="true"/>
        </w:rPr>
        <w:t xml:space="preserve">. </w:t>
      </w:r>
      <w:r>
        <w:rPr>
          <w:rtl w:val="true"/>
        </w:rPr>
        <w:t>כעבור זמן מה הגיע המערער לבית הספר וביקש מהמנהלת את מכשיר הטלפון המוחרם</w:t>
      </w:r>
      <w:r>
        <w:rPr>
          <w:rtl w:val="true"/>
        </w:rPr>
        <w:t xml:space="preserve">, </w:t>
      </w:r>
      <w:r>
        <w:rPr>
          <w:rtl w:val="true"/>
        </w:rPr>
        <w:t>תוך שהוא מספר לה כי הקטינה פנתה אליו בבקשת עזרה וכי חשפה בפניו את דבר הקשר עם נ</w:t>
      </w:r>
      <w:r>
        <w:rPr>
          <w:rtl w:val="true"/>
        </w:rPr>
        <w:t xml:space="preserve">'. </w:t>
      </w:r>
      <w:r>
        <w:rPr>
          <w:rtl w:val="true"/>
        </w:rPr>
        <w:t>נוכח דבריו סברה המנהלת כי הסיפור מטופל כראוי על ידי המערער והשיבה לידיו את מכשיר הטלפון שהיה בידיה</w:t>
      </w:r>
      <w:r>
        <w:rPr>
          <w:rtl w:val="true"/>
        </w:rPr>
        <w:t xml:space="preserve">. </w:t>
      </w:r>
      <w:r>
        <w:rPr>
          <w:rtl w:val="true"/>
        </w:rPr>
        <w:t>כעבור מספר ימים ביקרה הקטינה בביתו של המערער</w:t>
      </w:r>
      <w:r>
        <w:rPr>
          <w:rtl w:val="true"/>
        </w:rPr>
        <w:t xml:space="preserve">. </w:t>
      </w:r>
      <w:r>
        <w:rPr>
          <w:rtl w:val="true"/>
        </w:rPr>
        <w:t>המערער אמר לקטינה כי בתמורה לכך שהלך לבית הספר וטיפל עבורה במצב הוא מעוניין לקיים עמה יחסי מין</w:t>
      </w:r>
      <w:r>
        <w:rPr>
          <w:rtl w:val="true"/>
        </w:rPr>
        <w:t xml:space="preserve">. </w:t>
      </w:r>
      <w:r>
        <w:rPr>
          <w:rtl w:val="true"/>
        </w:rPr>
        <w:t>הקטינה התנגדה והמערער הרפה ממנה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במהלך 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במספר הזדמנויות הורה נ</w:t>
      </w:r>
      <w:r>
        <w:rPr>
          <w:rtl w:val="true"/>
        </w:rPr>
        <w:t xml:space="preserve">' </w:t>
      </w:r>
      <w:r>
        <w:rPr>
          <w:rtl w:val="true"/>
        </w:rPr>
        <w:t>לקטינה לקיים יחסי מין עם חבריו תוך שאיים עליה כי אם לא תעשה כן יחשוף בכפר את דבר הקשר שלהם</w:t>
      </w:r>
      <w:r>
        <w:rPr>
          <w:rtl w:val="true"/>
        </w:rPr>
        <w:t xml:space="preserve">, </w:t>
      </w:r>
      <w:r>
        <w:rPr>
          <w:rtl w:val="true"/>
        </w:rPr>
        <w:t>יפגע בשמה הטוב או יפגע בה</w:t>
      </w:r>
      <w:r>
        <w:rPr>
          <w:rtl w:val="true"/>
        </w:rPr>
        <w:t xml:space="preserve">. </w:t>
      </w:r>
      <w:r>
        <w:rPr>
          <w:rtl w:val="true"/>
        </w:rPr>
        <w:t xml:space="preserve">לקראת סוף 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הגיעה לידי אשתו של נ</w:t>
      </w:r>
      <w:r>
        <w:rPr>
          <w:rtl w:val="true"/>
        </w:rPr>
        <w:t xml:space="preserve">' </w:t>
      </w:r>
      <w:r>
        <w:rPr>
          <w:rtl w:val="true"/>
        </w:rPr>
        <w:t>הקלטת שיחה בינו לבין הקטינה</w:t>
      </w:r>
      <w:r>
        <w:rPr>
          <w:rtl w:val="true"/>
        </w:rPr>
        <w:t xml:space="preserve">, </w:t>
      </w:r>
      <w:r>
        <w:rPr>
          <w:rtl w:val="true"/>
        </w:rPr>
        <w:t>המעידה על הקשר ביניהם</w:t>
      </w:r>
      <w:r>
        <w:rPr>
          <w:rtl w:val="true"/>
        </w:rPr>
        <w:t xml:space="preserve">. </w:t>
      </w:r>
      <w:r>
        <w:rPr>
          <w:rtl w:val="true"/>
        </w:rPr>
        <w:t>לאחר שפנתה לאימה של הקטינה</w:t>
      </w:r>
      <w:r>
        <w:rPr>
          <w:rtl w:val="true"/>
        </w:rPr>
        <w:t xml:space="preserve">, </w:t>
      </w:r>
      <w:r>
        <w:rPr>
          <w:rtl w:val="true"/>
        </w:rPr>
        <w:t>מכשיר הטלפון של הקטינה נלקח ממנה והקשר בין הקטינה לבין נ</w:t>
      </w:r>
      <w:r>
        <w:rPr>
          <w:rtl w:val="true"/>
        </w:rPr>
        <w:t xml:space="preserve">' </w:t>
      </w:r>
      <w:r>
        <w:rPr>
          <w:rtl w:val="true"/>
        </w:rPr>
        <w:t>נותק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בראשית 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הקטינה התארסה</w:t>
      </w:r>
      <w:r>
        <w:rPr>
          <w:rtl w:val="true"/>
        </w:rPr>
        <w:t xml:space="preserve">. </w:t>
      </w:r>
      <w:r>
        <w:rPr>
          <w:rtl w:val="true"/>
        </w:rPr>
        <w:t>זמן קצר לפני אירוסיה ביקרה בבית המערער</w:t>
      </w:r>
      <w:r>
        <w:rPr>
          <w:rtl w:val="true"/>
        </w:rPr>
        <w:t xml:space="preserve">. </w:t>
      </w:r>
      <w:r>
        <w:rPr>
          <w:rtl w:val="true"/>
        </w:rPr>
        <w:t>בעת שהיו לבדם אחז המערער את הקטינה בידיה וניסה להצמידה אליו ולנשקה</w:t>
      </w:r>
      <w:r>
        <w:rPr>
          <w:rtl w:val="true"/>
        </w:rPr>
        <w:t xml:space="preserve">. </w:t>
      </w:r>
      <w:r>
        <w:rPr>
          <w:rtl w:val="true"/>
        </w:rPr>
        <w:t>הקטינה הדפה את המערער מעליה ונמלטה מן המקום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בחודש אפריל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מספר ימים לפני מסיבת החתונה</w:t>
      </w:r>
      <w:r>
        <w:rPr>
          <w:rtl w:val="true"/>
        </w:rPr>
        <w:t xml:space="preserve">, </w:t>
      </w:r>
      <w:r>
        <w:rPr>
          <w:rtl w:val="true"/>
        </w:rPr>
        <w:t>התקשר נ</w:t>
      </w:r>
      <w:r>
        <w:rPr>
          <w:rtl w:val="true"/>
        </w:rPr>
        <w:t xml:space="preserve">' </w:t>
      </w:r>
      <w:r>
        <w:rPr>
          <w:rtl w:val="true"/>
        </w:rPr>
        <w:t>אל הקטינה והודיע לה כי הוא מתכנן לפגוע בשמחת חתונתה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הבהיר לקטינה כי הוא עודנו מחזיק בתמונות העירום שלה</w:t>
      </w:r>
      <w:r>
        <w:rPr>
          <w:rtl w:val="true"/>
        </w:rPr>
        <w:t xml:space="preserve">, </w:t>
      </w:r>
      <w:r>
        <w:rPr>
          <w:rtl w:val="true"/>
        </w:rPr>
        <w:t>אך טרם החליט מה ברצונו לעשות בהן</w:t>
      </w:r>
      <w:r>
        <w:rPr>
          <w:rtl w:val="true"/>
        </w:rPr>
        <w:t xml:space="preserve">. </w:t>
      </w:r>
      <w:r>
        <w:rPr>
          <w:rtl w:val="true"/>
        </w:rPr>
        <w:t>בהמשך התקשר אליה והודיע לה כי העביר את התמונות לאדם אחר מהכפר</w:t>
      </w:r>
      <w:r>
        <w:rPr>
          <w:rtl w:val="true"/>
        </w:rPr>
        <w:t xml:space="preserve">, </w:t>
      </w:r>
      <w:r>
        <w:rPr>
          <w:rtl w:val="true"/>
        </w:rPr>
        <w:t xml:space="preserve">אשר מאיים כי יפיץ אותן אם לא ישולם לו 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הורה לקטינה לשלם מחצית מן הסכום</w:t>
      </w:r>
      <w:r>
        <w:rPr>
          <w:rtl w:val="true"/>
        </w:rPr>
        <w:t xml:space="preserve">. </w:t>
      </w:r>
      <w:r>
        <w:rPr>
          <w:rtl w:val="true"/>
        </w:rPr>
        <w:t>לאור החשש הגדול שמא יופצו תמונותיה</w:t>
      </w:r>
      <w:r>
        <w:rPr>
          <w:rtl w:val="true"/>
        </w:rPr>
        <w:t xml:space="preserve">, </w:t>
      </w:r>
      <w:r>
        <w:rPr>
          <w:rtl w:val="true"/>
        </w:rPr>
        <w:t>הסכימה הקטינה להעביר לנ</w:t>
      </w:r>
      <w:r>
        <w:rPr>
          <w:rtl w:val="true"/>
        </w:rPr>
        <w:t xml:space="preserve">' </w:t>
      </w:r>
      <w:r>
        <w:rPr>
          <w:rtl w:val="true"/>
        </w:rPr>
        <w:t>צמיד זהב שקיבלה ממשפחת החתן לרגל חתונתה</w:t>
      </w:r>
      <w:r>
        <w:rPr>
          <w:rtl w:val="true"/>
        </w:rPr>
        <w:t xml:space="preserve">, </w:t>
      </w:r>
      <w:r>
        <w:rPr>
          <w:rtl w:val="true"/>
        </w:rPr>
        <w:t xml:space="preserve">אשר שוויו מוערך בסך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לאחר שנישאו השניים</w:t>
      </w:r>
      <w:r>
        <w:rPr>
          <w:rtl w:val="true"/>
        </w:rPr>
        <w:t xml:space="preserve">, </w:t>
      </w:r>
      <w:r>
        <w:rPr>
          <w:rtl w:val="true"/>
        </w:rPr>
        <w:t>נודע למשפחותיהם של הקטינה ושל חתנה דבר היעלמותו של הצמיד</w:t>
      </w:r>
      <w:r>
        <w:rPr>
          <w:rtl w:val="true"/>
        </w:rPr>
        <w:t xml:space="preserve">, </w:t>
      </w:r>
      <w:r>
        <w:rPr>
          <w:rtl w:val="true"/>
        </w:rPr>
        <w:t>הקטינה סיפרה לאימה כי מסרה אותו לנ</w:t>
      </w:r>
      <w:r>
        <w:rPr>
          <w:rtl w:val="true"/>
        </w:rPr>
        <w:t xml:space="preserve">'. </w:t>
      </w:r>
      <w:r>
        <w:rPr>
          <w:rtl w:val="true"/>
        </w:rPr>
        <w:t>כעבור מספר ימים הודה נ</w:t>
      </w:r>
      <w:r>
        <w:rPr>
          <w:rtl w:val="true"/>
        </w:rPr>
        <w:t xml:space="preserve">' </w:t>
      </w:r>
      <w:r>
        <w:rPr>
          <w:rtl w:val="true"/>
        </w:rPr>
        <w:t>בפני הורי הקטינה והורי חתנה כי סחט את הצמיד באיומים מהקטינה</w:t>
      </w:r>
      <w:r>
        <w:rPr>
          <w:rtl w:val="true"/>
        </w:rPr>
        <w:t xml:space="preserve">, </w:t>
      </w:r>
      <w:r>
        <w:rPr>
          <w:rtl w:val="true"/>
        </w:rPr>
        <w:t>לאחר שאיים עליה כי תמונותיה יופצו</w:t>
      </w:r>
      <w:r>
        <w:rPr>
          <w:rtl w:val="true"/>
        </w:rPr>
        <w:t xml:space="preserve">. </w:t>
      </w:r>
      <w:r>
        <w:rPr>
          <w:rtl w:val="true"/>
        </w:rPr>
        <w:t>למחרת השיב נ</w:t>
      </w:r>
      <w:r>
        <w:rPr>
          <w:rtl w:val="true"/>
        </w:rPr>
        <w:t xml:space="preserve">' </w:t>
      </w:r>
      <w:r>
        <w:rPr>
          <w:rtl w:val="true"/>
        </w:rPr>
        <w:t>את הצמיד למשפחת החתן</w:t>
      </w:r>
      <w:r>
        <w:rPr>
          <w:rtl w:val="true"/>
        </w:rPr>
        <w:t xml:space="preserve">. </w:t>
      </w:r>
      <w:r>
        <w:rPr>
          <w:rtl w:val="true"/>
        </w:rPr>
        <w:t>בהמשך ביקשו בני משפחת החתן לברר עם הקטינה את נסיבות מסירת הצמיד לנ</w:t>
      </w:r>
      <w:r>
        <w:rPr>
          <w:rtl w:val="true"/>
        </w:rPr>
        <w:t xml:space="preserve">' </w:t>
      </w:r>
      <w:r>
        <w:rPr>
          <w:rtl w:val="true"/>
        </w:rPr>
        <w:t>והיא חשפה בפניהם את מעורבותו של המערער בסיפור</w:t>
      </w:r>
      <w:r>
        <w:rPr>
          <w:rtl w:val="true"/>
        </w:rPr>
        <w:t xml:space="preserve">. </w:t>
      </w:r>
      <w:r>
        <w:rPr>
          <w:rtl w:val="true"/>
        </w:rPr>
        <w:t>בתגובה חשף המערער בפני הורי הקטינה</w:t>
      </w:r>
      <w:r>
        <w:rPr>
          <w:rtl w:val="true"/>
        </w:rPr>
        <w:t xml:space="preserve">, </w:t>
      </w:r>
      <w:r>
        <w:rPr>
          <w:rtl w:val="true"/>
        </w:rPr>
        <w:t>החתן והוריו את מסכת עבירות המין אותן ביצע נ</w:t>
      </w:r>
      <w:r>
        <w:rPr>
          <w:rtl w:val="true"/>
        </w:rPr>
        <w:t xml:space="preserve">' </w:t>
      </w:r>
      <w:r>
        <w:rPr>
          <w:rtl w:val="true"/>
        </w:rPr>
        <w:t>בקטינה במהלך השנה שחלפה</w:t>
      </w:r>
      <w:r>
        <w:rPr>
          <w:rtl w:val="true"/>
        </w:rPr>
        <w:t xml:space="preserve">. </w:t>
      </w:r>
      <w:r>
        <w:rPr>
          <w:rtl w:val="true"/>
        </w:rPr>
        <w:t>בעקבות חשיפת הדברים</w:t>
      </w:r>
      <w:r>
        <w:rPr>
          <w:rtl w:val="true"/>
        </w:rPr>
        <w:t xml:space="preserve">, </w:t>
      </w:r>
      <w:r>
        <w:rPr>
          <w:rtl w:val="true"/>
        </w:rPr>
        <w:t>חתנה של הקטינה גירש אותה והיא שבה לבית הוריה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אישום זה יוחסו למערער העבירות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מעשה סדום בנסיבות אינוס במשפחה </w:t>
      </w:r>
      <w:r>
        <w:rPr>
          <w:rtl w:val="true"/>
        </w:rPr>
        <w:t>(</w:t>
      </w:r>
      <w:r>
        <w:rPr>
          <w:rtl w:val="true"/>
        </w:rPr>
        <w:t>מקרים רבים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מעשה סדום במשפחה </w:t>
      </w:r>
      <w:r>
        <w:rPr>
          <w:rtl w:val="true"/>
        </w:rPr>
        <w:t>(</w:t>
      </w:r>
      <w:r>
        <w:rPr>
          <w:rtl w:val="true"/>
        </w:rPr>
        <w:t>מקרים רבים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מעשה מגונה בנסיבות אינוס במשפחה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הדחה בחקירה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לנ</w:t>
      </w:r>
      <w:r>
        <w:rPr>
          <w:rtl w:val="true"/>
        </w:rPr>
        <w:t xml:space="preserve">' </w:t>
      </w:r>
      <w:r>
        <w:rPr>
          <w:rtl w:val="true"/>
        </w:rPr>
        <w:t>יוחסו עבירות אלו וגם עבירות נוספות והן</w:t>
      </w:r>
      <w:r>
        <w:rPr>
          <w:rtl w:val="true"/>
        </w:rPr>
        <w:t xml:space="preserve">: </w:t>
      </w:r>
      <w:r>
        <w:rPr>
          <w:rtl w:val="true"/>
        </w:rPr>
        <w:t xml:space="preserve">הבאת קטין לידי מעשה זנות בנסיבות מחמירות </w:t>
      </w:r>
      <w:r>
        <w:rPr>
          <w:rtl w:val="true"/>
        </w:rPr>
        <w:t>(</w:t>
      </w:r>
      <w:r>
        <w:rPr>
          <w:rtl w:val="true"/>
        </w:rPr>
        <w:t>שני מקרים</w:t>
      </w:r>
      <w:r>
        <w:rPr>
          <w:rtl w:val="true"/>
        </w:rPr>
        <w:t xml:space="preserve">); </w:t>
      </w:r>
      <w:r>
        <w:rPr>
          <w:rtl w:val="true"/>
        </w:rPr>
        <w:t>ניסיון להבאת קטין לידי מעשה זנות בנסיבות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סחיטה באיומים </w:t>
      </w:r>
      <w:r>
        <w:rPr>
          <w:rtl w:val="true"/>
        </w:rPr>
        <w:t>(</w:t>
      </w:r>
      <w:r>
        <w:rPr>
          <w:rtl w:val="true"/>
        </w:rPr>
        <w:t>מקרים רבים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במסגרת האישום השני בכתב האישום המתוקן נטען כי במהלך 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נסע המערער ברכבו ביחד עם אחותה של הקטינה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2002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האחות</w:t>
      </w:r>
      <w:r>
        <w:rPr>
          <w:rtl w:val="true"/>
        </w:rPr>
        <w:t xml:space="preserve">). </w:t>
      </w:r>
      <w:r>
        <w:rPr>
          <w:rtl w:val="true"/>
        </w:rPr>
        <w:t xml:space="preserve">במהלך הנסיעה שיתף המערער את האחות בכך שכאשר מקלידים את האותיות </w:t>
      </w:r>
      <w:r>
        <w:rPr/>
        <w:t>XXX</w:t>
      </w:r>
      <w:r>
        <w:rPr>
          <w:rtl w:val="true"/>
        </w:rPr>
        <w:t xml:space="preserve"> </w:t>
      </w:r>
      <w:r>
        <w:rPr>
          <w:rtl w:val="true"/>
        </w:rPr>
        <w:t>במנוע החיפוש באינטרנט</w:t>
      </w:r>
      <w:r>
        <w:rPr>
          <w:rtl w:val="true"/>
        </w:rPr>
        <w:t xml:space="preserve">, </w:t>
      </w:r>
      <w:r>
        <w:rPr>
          <w:rtl w:val="true"/>
        </w:rPr>
        <w:t>מתקבלות תוצאות המובילות לאתרי מין ולסרטים פורנוגרפיים</w:t>
      </w:r>
      <w:r>
        <w:rPr>
          <w:rtl w:val="true"/>
        </w:rPr>
        <w:t xml:space="preserve">. </w:t>
      </w:r>
      <w:r>
        <w:rPr>
          <w:rtl w:val="true"/>
        </w:rPr>
        <w:t>עוד שיתף המערער את האחות בתוכנם של הסרטים האמורים</w:t>
      </w:r>
      <w:r>
        <w:rPr>
          <w:rtl w:val="true"/>
        </w:rPr>
        <w:t xml:space="preserve">. </w:t>
      </w:r>
      <w:r>
        <w:rPr>
          <w:rtl w:val="true"/>
        </w:rPr>
        <w:t>האחות סירבה להקשיב למערער</w:t>
      </w:r>
      <w:r>
        <w:rPr>
          <w:rtl w:val="true"/>
        </w:rPr>
        <w:t xml:space="preserve">. </w:t>
      </w:r>
      <w:r>
        <w:rPr>
          <w:rtl w:val="true"/>
        </w:rPr>
        <w:t xml:space="preserve">במסגרת אישום זה יוחסה למערער עבירת מעשה מגונה בנסיבות אינוס במשפחה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18.9.2016</w:t>
      </w:r>
      <w:r>
        <w:rPr>
          <w:rtl w:val="true"/>
        </w:rPr>
        <w:t xml:space="preserve"> </w:t>
      </w:r>
      <w:r>
        <w:rPr>
          <w:rtl w:val="true"/>
        </w:rPr>
        <w:t>ניתנה הכרעת הדין בעניינו של המערער</w:t>
      </w:r>
      <w:r>
        <w:rPr>
          <w:rtl w:val="true"/>
        </w:rPr>
        <w:t xml:space="preserve">. </w:t>
      </w:r>
      <w:r>
        <w:rPr>
          <w:rtl w:val="true"/>
        </w:rPr>
        <w:t>במסגרת ההליכים שהתקיימו בפני בית המשפט המחוזי ביקשה הקטינה לחזור בה מתלונתה</w:t>
      </w:r>
      <w:r>
        <w:rPr>
          <w:rtl w:val="true"/>
        </w:rPr>
        <w:t xml:space="preserve">, </w:t>
      </w:r>
      <w:r>
        <w:rPr>
          <w:rtl w:val="true"/>
        </w:rPr>
        <w:t>וזאת על אף שציינה כי כל הדברים שאמרה בעבר נכונים</w:t>
      </w:r>
      <w:r>
        <w:rPr>
          <w:rtl w:val="true"/>
        </w:rPr>
        <w:t xml:space="preserve">. </w:t>
      </w:r>
      <w:r>
        <w:rPr>
          <w:rtl w:val="true"/>
        </w:rPr>
        <w:t>בית המשפט קבע כי עיון זהיר בהודעות שמסרה הקטינה ושילובן יחד עם עדותה בפני בית המשפט והודעותיהם של העדים הנוספים</w:t>
      </w:r>
      <w:r>
        <w:rPr>
          <w:rtl w:val="true"/>
        </w:rPr>
        <w:t xml:space="preserve">, </w:t>
      </w:r>
      <w:r>
        <w:rPr>
          <w:rtl w:val="true"/>
        </w:rPr>
        <w:t>מביאים לידי מסקנה כי הגרסה שהיא מסרה כנה ומהימנה</w:t>
      </w:r>
      <w:r>
        <w:rPr>
          <w:rtl w:val="true"/>
        </w:rPr>
        <w:t xml:space="preserve">, </w:t>
      </w:r>
      <w:r>
        <w:rPr>
          <w:rtl w:val="true"/>
        </w:rPr>
        <w:t xml:space="preserve">וכי יש לתת אמון מלא בגרסתה </w:t>
      </w:r>
      <w:r>
        <w:rPr>
          <w:rtl w:val="true"/>
        </w:rPr>
        <w:t>–</w:t>
      </w:r>
      <w:r>
        <w:rPr>
          <w:rtl w:val="true"/>
        </w:rPr>
        <w:t xml:space="preserve"> הן בנוגע למעשיו של המערער והן בנוגע למעורבותו ולידיעתו באשר למעשיו השפלים של נ</w:t>
      </w:r>
      <w:r>
        <w:rPr>
          <w:rtl w:val="true"/>
        </w:rPr>
        <w:t xml:space="preserve">' </w:t>
      </w:r>
      <w:r>
        <w:rPr>
          <w:rtl w:val="true"/>
        </w:rPr>
        <w:t>בה ובגופה</w:t>
      </w:r>
      <w:r>
        <w:rPr>
          <w:rtl w:val="true"/>
        </w:rPr>
        <w:t xml:space="preserve">. </w:t>
      </w:r>
      <w:r>
        <w:rPr>
          <w:rtl w:val="true"/>
        </w:rPr>
        <w:t>נקבע כי המערער הקל על ביצוע העבירות על ידי נ</w:t>
      </w:r>
      <w:r>
        <w:rPr>
          <w:rtl w:val="true"/>
        </w:rPr>
        <w:t xml:space="preserve">' </w:t>
      </w:r>
      <w:r>
        <w:rPr>
          <w:rtl w:val="true"/>
        </w:rPr>
        <w:t>בכך שעודד את הקטינה להמשיך את הקשר עמו ועודדה להמשיך ולקיים עימו יחסי מין</w:t>
      </w:r>
      <w:r>
        <w:rPr>
          <w:rtl w:val="true"/>
        </w:rPr>
        <w:t xml:space="preserve">. </w:t>
      </w:r>
      <w:r>
        <w:rPr>
          <w:rtl w:val="true"/>
        </w:rPr>
        <w:t>בדבריו של המערער היה כדי להחליש את כושר התנגדותה</w:t>
      </w:r>
      <w:r>
        <w:rPr>
          <w:rtl w:val="true"/>
        </w:rPr>
        <w:t xml:space="preserve">. </w:t>
      </w:r>
      <w:r>
        <w:rPr>
          <w:rtl w:val="true"/>
        </w:rPr>
        <w:t>על אף מעורבותו העמוקה והשפעתו המכרעת נקבע כי אין מעשיו מגיעים לכדי ביצוע בצוותא או ביצוע עיקרי של העבירות שביצע נ</w:t>
      </w:r>
      <w:r>
        <w:rPr>
          <w:rtl w:val="true"/>
        </w:rPr>
        <w:t xml:space="preserve">' </w:t>
      </w:r>
      <w:r>
        <w:rPr>
          <w:rtl w:val="true"/>
        </w:rPr>
        <w:t>אלא אך סיוע להן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בסופו של דבר הורשע המערער בעבירות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סיוע למעשה סדום בנסיבות אינוס במשפחה </w:t>
      </w:r>
      <w:r>
        <w:rPr>
          <w:rtl w:val="true"/>
        </w:rPr>
        <w:t>(</w:t>
      </w:r>
      <w:r>
        <w:rPr>
          <w:rtl w:val="true"/>
        </w:rPr>
        <w:t>מקרים רבים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סיוע למעשה סדום במשפחה </w:t>
      </w:r>
      <w:r>
        <w:rPr>
          <w:rtl w:val="true"/>
        </w:rPr>
        <w:t>(</w:t>
      </w:r>
      <w:r>
        <w:rPr>
          <w:rtl w:val="true"/>
        </w:rPr>
        <w:t>מקרים רבים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מעשה מגונה בנסיבות אינוס במשפחה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הדחה בחקירה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המערער זוכה מהמיוחס לו במסגרת האישום השני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יצוין כי ביום </w:t>
      </w:r>
      <w:r>
        <w:rPr/>
        <w:t>23.12.2015</w:t>
      </w:r>
      <w:r>
        <w:rPr>
          <w:rtl w:val="true"/>
        </w:rPr>
        <w:t xml:space="preserve"> </w:t>
      </w:r>
      <w:r>
        <w:rPr>
          <w:rtl w:val="true"/>
        </w:rPr>
        <w:t>הורשע נ</w:t>
      </w:r>
      <w:r>
        <w:rPr>
          <w:rtl w:val="true"/>
        </w:rPr>
        <w:t xml:space="preserve">' </w:t>
      </w:r>
      <w:r>
        <w:rPr>
          <w:rtl w:val="true"/>
        </w:rPr>
        <w:t>על פי הודאתו בכל העבירות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6.3.2016</w:t>
      </w:r>
      <w:r>
        <w:rPr>
          <w:rtl w:val="true"/>
        </w:rPr>
        <w:t xml:space="preserve"> </w:t>
      </w:r>
      <w:r>
        <w:rPr>
          <w:rtl w:val="true"/>
        </w:rPr>
        <w:t>נגזר דינו לשלוש עשרה וחצי שנות מאסר בפועל</w:t>
      </w:r>
      <w:r>
        <w:rPr>
          <w:rtl w:val="true"/>
        </w:rPr>
        <w:t xml:space="preserve">. </w:t>
      </w:r>
      <w:r>
        <w:rPr>
          <w:rtl w:val="true"/>
        </w:rPr>
        <w:t>כן הוטלו עליו תקופות מאסר על תנאי ופיצוי לקטינה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בגזר דינו מיום </w:t>
      </w:r>
      <w:r>
        <w:rPr/>
        <w:t>30.10.2016</w:t>
      </w:r>
      <w:r>
        <w:rPr>
          <w:rtl w:val="true"/>
        </w:rPr>
        <w:t xml:space="preserve"> </w:t>
      </w:r>
      <w:r>
        <w:rPr>
          <w:rtl w:val="true"/>
        </w:rPr>
        <w:t>עמד בית המשפט על חומרתן הרבה של עבירות מין המבוצעות בקטינים בני משפחה</w:t>
      </w:r>
      <w:r>
        <w:rPr>
          <w:rtl w:val="true"/>
        </w:rPr>
        <w:t xml:space="preserve">. </w:t>
      </w:r>
      <w:r>
        <w:rPr>
          <w:rtl w:val="true"/>
        </w:rPr>
        <w:t>נקבע כי המערער שימש בתור הגורם המתווך בין העבריין העיקרי לבין הקורבן וסייע לביצוע העבירות בכך שהחליש את התנגדות הקטינה למעשיו של נ</w:t>
      </w:r>
      <w:r>
        <w:rPr>
          <w:rtl w:val="true"/>
        </w:rPr>
        <w:t xml:space="preserve">'. </w:t>
      </w:r>
      <w:r>
        <w:rPr>
          <w:rtl w:val="true"/>
        </w:rPr>
        <w:t>נקבע כי המערער יכול היה למנוע את ביצוע העבירות</w:t>
      </w:r>
      <w:r>
        <w:rPr>
          <w:rtl w:val="true"/>
        </w:rPr>
        <w:t xml:space="preserve">, </w:t>
      </w:r>
      <w:r>
        <w:rPr>
          <w:rtl w:val="true"/>
        </w:rPr>
        <w:t>או לפחות להושיט יד תומכת לקטינה</w:t>
      </w:r>
      <w:r>
        <w:rPr>
          <w:rtl w:val="true"/>
        </w:rPr>
        <w:t xml:space="preserve">. </w:t>
      </w:r>
      <w:r>
        <w:rPr>
          <w:rtl w:val="true"/>
        </w:rPr>
        <w:t>במקום זאת הוא נקט עמדה חד צדדית לטובת הצד הפוגע</w:t>
      </w:r>
      <w:r>
        <w:rPr>
          <w:rtl w:val="true"/>
        </w:rPr>
        <w:t xml:space="preserve">, </w:t>
      </w:r>
      <w:r>
        <w:rPr>
          <w:rtl w:val="true"/>
        </w:rPr>
        <w:t>תוך שהוא מאפשר לו להמשיך בביצוע מעשיו</w:t>
      </w:r>
      <w:r>
        <w:rPr>
          <w:rtl w:val="true"/>
        </w:rPr>
        <w:t xml:space="preserve">. </w:t>
      </w:r>
      <w:r>
        <w:rPr>
          <w:rtl w:val="true"/>
        </w:rPr>
        <w:t>עוד צוין כי משניסתה הקטינה לשקם את חייה ונישאה לגבר צעיר</w:t>
      </w:r>
      <w:r>
        <w:rPr>
          <w:rtl w:val="true"/>
        </w:rPr>
        <w:t xml:space="preserve">, </w:t>
      </w:r>
      <w:r>
        <w:rPr>
          <w:rtl w:val="true"/>
        </w:rPr>
        <w:t>פעל המערער בצורה מחרידה</w:t>
      </w:r>
      <w:r>
        <w:rPr>
          <w:rtl w:val="true"/>
        </w:rPr>
        <w:t xml:space="preserve">, </w:t>
      </w:r>
      <w:r>
        <w:rPr>
          <w:rtl w:val="true"/>
        </w:rPr>
        <w:t>בחשפו בפני בעלה ובני משפחתו את אשר עולל לה נ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דבר שהוביל לפירוקם המיידי של נישואיה</w:t>
      </w:r>
      <w:r>
        <w:rPr>
          <w:rtl w:val="true"/>
        </w:rPr>
        <w:t xml:space="preserve">. </w:t>
      </w:r>
      <w:r>
        <w:rPr>
          <w:rtl w:val="true"/>
        </w:rPr>
        <w:t>על כן קבע בית המשפט את מתחמי הענישה הבאים</w:t>
      </w:r>
      <w:r>
        <w:rPr>
          <w:rtl w:val="true"/>
        </w:rPr>
        <w:t xml:space="preserve">: </w:t>
      </w:r>
      <w:r>
        <w:rPr>
          <w:rtl w:val="true"/>
        </w:rPr>
        <w:t>בגין עבירות הסיוע לעבירות שעבר נ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מתחם הנע בין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בגין עבירות המין שעבר המערער באופן עצמאי כלפי הקטינה </w:t>
      </w:r>
      <w:r>
        <w:rPr>
          <w:rtl w:val="true"/>
        </w:rPr>
        <w:t>–</w:t>
      </w:r>
      <w:r>
        <w:rPr>
          <w:rtl w:val="true"/>
        </w:rPr>
        <w:t xml:space="preserve"> מתחם הנע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tl w:val="true"/>
        </w:rPr>
        <w:t xml:space="preserve">בגין עבירת ההדחה בחקירה </w:t>
      </w:r>
      <w:r>
        <w:rPr>
          <w:rtl w:val="true"/>
        </w:rPr>
        <w:t>–</w:t>
      </w:r>
      <w:r>
        <w:rPr>
          <w:rtl w:val="true"/>
        </w:rPr>
        <w:t xml:space="preserve"> מתחם הנע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בבחינת הנסיבות שאינן קשורות בביצוע העבירה ניתן משקל לעובדה שהמערער הינו אדם מבוגר יליד שנת </w:t>
      </w:r>
      <w:r>
        <w:rPr/>
        <w:t>1953</w:t>
      </w:r>
      <w:r>
        <w:rPr>
          <w:rtl w:val="true"/>
        </w:rPr>
        <w:t xml:space="preserve"> </w:t>
      </w:r>
      <w:r>
        <w:rPr>
          <w:rtl w:val="true"/>
        </w:rPr>
        <w:t>ללא עבר פלילי</w:t>
      </w:r>
      <w:r>
        <w:rPr>
          <w:rtl w:val="true"/>
        </w:rPr>
        <w:t xml:space="preserve">. </w:t>
      </w:r>
      <w:r>
        <w:rPr>
          <w:rtl w:val="true"/>
        </w:rPr>
        <w:t>עוד נלקח בחשבון כי מצבו הבריאותי אינו מן המשופרים</w:t>
      </w:r>
      <w:r>
        <w:rPr>
          <w:rtl w:val="true"/>
        </w:rPr>
        <w:t xml:space="preserve">. </w:t>
      </w:r>
      <w:r>
        <w:rPr>
          <w:rtl w:val="true"/>
        </w:rPr>
        <w:t>מנגד צוין כי המערער לא הביע בשום שלב צער או אמפטיה למתלוננת</w:t>
      </w:r>
      <w:r>
        <w:rPr>
          <w:rtl w:val="true"/>
        </w:rPr>
        <w:t xml:space="preserve">, </w:t>
      </w:r>
      <w:r>
        <w:rPr>
          <w:rtl w:val="true"/>
        </w:rPr>
        <w:t>נכדתו</w:t>
      </w:r>
      <w:r>
        <w:rPr>
          <w:rtl w:val="true"/>
        </w:rPr>
        <w:t xml:space="preserve">, </w:t>
      </w:r>
      <w:r>
        <w:rPr>
          <w:rtl w:val="true"/>
        </w:rPr>
        <w:t>ולסבל שעברה</w:t>
      </w:r>
      <w:r>
        <w:rPr>
          <w:rtl w:val="true"/>
        </w:rPr>
        <w:t xml:space="preserve">. </w:t>
      </w:r>
      <w:r>
        <w:rPr>
          <w:rtl w:val="true"/>
        </w:rPr>
        <w:t>נקבע כי לא נמצאו כל נסיבות שיש בהן כדי להצדיק חריגה ממתחם הענישה</w:t>
      </w:r>
      <w:r>
        <w:rPr>
          <w:rtl w:val="true"/>
        </w:rPr>
        <w:t xml:space="preserve">. </w:t>
      </w:r>
      <w:r>
        <w:rPr>
          <w:rtl w:val="true"/>
        </w:rPr>
        <w:t>עוד ציין בית המשפט כי סמוך להקראת גזר הדין הוכנס לתיק בית המשפט מכתב סליחה ומחילה של הקטינה</w:t>
      </w:r>
      <w:r>
        <w:rPr>
          <w:rtl w:val="true"/>
        </w:rPr>
        <w:t xml:space="preserve">, </w:t>
      </w:r>
      <w:r>
        <w:rPr>
          <w:rtl w:val="true"/>
        </w:rPr>
        <w:t>בו היא טוענת כי לא היו דברים מעולם ביחס למערער</w:t>
      </w:r>
      <w:r>
        <w:rPr>
          <w:rtl w:val="true"/>
        </w:rPr>
        <w:t xml:space="preserve">. </w:t>
      </w:r>
      <w:r>
        <w:rPr>
          <w:rtl w:val="true"/>
        </w:rPr>
        <w:t>נקבע כי מדובר בפרק נוסף במסכת השיבוש ואין בכך כדי להשפיע</w:t>
      </w:r>
      <w:r>
        <w:rPr>
          <w:rtl w:val="true"/>
        </w:rPr>
        <w:t xml:space="preserve">, </w:t>
      </w:r>
      <w:r>
        <w:rPr>
          <w:rtl w:val="true"/>
        </w:rPr>
        <w:t>בכל דרך שהיא</w:t>
      </w:r>
      <w:r>
        <w:rPr>
          <w:rtl w:val="true"/>
        </w:rPr>
        <w:t xml:space="preserve">, </w:t>
      </w:r>
      <w:r>
        <w:rPr>
          <w:rtl w:val="true"/>
        </w:rPr>
        <w:t>על גזירת 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לאור האמור נגזרו על המערער העונשים שפורטו 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ערער תחילה הן על הכרעת הדין והן על גזר דין</w:t>
      </w:r>
      <w:r>
        <w:rPr>
          <w:rtl w:val="true"/>
        </w:rPr>
        <w:t xml:space="preserve">, </w:t>
      </w:r>
      <w:r>
        <w:rPr>
          <w:rtl w:val="true"/>
        </w:rPr>
        <w:t xml:space="preserve">אך בדיון שהתקיים לפנינו ביום </w:t>
      </w:r>
      <w:r>
        <w:rPr/>
        <w:t>15.11.2017</w:t>
      </w:r>
      <w:r>
        <w:rPr>
          <w:rtl w:val="true"/>
        </w:rPr>
        <w:t xml:space="preserve"> </w:t>
      </w:r>
      <w:r>
        <w:rPr>
          <w:rtl w:val="true"/>
        </w:rPr>
        <w:t>הודיע בא</w:t>
      </w:r>
      <w:r>
        <w:rPr>
          <w:rtl w:val="true"/>
        </w:rPr>
        <w:t>-</w:t>
      </w:r>
      <w:r>
        <w:rPr>
          <w:rtl w:val="true"/>
        </w:rPr>
        <w:t>כוח המערער כי הוא חוזר בו מהערעור על הכרעת הדין ומותיר על כנו רק את הערעור על גזר הדין</w:t>
      </w:r>
      <w:r>
        <w:rPr>
          <w:rtl w:val="true"/>
        </w:rPr>
        <w:t xml:space="preserve">. </w:t>
      </w:r>
      <w:r>
        <w:rPr>
          <w:rtl w:val="true"/>
        </w:rPr>
        <w:t>על כן יפורטו להלן אך טענות הצדדים הנוגעות לערעור על 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8"/>
          <w:sz w:val="28"/>
          <w:rtl w:val="true"/>
        </w:rPr>
        <w:t>בערעורו טוען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 מתחם העונש שקבע בית המשפט המחוזי אינו תואם את מדיניות הענישה הנוהגת ואינו נותן מענה לנסיבותיו המיוחדות של מקרה זה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כך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המתחם הראוי בגין האישום המרכזי נע בין מאסר על תנאי לבין חודשים ספורים של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זאת תחת המתחם שנקבע בבית המשפט המחוזי הנע כאמור בין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גם באשר לגזירת עונשו בתוך המתחם נטען כי העונש שהוטל עליו מופרז לחומרה</w:t>
      </w:r>
      <w:r>
        <w:rPr>
          <w:rtl w:val="true"/>
        </w:rPr>
        <w:t xml:space="preserve">. </w:t>
      </w:r>
      <w:r>
        <w:rPr>
          <w:rtl w:val="true"/>
        </w:rPr>
        <w:t>הודגש כי המערער לא פגע בקטינה בעצמו והסיוע התבטא בכך שאמר לה שהיא יכולה להיות בקשר עם נ</w:t>
      </w:r>
      <w:r>
        <w:rPr>
          <w:rtl w:val="true"/>
        </w:rPr>
        <w:t xml:space="preserve">'. </w:t>
      </w:r>
      <w:r>
        <w:rPr>
          <w:rtl w:val="true"/>
        </w:rPr>
        <w:t>לאור נסיבותיו המיוחדות של המערער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 הנקי ומצבו הרפואי הקשה ראוי היה להקל בעונשו ולהסתפק בעונש מאסר על תנאי</w:t>
      </w:r>
      <w:r>
        <w:rPr>
          <w:rtl w:val="true"/>
        </w:rPr>
        <w:t xml:space="preserve">, </w:t>
      </w:r>
      <w:r>
        <w:rPr>
          <w:rtl w:val="true"/>
        </w:rPr>
        <w:t>ולחלופין בתקופת מאסר קצרה אשר תחפוף את ימי מעצרו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טוענת המשיבה כי העונש שהוטל על המערער הולם ואף מקל ביחס למעשיו</w:t>
      </w:r>
      <w:r>
        <w:rPr>
          <w:rtl w:val="true"/>
        </w:rPr>
        <w:t xml:space="preserve">, </w:t>
      </w:r>
      <w:r>
        <w:rPr>
          <w:rtl w:val="true"/>
        </w:rPr>
        <w:t>שבוצעו כלפי נכדתו</w:t>
      </w:r>
      <w:r>
        <w:rPr>
          <w:rtl w:val="true"/>
        </w:rPr>
        <w:t xml:space="preserve">, </w:t>
      </w:r>
      <w:r>
        <w:rPr>
          <w:rtl w:val="true"/>
        </w:rPr>
        <w:t>וביחס לפגיעה הקשה</w:t>
      </w:r>
      <w:r>
        <w:rPr>
          <w:rtl w:val="true"/>
        </w:rPr>
        <w:t xml:space="preserve">, </w:t>
      </w:r>
      <w:r>
        <w:rPr>
          <w:rtl w:val="true"/>
        </w:rPr>
        <w:t>על השלכותיה הנרחבות</w:t>
      </w:r>
      <w:r>
        <w:rPr>
          <w:rtl w:val="true"/>
        </w:rPr>
        <w:t xml:space="preserve">, </w:t>
      </w:r>
      <w:r>
        <w:rPr>
          <w:rtl w:val="true"/>
        </w:rPr>
        <w:t>שגרם לה</w:t>
      </w:r>
      <w:r>
        <w:rPr>
          <w:rtl w:val="true"/>
        </w:rPr>
        <w:t xml:space="preserve">, </w:t>
      </w:r>
      <w:r>
        <w:rPr>
          <w:rtl w:val="true"/>
        </w:rPr>
        <w:t>יחד עם הדוד</w:t>
      </w:r>
      <w:r>
        <w:rPr>
          <w:rtl w:val="true"/>
        </w:rPr>
        <w:t xml:space="preserve">, </w:t>
      </w:r>
      <w:r>
        <w:rPr>
          <w:rtl w:val="true"/>
        </w:rPr>
        <w:t xml:space="preserve">עת הייתה רק 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צוין כי המערער מעולם לא הביע חרטה על הסבל שעברה הקטינה וכי יש לקחת בחשבון גם את הלחצים הרבים שהופעלו על הקטינה על ידי בני משפחתה לחזור בה מתלונתה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לאחר עיון בגזר דינו של בית המשפט המחוזי ובנימוקי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שמיעת טענות הצדדים 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הגעתי לכלל מסקנה כי דין הערעור להידחות וכך אציע לחבריי שנעשה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הלכה היא כי ערכאת הערעור אינה נוטה להתערב בחומרת העונש שהוטל על ידי הערכאה הדיונית אלא במקרים חריגים בהם ניכרת סטייה של ממש ממדיניות הענישה המקובלת בעבירות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או כאשר דבק פגם מהותי בגזר הדין </w:t>
      </w:r>
      <w:r>
        <w:rPr>
          <w:rtl w:val="true"/>
        </w:rPr>
        <w:t>(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3393/15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זרקוא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8.12.2016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8">
        <w:bookmarkStart w:id="15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3071/13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ישראל‏</w:t>
      </w:r>
      <w:bookmarkEnd w:id="15"/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19.6.2013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7386/13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23.3.2014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לא מצאתי כי עניינו של המערער נמנה על אותם מקרים חריגים המצדיקים התערבות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עמד לא אחת על הכיעור הרב והחומרה היתרה הטמונה בביצוע עבירות מין</w:t>
      </w:r>
      <w:r>
        <w:rPr>
          <w:rtl w:val="true"/>
        </w:rPr>
        <w:t xml:space="preserve">. </w:t>
      </w:r>
      <w:r>
        <w:rPr>
          <w:rtl w:val="true"/>
        </w:rPr>
        <w:t xml:space="preserve">נדרש לכך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8923/14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קרפצקיוב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12.4.2016</w:t>
      </w:r>
      <w:r>
        <w:rPr>
          <w:rtl w:val="true"/>
        </w:rPr>
        <w:t xml:space="preserve">) </w:t>
      </w:r>
      <w:r>
        <w:rPr>
          <w:rtl w:val="true"/>
        </w:rPr>
        <w:t>בציינו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קלוקלת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ומתוקן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הכפפתו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ייחודית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הפגיעה חמורה במיוחד כאשר מדובר בעבירות מין המבוצעות בקרבן קטין או קטינה</w:t>
      </w:r>
      <w:r>
        <w:rPr>
          <w:rtl w:val="true"/>
        </w:rPr>
        <w:t xml:space="preserve">, </w:t>
      </w:r>
      <w:r>
        <w:rPr>
          <w:rtl w:val="true"/>
        </w:rPr>
        <w:t>ובפרט בעבירות מין בתוך המשפחה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בהן מנצל הפוגע את פערי הכוחות ואת הקרבה בינו לבין הנפגע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מעשים שכאלה מותירים אצל הקורבנות צלקות נפשיות עמוקות ומותירים פגיעה בתפקודם לכל אורך חייהם </w:t>
      </w:r>
      <w:r>
        <w:rPr>
          <w:rtl w:val="true"/>
        </w:rPr>
        <w:t>(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7661/14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4.1.2016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8477/17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6.11.2017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4768/14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2218/10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21.11.2011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על כן נדרשת ענישה מחמירה ומרתיעה במקרים של עבירות מין בתוך המשפחה המכוונות כלפי קטינים</w:t>
      </w:r>
      <w:r>
        <w:rPr>
          <w:rtl w:val="true"/>
        </w:rPr>
        <w:t xml:space="preserve">, </w:t>
      </w:r>
      <w:r>
        <w:rPr>
          <w:rtl w:val="true"/>
        </w:rPr>
        <w:t>ענישה שתשקף את סלידתה העמוקה של החברה ממעשים אלה</w:t>
      </w:r>
      <w:r>
        <w:rPr>
          <w:rtl w:val="true"/>
        </w:rPr>
        <w:t xml:space="preserve">, </w:t>
      </w:r>
      <w:r>
        <w:rPr>
          <w:rtl w:val="true"/>
        </w:rPr>
        <w:t xml:space="preserve">את הפגיעות העמוקות שנגרמות לקטינים ואת האינטרס הציבורי הרב במיגור התופעה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8805/15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</w:rPr>
        <w:t>2.4.2017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4360/15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8.3.2017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העבירות שבהן הורשע המערער חמורות ביותר ונמצאות ברף העליון של עבירות מין בתוך המשפחה</w:t>
      </w:r>
      <w:r>
        <w:rPr>
          <w:rtl w:val="true"/>
        </w:rPr>
        <w:t xml:space="preserve">. </w:t>
      </w:r>
      <w:r>
        <w:rPr>
          <w:rtl w:val="true"/>
        </w:rPr>
        <w:t>המערער ניצל באופן אכזרי את האמון הרב שרחשה לו נכדתו הקטינה ועל ידי כך סייע לאחר לבצע בה עבירות מין קשות במשך תקופה ארוכה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ידע היטב את טיבם של המעשים המיניים שמבצע בה </w:t>
      </w:r>
      <w:r>
        <w:rPr>
          <w:rtl w:val="true"/>
        </w:rPr>
        <w:t>–</w:t>
      </w:r>
      <w:r>
        <w:rPr>
          <w:rtl w:val="true"/>
        </w:rPr>
        <w:t xml:space="preserve"> לא אחר מאשר דודהּ ואת חומרתם</w:t>
      </w:r>
      <w:r>
        <w:rPr>
          <w:rtl w:val="true"/>
        </w:rPr>
        <w:t xml:space="preserve">, </w:t>
      </w:r>
      <w:r>
        <w:rPr>
          <w:rtl w:val="true"/>
        </w:rPr>
        <w:t>ובשום שלב לא פעל לסייע לנכדתו להיחלץ ממצוקתה הקשה ואף ההיפך הוא הנכון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הוא דרבן אותה לשתף פעולה עם דודהּ ואף ביצע בה בעצמו מעשים מגונים והביא גם להדחתה בחקירה ולסגירת תיק החקירה שנפתח בעניינה בשנת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במעשיו גרם המערער לפגיעות קשות אשר השפעתן הרעה על חייה יורגשו עוד שנים ארוכות</w:t>
      </w:r>
      <w:r>
        <w:rPr>
          <w:rtl w:val="true"/>
        </w:rPr>
        <w:t xml:space="preserve">. </w:t>
      </w:r>
      <w:r>
        <w:rPr>
          <w:rtl w:val="true"/>
        </w:rPr>
        <w:t>כך פגע המערער בערכים מוגנים עליונים בחשיבותם</w:t>
      </w:r>
      <w:r>
        <w:rPr>
          <w:rtl w:val="true"/>
        </w:rPr>
        <w:t xml:space="preserve">, </w:t>
      </w:r>
      <w:r>
        <w:rPr>
          <w:rtl w:val="true"/>
        </w:rPr>
        <w:t>בהם השמירה על כבודה</w:t>
      </w:r>
      <w:r>
        <w:rPr>
          <w:rtl w:val="true"/>
        </w:rPr>
        <w:t xml:space="preserve">, </w:t>
      </w:r>
      <w:r>
        <w:rPr>
          <w:rtl w:val="true"/>
        </w:rPr>
        <w:t xml:space="preserve">גופה ונפשה של הקטינה ובאמון השורר במסגרת התא המשפחתי </w:t>
      </w:r>
      <w:r>
        <w:rPr>
          <w:rFonts w:cs="Century" w:ascii="Century" w:hAnsi="Century"/>
          <w:sz w:val="22"/>
          <w:rtl w:val="true"/>
        </w:rPr>
        <w:t>(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4360/15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 xml:space="preserve">אמנם הקטינה התנגדה לעריכת </w:t>
      </w:r>
      <w:r>
        <w:rPr>
          <w:rtl w:val="true"/>
        </w:rPr>
        <w:t>"</w:t>
      </w:r>
      <w:r>
        <w:rPr>
          <w:rtl w:val="true"/>
        </w:rPr>
        <w:t>תסקיר נפגעת עבירה</w:t>
      </w:r>
      <w:r>
        <w:rPr>
          <w:rtl w:val="true"/>
        </w:rPr>
        <w:t xml:space="preserve">"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אך אין ספק כי מדובר במעשים שאין צורך בתסקיר על מנת לקבוע כי יש בהם השפעה טראומטית על מצבה הנפשי</w:t>
      </w:r>
      <w:r>
        <w:rPr>
          <w:rtl w:val="true"/>
        </w:rPr>
        <w:t xml:space="preserve">. </w:t>
      </w:r>
      <w:r>
        <w:rPr>
          <w:rtl w:val="true"/>
        </w:rPr>
        <w:t>מדובר בעבירות שהנזק טבוע בהן מעצם טיבן</w:t>
      </w:r>
      <w:r>
        <w:rPr>
          <w:rtl w:val="true"/>
        </w:rPr>
        <w:t xml:space="preserve">, </w:t>
      </w:r>
      <w:r>
        <w:rPr>
          <w:rtl w:val="true"/>
        </w:rPr>
        <w:t xml:space="preserve">וקיומו הוא בבחינת הנחה שאין צורך להוכיחה </w:t>
      </w:r>
      <w:r>
        <w:rPr>
          <w:rtl w:val="true"/>
        </w:rPr>
        <w:t>(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6695/08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26.1.2009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6877/09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25.6.2012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 כך יש להוסיף כי אם לא היה די במעשיו האמורים</w:t>
      </w:r>
      <w:r>
        <w:rPr>
          <w:rtl w:val="true"/>
        </w:rPr>
        <w:t xml:space="preserve">, </w:t>
      </w:r>
      <w:r>
        <w:rPr>
          <w:rtl w:val="true"/>
        </w:rPr>
        <w:t>בחר המערער להביא גם לפירוק נישואיה הטריים של נכדתו</w:t>
      </w:r>
      <w:r>
        <w:rPr>
          <w:rtl w:val="true"/>
        </w:rPr>
        <w:t xml:space="preserve">, </w:t>
      </w:r>
      <w:r>
        <w:rPr>
          <w:rtl w:val="true"/>
        </w:rPr>
        <w:t>על ידי חשיפת דבר המעשים השפלים שביצע בה דודהּ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tl w:val="true"/>
        </w:rPr>
        <w:t xml:space="preserve">, </w:t>
      </w:r>
      <w:r>
        <w:rPr>
          <w:rtl w:val="true"/>
        </w:rPr>
        <w:t>בפני בעלה דאז ומשפחתו</w:t>
      </w:r>
      <w:r>
        <w:rPr>
          <w:rtl w:val="true"/>
        </w:rPr>
        <w:t xml:space="preserve">. </w:t>
      </w:r>
      <w:r>
        <w:rPr>
          <w:rtl w:val="true"/>
        </w:rPr>
        <w:t>עוד יש לקחת בחשבון את הלחצים הרבים שהופעלו על הקטינה והובילו אותה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לבקש לחזור בה מתלונתה כלפי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לטענת המערער לפיה חרג בית המשפט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המערער לא תמך טענתו זו בתשתית כלשהי</w:t>
      </w:r>
      <w:r>
        <w:rPr>
          <w:rtl w:val="true"/>
        </w:rPr>
        <w:t xml:space="preserve">,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גם לגופו של עניין לא נמצא כי חרג בית המשפט מרף הענישה המקובל באופן המצדיק את התערבותנו</w:t>
      </w:r>
      <w:r>
        <w:rPr>
          <w:rtl w:val="true"/>
        </w:rPr>
        <w:t xml:space="preserve">. </w:t>
      </w:r>
      <w:r>
        <w:rPr>
          <w:rtl w:val="true"/>
        </w:rPr>
        <w:t>אין ספק כי המקרה שלפנינו הינו מקרה חריג וכי קשה למצוא דוגמאות נוספות למעשים מעין אלה</w:t>
      </w:r>
      <w:r>
        <w:rPr>
          <w:rtl w:val="true"/>
        </w:rPr>
        <w:t xml:space="preserve">. </w:t>
      </w:r>
      <w:r>
        <w:rPr>
          <w:rtl w:val="true"/>
        </w:rPr>
        <w:t>המערער הורשע בריבוי עבירות חמורות ביותר וביניהן סיוע למעשה סדום בנסיבות אינוס במשפחה</w:t>
      </w:r>
      <w:r>
        <w:rPr>
          <w:rtl w:val="true"/>
        </w:rPr>
        <w:t xml:space="preserve">.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שימש כגורם המתווך בין נ</w:t>
      </w:r>
      <w:r>
        <w:rPr>
          <w:rtl w:val="true"/>
        </w:rPr>
        <w:t xml:space="preserve">' </w:t>
      </w:r>
      <w:r>
        <w:rPr>
          <w:rtl w:val="true"/>
        </w:rPr>
        <w:t>לבין הקטינה</w:t>
      </w:r>
      <w:r>
        <w:rPr>
          <w:rtl w:val="true"/>
        </w:rPr>
        <w:t xml:space="preserve">, </w:t>
      </w:r>
      <w:r>
        <w:rPr>
          <w:rtl w:val="true"/>
        </w:rPr>
        <w:t>סייע לביצוע העבירות בכך שהחליש את התנגדות הקטינה למעשים ועודדה לשמש כקורבן</w:t>
      </w:r>
      <w:r>
        <w:rPr>
          <w:rtl w:val="true"/>
        </w:rPr>
        <w:t xml:space="preserve">. </w:t>
      </w:r>
      <w:r>
        <w:rPr>
          <w:rtl w:val="true"/>
        </w:rPr>
        <w:t>כאמור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יכול היה למנוע את ביצוע העבירות או לפחות לסייע לקטינה בעת מצוקתה הקשה אך במקום זאת בחר לסייע לדודהּ להמשיך במעשיו השפלים כלפיה</w:t>
      </w:r>
      <w:r>
        <w:rPr>
          <w:rtl w:val="true"/>
        </w:rPr>
        <w:t xml:space="preserve">. </w:t>
      </w:r>
      <w:r>
        <w:rPr>
          <w:rtl w:val="true"/>
        </w:rPr>
        <w:t>בשים לב לכך שמנעד הענישה בסוג זה של עבירות הוא רחב יחסית</w:t>
      </w:r>
      <w:r>
        <w:rPr>
          <w:rtl w:val="true"/>
        </w:rPr>
        <w:t xml:space="preserve">, </w:t>
      </w:r>
      <w:r>
        <w:rPr>
          <w:rtl w:val="true"/>
        </w:rPr>
        <w:t>ונוכח חומרת המעשים אותם ביצע המערער</w:t>
      </w:r>
      <w:r>
        <w:rPr>
          <w:rtl w:val="true"/>
        </w:rPr>
        <w:t xml:space="preserve">, </w:t>
      </w:r>
      <w:r>
        <w:rPr>
          <w:rtl w:val="true"/>
        </w:rPr>
        <w:t>אין ספק כי העונש אשר נגזר על המערער הוא סביר</w:t>
      </w:r>
      <w:r>
        <w:rPr>
          <w:rtl w:val="true"/>
        </w:rPr>
        <w:t xml:space="preserve">, </w:t>
      </w:r>
      <w:r>
        <w:rPr>
          <w:rtl w:val="true"/>
        </w:rPr>
        <w:t>ובוודאי שאינו סוטה ממדיניות הענישה הראויה באופן המצדיק את התערבותה של ערכאת הערעור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 אינו חמור כלל ועיקר ואף מקל עמו במידה לא מבוטלת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טוען המערער בערעורו כי לאור נסיבותיו האישיות היה מקום להקל בעונשו</w:t>
      </w:r>
      <w:r>
        <w:rPr>
          <w:rtl w:val="true"/>
        </w:rPr>
        <w:t xml:space="preserve">. </w:t>
      </w:r>
      <w:r>
        <w:rPr>
          <w:rtl w:val="true"/>
        </w:rPr>
        <w:t>אלא שהלכה היא כי בגזירת עונשם של נאשמים המבצעים עבירות מין בקטינים בני משפחתם</w:t>
      </w:r>
      <w:r>
        <w:rPr>
          <w:rtl w:val="true"/>
        </w:rPr>
        <w:t xml:space="preserve">, </w:t>
      </w:r>
      <w:r>
        <w:rPr>
          <w:rtl w:val="true"/>
        </w:rPr>
        <w:t xml:space="preserve">יש לבכר את שיקולי הגמול וההרתעה על פני נסיבותיהם האישיות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hyperlink r:id="rId5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7304/15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13.3.2017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4360/15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למעלה מכך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 המשפט המחוזי עמד בהרחבה על כלל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ובכלל זה נתן דעתו להיות המערער אדם מבוגר</w:t>
      </w:r>
      <w:r>
        <w:rPr>
          <w:rtl w:val="true"/>
        </w:rPr>
        <w:t xml:space="preserve">, </w:t>
      </w:r>
      <w:r>
        <w:rPr>
          <w:rtl w:val="true"/>
        </w:rPr>
        <w:t>שעברו נקי ואף לכך שמצבו הבריאותי אינו שפיר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 התעלם בית המשפט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מכך שהמערער לא הביע בשום שלב בהליך</w:t>
      </w:r>
      <w:r>
        <w:rPr>
          <w:rtl w:val="true"/>
        </w:rPr>
        <w:t xml:space="preserve">, </w:t>
      </w:r>
      <w:r>
        <w:rPr>
          <w:rtl w:val="true"/>
        </w:rPr>
        <w:t>צער או אמפטיה לקטינה</w:t>
      </w:r>
      <w:r>
        <w:rPr>
          <w:rtl w:val="true"/>
        </w:rPr>
        <w:t xml:space="preserve">. </w:t>
      </w:r>
      <w:r>
        <w:rPr>
          <w:rtl w:val="true"/>
        </w:rPr>
        <w:t>משנשקלו בקפידה כל השיקולים האמורים</w:t>
      </w:r>
      <w:r>
        <w:rPr>
          <w:rtl w:val="true"/>
        </w:rPr>
        <w:t xml:space="preserve">, </w:t>
      </w:r>
      <w:r>
        <w:rPr>
          <w:rtl w:val="true"/>
        </w:rPr>
        <w:t>לא נמצא כי נפלה טעות בגזר הדין</w:t>
      </w:r>
      <w:r>
        <w:rPr>
          <w:rtl w:val="true"/>
        </w:rPr>
        <w:t xml:space="preserve">, </w:t>
      </w:r>
      <w:r>
        <w:rPr>
          <w:rtl w:val="true"/>
        </w:rPr>
        <w:t>ודאי לא טעות שיש בה כדי להצדיק את התערבותה של ערכאת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עטרת זקנים בני בנים ותפארת בנים אבותם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משלי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 xml:space="preserve">הנכדים הם העטרה </w:t>
      </w:r>
      <w:r>
        <w:rPr>
          <w:rtl w:val="true"/>
        </w:rPr>
        <w:t>–</w:t>
      </w:r>
      <w:r>
        <w:rPr>
          <w:rtl w:val="true"/>
        </w:rPr>
        <w:t xml:space="preserve"> הכתר והשבח של הזקנים</w:t>
      </w:r>
      <w:r>
        <w:rPr>
          <w:rtl w:val="true"/>
        </w:rPr>
        <w:t xml:space="preserve">. </w:t>
      </w:r>
      <w:r>
        <w:rPr>
          <w:rtl w:val="true"/>
        </w:rPr>
        <w:t>מצינו שאברהם התעטר בנכדו יעקב ואף ניצל בזכותו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כשהשליך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נמרוד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להצילו</w:t>
      </w:r>
      <w:r>
        <w:rPr>
          <w:rtl w:val="true"/>
        </w:rPr>
        <w:t xml:space="preserve">. </w:t>
      </w:r>
      <w:r>
        <w:rPr>
          <w:rtl w:val="true"/>
        </w:rPr>
        <w:t>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השרת</w:t>
      </w:r>
      <w:r>
        <w:rPr>
          <w:rtl w:val="true"/>
        </w:rPr>
        <w:t xml:space="preserve">: </w:t>
      </w:r>
      <w:r>
        <w:rPr>
          <w:rtl w:val="true"/>
        </w:rPr>
        <w:t>ריבונו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מציל</w:t>
      </w:r>
      <w:r>
        <w:rPr>
          <w:rtl w:val="true"/>
        </w:rPr>
        <w:t xml:space="preserve">.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!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מצילו</w:t>
      </w:r>
      <w:r>
        <w:rPr>
          <w:rtl w:val="true"/>
        </w:rPr>
        <w:t xml:space="preserve">. </w:t>
      </w:r>
      <w:r>
        <w:rPr>
          <w:rtl w:val="true"/>
        </w:rPr>
        <w:t>מנין</w:t>
      </w:r>
      <w:r>
        <w:rPr>
          <w:rtl w:val="true"/>
        </w:rPr>
        <w:t xml:space="preserve">?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ברכיה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 xml:space="preserve">: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ישעיהו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>]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תנחומא</w:t>
      </w:r>
      <w:r>
        <w:rPr>
          <w:rtl w:val="true"/>
        </w:rPr>
        <w:t xml:space="preserve">, </w:t>
      </w:r>
      <w:r>
        <w:rPr>
          <w:rtl w:val="true"/>
        </w:rPr>
        <w:t>תולדות</w:t>
      </w:r>
      <w:r>
        <w:rPr>
          <w:rtl w:val="true"/>
        </w:rPr>
        <w:t xml:space="preserve">, 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. </w:t>
      </w:r>
      <w:r>
        <w:rPr>
          <w:rtl w:val="true"/>
        </w:rPr>
        <w:t>ואהבת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צעירותו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זקנותו</w:t>
      </w:r>
      <w:r>
        <w:rPr>
          <w:rtl w:val="true"/>
        </w:rPr>
        <w:t xml:space="preserve">.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>-</w:t>
      </w:r>
      <w:r>
        <w:rPr>
          <w:rtl w:val="true"/>
        </w:rPr>
        <w:t>נכדה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בהינתן כל האמור</w:t>
      </w:r>
      <w:r>
        <w:rPr>
          <w:rtl w:val="true"/>
        </w:rPr>
        <w:t xml:space="preserve">, </w:t>
      </w:r>
      <w:r>
        <w:rPr>
          <w:rtl w:val="true"/>
        </w:rPr>
        <w:t>להשקפתי העונש שנגזר על המערער אינו מצדיק התערבות</w:t>
      </w:r>
      <w:r>
        <w:rPr>
          <w:rtl w:val="true"/>
        </w:rPr>
        <w:t xml:space="preserve">. </w:t>
      </w:r>
      <w:r>
        <w:rPr>
          <w:rtl w:val="true"/>
        </w:rPr>
        <w:t>הייתי מציע אם כן לחבריי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end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ab/>
        <w:tab/>
        <w:tab/>
        <w:tab/>
        <w:tab/>
        <w:tab/>
        <w:tab/>
        <w:tab/>
        <w:tab/>
        <w:t xml:space="preserve">      </w:t>
        <w:tab/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>
          <w:rFonts w:cs="Miriam"/>
          <w:sz w:val="24"/>
          <w:szCs w:val="24"/>
          <w:u w:val="single"/>
        </w:rPr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המשנה</w:t>
      </w:r>
      <w:r>
        <w:rPr>
          <w:rtl w:val="true"/>
        </w:rPr>
        <w:t>-</w:t>
      </w:r>
      <w:r>
        <w:rPr>
          <w:rtl w:val="true"/>
        </w:rPr>
        <w:t>לנשיאה</w:t>
      </w:r>
    </w:p>
    <w:p>
      <w:pPr>
        <w:pStyle w:val="Ruller41"/>
        <w:ind w:end="0"/>
        <w:jc w:val="end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24.1.2018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16092830</w:t>
      </w:r>
      <w:r>
        <w:rPr>
          <w:sz w:val="16"/>
          <w:rtl w:val="true"/>
        </w:rPr>
        <w:t>_</w:t>
      </w:r>
      <w:r>
        <w:rPr>
          <w:sz w:val="16"/>
        </w:rPr>
        <w:t>N05.doc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54678313-9283/16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97" w:right="1797" w:gutter="0" w:header="567" w:top="1701" w:footer="397" w:bottom="1276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9283/16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0897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245.a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b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case/20308979" TargetMode="External"/><Relationship Id="rId13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51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51.c.2" TargetMode="External"/><Relationship Id="rId20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245.a" TargetMode="External"/><Relationship Id="rId23" Type="http://schemas.openxmlformats.org/officeDocument/2006/relationships/hyperlink" Target="http://www.nevo.co.il/law/70301/351.c.2" TargetMode="External"/><Relationship Id="rId24" Type="http://schemas.openxmlformats.org/officeDocument/2006/relationships/hyperlink" Target="http://www.nevo.co.il/law/70301/345.b.1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51.a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51.b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/351.c.2" TargetMode="External"/><Relationship Id="rId34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/345.a.1" TargetMode="External"/><Relationship Id="rId36" Type="http://schemas.openxmlformats.org/officeDocument/2006/relationships/hyperlink" Target="http://www.nevo.co.il/law/70301/245.a" TargetMode="External"/><Relationship Id="rId37" Type="http://schemas.openxmlformats.org/officeDocument/2006/relationships/hyperlink" Target="http://www.nevo.co.il/case/20291363" TargetMode="External"/><Relationship Id="rId38" Type="http://schemas.openxmlformats.org/officeDocument/2006/relationships/hyperlink" Target="http://www.nevo.co.il/case/6958853" TargetMode="External"/><Relationship Id="rId39" Type="http://schemas.openxmlformats.org/officeDocument/2006/relationships/hyperlink" Target="http://www.nevo.co.il/case/10443017" TargetMode="External"/><Relationship Id="rId40" Type="http://schemas.openxmlformats.org/officeDocument/2006/relationships/hyperlink" Target="http://www.nevo.co.il/case/18765366" TargetMode="External"/><Relationship Id="rId41" Type="http://schemas.openxmlformats.org/officeDocument/2006/relationships/hyperlink" Target="http://www.nevo.co.il/case/20857048" TargetMode="External"/><Relationship Id="rId42" Type="http://schemas.openxmlformats.org/officeDocument/2006/relationships/hyperlink" Target="http://www.nevo.co.il/case/23233950" TargetMode="External"/><Relationship Id="rId43" Type="http://schemas.openxmlformats.org/officeDocument/2006/relationships/hyperlink" Target="http://www.nevo.co.il/case/18080699" TargetMode="External"/><Relationship Id="rId44" Type="http://schemas.openxmlformats.org/officeDocument/2006/relationships/hyperlink" Target="http://www.nevo.co.il/case/2445330" TargetMode="External"/><Relationship Id="rId45" Type="http://schemas.openxmlformats.org/officeDocument/2006/relationships/hyperlink" Target="http://www.nevo.co.il/case/20991830" TargetMode="External"/><Relationship Id="rId46" Type="http://schemas.openxmlformats.org/officeDocument/2006/relationships/hyperlink" Target="http://www.nevo.co.il/case/20963720" TargetMode="External"/><Relationship Id="rId47" Type="http://schemas.openxmlformats.org/officeDocument/2006/relationships/hyperlink" Target="http://www.nevo.co.il/case/20963720" TargetMode="External"/><Relationship Id="rId48" Type="http://schemas.openxmlformats.org/officeDocument/2006/relationships/hyperlink" Target="http://www.nevo.co.il/case/6247289" TargetMode="External"/><Relationship Id="rId49" Type="http://schemas.openxmlformats.org/officeDocument/2006/relationships/hyperlink" Target="http://www.nevo.co.il/case/6247428" TargetMode="External"/><Relationship Id="rId50" Type="http://schemas.openxmlformats.org/officeDocument/2006/relationships/hyperlink" Target="http://www.nevo.co.il/case/20991830" TargetMode="External"/><Relationship Id="rId51" Type="http://schemas.openxmlformats.org/officeDocument/2006/relationships/hyperlink" Target="http://www.nevo.co.il/case/22322664" TargetMode="External"/><Relationship Id="rId52" Type="http://schemas.openxmlformats.org/officeDocument/2006/relationships/hyperlink" Target="http://www.nevo.co.il/case/20963720" TargetMode="External"/><Relationship Id="rId53" Type="http://schemas.openxmlformats.org/officeDocument/2006/relationships/hyperlink" Target="http://www.court.gov.il/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2018-01-25T08:35:00Z</dcterms:created>
  <dc:creator> </dc:creator>
  <dc:description/>
  <cp:keywords/>
  <dc:language>en-IL</dc:language>
  <cp:lastModifiedBy>orly</cp:lastModifiedBy>
  <cp:lastPrinted>2017-11-26T17:07:00Z</cp:lastPrinted>
  <dcterms:modified xsi:type="dcterms:W3CDTF">2018-01-25T08:35:00Z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20308979:2;20291363;6958853;10443017;18765366;20857048;23233950;18080699;2445330;20991830:2;20963720:3;6247289;6247428;22322664</vt:lpwstr>
  </property>
  <property fmtid="{D5CDD505-2E9C-101B-9397-08002B2CF9AE}" pid="9" name="CITY">
    <vt:lpwstr/>
  </property>
  <property fmtid="{D5CDD505-2E9C-101B-9397-08002B2CF9AE}" pid="10" name="DATE">
    <vt:lpwstr>20180124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ברון;ד' מינץ;ח' מלצר</vt:lpwstr>
  </property>
  <property fmtid="{D5CDD505-2E9C-101B-9397-08002B2CF9AE}" pid="14" name="LAWLISTTMP1">
    <vt:lpwstr>70301/351.a:2;345.a.1:5;029:2;351.b:2;351.c.2:3;345.b.1:3;245.a:2;031:2</vt:lpwstr>
  </property>
  <property fmtid="{D5CDD505-2E9C-101B-9397-08002B2CF9AE}" pid="15" name="LAWYER">
    <vt:lpwstr>עידית פרג'ון;לידאוי ויסאם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16241;16970;8994;8982</vt:lpwstr>
  </property>
  <property fmtid="{D5CDD505-2E9C-101B-9397-08002B2CF9AE}" pid="59" name="PADIDATE">
    <vt:lpwstr>20180125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9283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410120180124</vt:lpwstr>
  </property>
  <property fmtid="{D5CDD505-2E9C-101B-9397-08002B2CF9AE}" pid="69" name="TYPE_N_DATE">
    <vt:lpwstr>41020180124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