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9284/17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יניב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Garamond" w:hAnsi="Garamond" w:cs="Miriam"/>
                <w:b/>
                <w:sz w:val="24"/>
                <w:szCs w:val="24"/>
              </w:rPr>
            </w:pP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Garamond" w:hAnsi="Garamond" w:cs="Miriam"/>
                  <w:b/>
                  <w:b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Garamond" w:hAnsi="Garamond"/>
                  <w:b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Garamond" w:hAnsi="Garamond" w:cs="Miriam"/>
                  <w:b/>
                  <w:b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Garamond" w:hAnsi="Garamond" w:eastAsia="Garamond" w:cs="Garamond"/>
                  <w:b/>
                  <w:b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Garamond" w:hAnsi="Garamond"/>
                  <w:b/>
                  <w:color w:val="0000FF"/>
                  <w:sz w:val="24"/>
                  <w:szCs w:val="24"/>
                  <w:u w:val="single"/>
                </w:rPr>
                <w:t>24417-01-12</w:t>
              </w:r>
            </w:hyperlink>
            <w:r>
              <w:rPr>
                <w:rFonts w:cs="Miriam" w:ascii="Garamond" w:hAnsi="Garamond"/>
                <w:b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 w:ascii="Garamond" w:hAnsi="Garamond"/>
                <w:b/>
                <w:sz w:val="24"/>
                <w:szCs w:val="24"/>
              </w:rPr>
              <w:t>25.10.2017</w:t>
            </w:r>
            <w:r>
              <w:rPr>
                <w:rFonts w:cs="Miriam" w:ascii="Garamond" w:hAnsi="Garamond"/>
                <w:b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Miriam" w:ascii="Garamond" w:hAnsi="Garamond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ascii="Garamond" w:hAnsi="Garamond" w:eastAsia="Garamond" w:cs="Garamond"/>
                <w:b/>
                <w:b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Miriam" w:ascii="Garamond" w:hAnsi="Garamond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Garamond" w:hAnsi="Garamond" w:cs="Miriam"/>
                <w:b/>
                <w:b/>
                <w:sz w:val="24"/>
                <w:sz w:val="24"/>
                <w:szCs w:val="24"/>
                <w:rtl w:val="true"/>
              </w:rPr>
              <w:t>מרוז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rFonts w:ascii="Garamond" w:hAnsi="Garamond" w:cs="FrankRuehl"/>
                <w:spacing w:val="10"/>
                <w:sz w:val="24"/>
              </w:rPr>
            </w:pP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בשם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המערער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>
                <w:rFonts w:ascii="Garamond" w:hAnsi="Garamond" w:cs="FrankRuehl"/>
                <w:spacing w:val="10"/>
                <w:sz w:val="24"/>
              </w:rPr>
            </w:pP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עו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>"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ד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עפר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ברטל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 xml:space="preserve">;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עו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>"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ד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שגיא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בלומנפלד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rFonts w:ascii="Garamond" w:hAnsi="Garamond" w:cs="FrankRuehl"/>
                <w:spacing w:val="10"/>
                <w:sz w:val="24"/>
              </w:rPr>
            </w:pPr>
            <w:bookmarkStart w:id="4" w:name="FirstLawyer"/>
            <w:bookmarkEnd w:id="4"/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בשם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המשיב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ה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>
                <w:rFonts w:ascii="Garamond" w:hAnsi="Garamond" w:cs="FrankRuehl"/>
                <w:spacing w:val="10"/>
                <w:sz w:val="24"/>
              </w:rPr>
            </w:pP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עו</w:t>
            </w:r>
            <w:r>
              <w:rPr>
                <w:rFonts w:cs="FrankRuehl" w:ascii="Garamond" w:hAnsi="Garamond"/>
                <w:spacing w:val="10"/>
                <w:sz w:val="24"/>
                <w:rtl w:val="true"/>
              </w:rPr>
              <w:t>"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ד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חיים</w:t>
            </w:r>
            <w:r>
              <w:rPr>
                <w:rFonts w:ascii="Garamond" w:hAnsi="Garamond" w:eastAsia="Garamond" w:cs="Garamond"/>
                <w:spacing w:val="10"/>
                <w:sz w:val="24"/>
                <w:sz w:val="24"/>
                <w:rtl w:val="true"/>
              </w:rPr>
              <w:t xml:space="preserve"> </w:t>
            </w:r>
            <w:r>
              <w:rPr>
                <w:rFonts w:ascii="Garamond" w:hAnsi="Garamond" w:cs="FrankRuehl"/>
                <w:spacing w:val="10"/>
                <w:sz w:val="24"/>
                <w:sz w:val="24"/>
                <w:rtl w:val="true"/>
              </w:rPr>
              <w:t>שווייצר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406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499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162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162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חוק הליכי חקירה והעדה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התאמה לאנשים עם מוגבלות שכלית או נפשית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22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את ערעור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שוטר לשעבר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בביצוע עבירות שעיקרן שוד כספת של חמיו בשותפות עם 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 שהושת עליו והרשעתו בעבירה של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מצא כל עילה לבטל את 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 בעונשו או להפחית את סכום הפיצויים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מחדלי חקירה – נפקותם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הגנות – הגנה מן הצדק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ראיות סיוע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חיזוק – עוצמתו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שיבוש הליכי משפט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שירת במשטרת 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ובין היתר הוצב בכוח אבטחה על עבריין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ששימש סוכן סמוי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סייע להפליל עברייני סמים ונדרש להגנה מפניהם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עמד לדין עם אחרים על עבירות שעיקרן שוד כספת של חמיו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בשותפות עם 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בעבירות שונות ונדון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על תנאי ופיצוי בסך </w:t>
      </w:r>
      <w:r>
        <w:rPr>
          <w:rFonts w:cs="Times New Roman" w:ascii="Times New Roman" w:hAnsi="Times New Roman"/>
          <w:spacing w:val="0"/>
          <w:szCs w:val="26"/>
        </w:rPr>
        <w:t>150,000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בנוסף המערער הורשע בשיבוש מהלכי משפט בגין מסירת פרטי חקירה שאליה הוזמן מכר שלו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ליאור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מבקש לבטל את הרשעתו ולחלופין להקל בעונשו או להפחית את סכום הפיצויים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מתערבת בממצאי עובדה ומהימנות שנקבעו בידי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 מקרה זה נמנה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טל תיאר את המעשים המיוחסים למערער ביחס לפריצה ועדותו השתלבה עם ממצאים בשטח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 טל עד 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נדרשת ראיית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ראיה מגיעה כדי סיוע כשהיא באה ממקור עצמאי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מסבכת את הנאשם בביצוע המיוחס לו ומתייחסת לנקודה מהותית שבמחלוקת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התביעה הביאה ראיות העולות כדי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 אחת מהן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וצירופן זו לזו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תומכים במידה מספקת בעדותו של טל ומביאים להרשעת המערער בעבירות שיוחסו לו בקשר לפריצה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 מהנדרש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עוצמת המסקנה המרשיעה גוברת בשל ראיית חיזוק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הימנעות המערער מלהעיד במשפטו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כקביעת סעיף </w:t>
      </w:r>
      <w:r>
        <w:rPr>
          <w:rFonts w:cs="Times New Roman" w:ascii="Times New Roman" w:hAnsi="Times New Roman"/>
          <w:spacing w:val="0"/>
          <w:szCs w:val="26"/>
        </w:rPr>
        <w:t>162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 הנפשי של המערער אינו משנה תוצאה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הואיל ולא נמצאה עילה להימנע מלהעיד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סירובו להעיד אינו עולה בקנה אחד עם בקשה שלא לזקוף את שתיקתו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הטענה למחדלים בחקירה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כי כמה מהסוגיות מעוררות קשיים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גם אילו היה מדובר במחדל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אם המחדל בחקירה מעלה חשש כי הגנת הנאשם קופחה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ואם על אף המחדל הונחה תשתית ראייתית מספיקה להוכחת 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דנן התשובה לשאלה הראשונה שלילית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ולשנייה חיובית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המכלול הראייתי מוכיח את האשמה למעלה מספק סביר והמחדלים הנטענים אינם פוגמים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לאישום השלישי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ידע כי ליאור נקרא לחקירה בלי לדעת על מה יישאל ועל אף זאת מסר לו את נושאהּ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זו חריגה מההיתר לשוטר למסור לאזרחים רק אינפורמציה טכנית גרידא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בלי לנגוע כלל במהות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בשלביה או בתוצאותיה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עולה כדי עבירת שיבוש מהלכי 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שהגדרתה כוללת שיבוש חקירת משטרה שקודמת למשפט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והאוסרת בין היתר פגיעה במטרת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ביסוד הנפשי של העבירה נכללות מודעות למעשה ולנסיבות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להכשיל חקירת 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 הטבעית של מסירת פרט חסוי לנחקר היא כי ייוודע לו דבר מה שאינו אמור להיות בידיעתו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ובזאת תיפגע אחת ממטרות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להפתיע אותו ולקבל את תגובתו הספונטנית לשאלה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שהוא נחקר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שהוא עד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 שהוא מבוקש לחקירה מטעם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לחזקה כי אדם מתכוון לתוצאות הטבעיות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 נסתרה 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רואים במערער מי שהתכוון להשיג תוצאה זו וכך להכשיל את חקירת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טענות המערער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הגנה מן הצדק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ואכיפה מפלה 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השיהוי בהגשת כתב האישום נטען בעיקר לעניין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התחשב בו במידה מספקת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בשילוב הגורמים האמורים משום פגיעה חמורה בתחושת הצדק העשויה להביא לזיכוי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לחיוב בפיצויים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צירף את המתלונן בתור משיב בערעור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 מקום אין עילה להתערב ברכיב הפיצויים שמבטא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הנזק שנגרם למתלונן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הפר את חובותיו כשוטר וכבן משפחה ושיתף פעולה עם עבריינים למען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רגילות היה מקום לגזור עליו עונש מאסר בפועל שאורכו בשנים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בשל מצבו הרפואי וחלוף הזמן הוטל עונש מאסר קצר בעבודות שירות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מטעם זה אין מקום להקל עימו ברכיב אחר של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bookmarkStart w:id="16" w:name="Start_Write"/>
      <w:bookmarkEnd w:id="16"/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>לוד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מרוז</w:t>
      </w:r>
      <w:r>
        <w:rPr>
          <w:rtl w:val="true"/>
        </w:rPr>
        <w:t xml:space="preserve">) </w:t>
      </w:r>
      <w:r>
        <w:rPr>
          <w:rtl w:val="true"/>
        </w:rPr>
        <w:t>מהתאריכים</w:t>
      </w:r>
      <w:r>
        <w:rPr>
          <w:rFonts w:eastAsia="Garamond" w:cs="Garamond"/>
          <w:rtl w:val="true"/>
        </w:rPr>
        <w:t xml:space="preserve"> </w:t>
      </w:r>
      <w:r>
        <w:rPr/>
        <w:t>30.1.2017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25.10.2017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24417-01-12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Garamond" w:cs="Garamond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ומחודש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מארס</w:t>
      </w:r>
      <w:r>
        <w:rPr>
          <w:rFonts w:eastAsia="Garamond" w:cs="Garamond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טל</w:t>
      </w:r>
      <w:r>
        <w:rPr>
          <w:rtl w:val="true"/>
        </w:rPr>
        <w:t xml:space="preserve">), </w:t>
      </w:r>
      <w:r>
        <w:rPr>
          <w:rtl w:val="true"/>
        </w:rPr>
        <w:t>עבריין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>
          <w:u w:val="none"/>
        </w:rPr>
      </w:pPr>
      <w:r>
        <w:rPr>
          <w:u w:val="none"/>
          <w:rtl w:val="true"/>
        </w:rPr>
        <w:t>תמצית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המתואר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בכתב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האישום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ופסק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הדין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בבית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המשפט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המחוזי</w:t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בלש</w:t>
      </w:r>
      <w:r>
        <w:rPr>
          <w:rtl w:val="true"/>
        </w:rPr>
        <w:t xml:space="preserve">, </w:t>
      </w:r>
      <w:r>
        <w:rPr>
          <w:rtl w:val="true"/>
        </w:rPr>
        <w:t>ושוטר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שאבטח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עמוס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איילון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אילן</w:t>
      </w:r>
      <w:r>
        <w:rPr>
          <w:rtl w:val="true"/>
        </w:rPr>
        <w:t xml:space="preserve">), </w:t>
      </w:r>
      <w:r>
        <w:rPr>
          <w:rtl w:val="true"/>
        </w:rPr>
        <w:t>תכננו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ולגנוב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מכספתו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ואילן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יסגיר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יפליל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ונסעו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לתכנן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העתידית</w:t>
      </w:r>
      <w:r>
        <w:rPr>
          <w:rtl w:val="true"/>
        </w:rPr>
        <w:t xml:space="preserve">. </w:t>
      </w:r>
      <w:r>
        <w:rPr>
          <w:rtl w:val="true"/>
        </w:rPr>
        <w:t>למימוש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ולקידומו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יבצעו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ותיאמו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לתמורה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אביטון</w:t>
      </w:r>
      <w:r>
        <w:rPr>
          <w:rtl w:val="true"/>
        </w:rPr>
        <w:t xml:space="preserve">, </w:t>
      </w:r>
      <w:r>
        <w:rPr>
          <w:rtl w:val="true"/>
        </w:rPr>
        <w:t>חברו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ומקורבו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אורן</w:t>
      </w:r>
      <w:r>
        <w:rPr>
          <w:rtl w:val="true"/>
        </w:rPr>
        <w:t xml:space="preserve">),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9.9.2008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הסורגים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שהותקנו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, </w:t>
      </w:r>
      <w:r>
        <w:rPr>
          <w:rtl w:val="true"/>
        </w:rPr>
        <w:t>איתר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46,000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, 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אירו</w:t>
      </w:r>
      <w:r>
        <w:rPr>
          <w:rtl w:val="true"/>
        </w:rPr>
        <w:t xml:space="preserve">, </w:t>
      </w:r>
      <w:r>
        <w:rPr/>
        <w:t>586</w:t>
      </w:r>
      <w:r>
        <w:rPr>
          <w:rtl w:val="true"/>
        </w:rPr>
        <w:t xml:space="preserve"> </w:t>
      </w:r>
      <w:r>
        <w:rPr>
          <w:rtl w:val="true"/>
        </w:rPr>
        <w:t>ליש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). </w:t>
      </w:r>
      <w:r>
        <w:rPr>
          <w:rtl w:val="true"/>
        </w:rPr>
        <w:t>השלושה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קברו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מהשלל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ובכסף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התכשיטים</w:t>
      </w:r>
      <w:r>
        <w:rPr>
          <w:rtl w:val="true"/>
        </w:rPr>
        <w:t xml:space="preserve">.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מח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מידע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בכזב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נלקח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ומסירת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30.4.2009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גליקרוב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ליאור</w:t>
      </w:r>
      <w:r>
        <w:rPr>
          <w:rtl w:val="true"/>
        </w:rPr>
        <w:t xml:space="preserve">), </w:t>
      </w:r>
      <w:r>
        <w:rPr>
          <w:rtl w:val="true"/>
        </w:rPr>
        <w:t>וביקש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שזומן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בזימון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התביעה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ובמרכזן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שהגדיר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" </w:t>
      </w:r>
      <w:r>
        <w:rPr>
          <w:rtl w:val="true"/>
        </w:rPr>
        <w:t>והוסיף</w:t>
      </w:r>
      <w:r>
        <w:rPr>
          <w:rtl w:val="true"/>
        </w:rPr>
        <w:t>: "</w:t>
      </w:r>
      <w:r>
        <w:rPr>
          <w:rtl w:val="true"/>
        </w:rPr>
        <w:t>פעמים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לעמימות</w:t>
      </w:r>
      <w:r>
        <w:rPr>
          <w:rtl w:val="true"/>
        </w:rPr>
        <w:t xml:space="preserve">", </w:t>
      </w:r>
      <w:r>
        <w:rPr>
          <w:rtl w:val="true"/>
        </w:rPr>
        <w:t>ועם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בהירה</w:t>
      </w:r>
      <w:r>
        <w:rPr>
          <w:rtl w:val="true"/>
        </w:rPr>
        <w:t xml:space="preserve">, </w:t>
      </w:r>
      <w:r>
        <w:rPr>
          <w:rtl w:val="true"/>
        </w:rPr>
        <w:t>מוצקה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ונתמכת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מקימות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: </w:t>
      </w:r>
      <w:r>
        <w:rPr>
          <w:rtl w:val="true"/>
        </w:rPr>
        <w:t>הביצוע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מוכמנים</w:t>
      </w:r>
      <w:r>
        <w:rPr>
          <w:rtl w:val="true"/>
        </w:rPr>
        <w:t xml:space="preserve">; </w:t>
      </w:r>
      <w:r>
        <w:rPr>
          <w:rtl w:val="true"/>
        </w:rPr>
        <w:t>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מבוקרות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; </w:t>
      </w:r>
      <w:r>
        <w:rPr>
          <w:rtl w:val="true"/>
        </w:rPr>
        <w:t>ובחקירתו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ascii="Times New Roman" w:hAnsi="Times New Roman" w:cs="Times New Roman"/>
          <w:rtl w:val="true"/>
        </w:rPr>
        <w:t>–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2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post-traumatic stress disorder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מונעת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לשתיקתו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ארחיב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: </w:t>
      </w:r>
      <w:r>
        <w:rPr>
          <w:rtl w:val="true"/>
        </w:rPr>
        <w:t>שירותו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; </w:t>
      </w:r>
      <w:r>
        <w:rPr>
          <w:rtl w:val="true"/>
        </w:rPr>
        <w:t>הפרעת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דולפינריום</w:t>
      </w:r>
      <w:r>
        <w:rPr>
          <w:rtl w:val="true"/>
        </w:rPr>
        <w:t xml:space="preserve">" </w:t>
      </w:r>
      <w:r>
        <w:rPr>
          <w:rtl w:val="true"/>
        </w:rPr>
        <w:t>בשנת</w:t>
      </w:r>
      <w:r>
        <w:rPr>
          <w:rFonts w:eastAsia="Garamond" w:cs="Garamond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גירושיו</w:t>
      </w:r>
      <w:r>
        <w:rPr>
          <w:rtl w:val="true"/>
        </w:rPr>
        <w:t xml:space="preserve">, </w:t>
      </w:r>
      <w:r>
        <w:rPr>
          <w:rtl w:val="true"/>
        </w:rPr>
        <w:t>קשריו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השטחיים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נשקלה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חתנו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שנפרץ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וההתפרצות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Fonts w:cs="Times New Roman" w:ascii="Times New Roman" w:hAnsi="Times New Roman"/>
          <w:rtl w:val="true"/>
        </w:rPr>
        <w:t>–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: </w:t>
      </w:r>
      <w:r>
        <w:rPr>
          <w:rtl w:val="true"/>
        </w:rPr>
        <w:t>חלוף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איטית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ומעכבת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השפיע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לקוּלה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Garamond" w:cs="Garamond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)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>
          <w:u w:val="none"/>
        </w:rPr>
      </w:pPr>
      <w:r>
        <w:rPr>
          <w:u w:val="none"/>
          <w:rtl w:val="true"/>
        </w:rPr>
        <w:t>תמצית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טענות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הצדדים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בערעור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בהודעת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ובטיעונים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, </w:t>
      </w:r>
      <w:r>
        <w:rPr>
          <w:rtl w:val="true"/>
        </w:rPr>
        <w:t>מפאת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ומחמת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בעוצמה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; </w:t>
      </w:r>
      <w:r>
        <w:rPr>
          <w:rtl w:val="true"/>
        </w:rPr>
        <w:t>הימנעותו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חיזוק</w:t>
      </w:r>
      <w:r>
        <w:rPr>
          <w:rtl w:val="true"/>
        </w:rPr>
        <w:t xml:space="preserve">" </w:t>
      </w:r>
      <w:r>
        <w:rPr>
          <w:rtl w:val="true"/>
        </w:rPr>
        <w:t>לראיות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מחדלי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; </w:t>
      </w:r>
      <w:r>
        <w:rPr>
          <w:rtl w:val="true"/>
        </w:rPr>
        <w:t>עומדת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תרגיל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יתדותיה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וסבורה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>
          <w:u w:val="none"/>
        </w:rPr>
      </w:pPr>
      <w:r>
        <w:rPr>
          <w:u w:val="none"/>
          <w:rtl w:val="true"/>
        </w:rPr>
        <w:t>דיון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28.2.2018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מקצועיות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עורכיהן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דאהן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מכוונות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האישום</w:t>
      </w:r>
      <w:r>
        <w:rPr>
          <w:rFonts w:eastAsia="Calibri Light" w:cs="Calibri Light"/>
          <w:rtl w:val="true"/>
        </w:rPr>
        <w:t xml:space="preserve"> </w:t>
      </w:r>
      <w:r>
        <w:rPr>
          <w:rtl w:val="true"/>
        </w:rPr>
        <w:t>הראשון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מתחשבות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בתחכומו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ובהיותו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ותחומות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להשתלבותן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לשכנענו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לפריצה</w:t>
      </w:r>
      <w:r>
        <w:rPr>
          <w:rtl w:val="true"/>
        </w:rPr>
        <w:t xml:space="preserve">: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ההכנות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השתלבה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 </w:t>
      </w:r>
      <w:r>
        <w:rPr>
          <w:rtl w:val="true"/>
        </w:rPr>
        <w:t>לעדותו</w:t>
      </w:r>
      <w:r>
        <w:rPr>
          <w:rtl w:val="true"/>
        </w:rPr>
        <w:t xml:space="preserve">. </w:t>
      </w:r>
      <w:r>
        <w:rPr>
          <w:rtl w:val="true"/>
        </w:rPr>
        <w:t>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מסבכת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נחמני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17.9.2018</w:t>
      </w:r>
      <w:r>
        <w:rPr>
          <w:rtl w:val="true"/>
        </w:rPr>
        <w:t xml:space="preserve">)).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ברצינות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המזימה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שדיבר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בבדיחות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Fonts w:ascii="FrankRuehl" w:hAnsi="FrankRuehl"/>
          <w:rtl w:val="true"/>
        </w:rPr>
        <w:t>ִׁ</w:t>
      </w:r>
      <w:r>
        <w:rPr>
          <w:rtl w:val="true"/>
        </w:rPr>
        <w:t>פ</w:t>
      </w:r>
      <w:r>
        <w:rPr>
          <w:rFonts w:ascii="FrankRuehl" w:hAnsi="FrankRuehl"/>
          <w:rtl w:val="true"/>
        </w:rPr>
        <w:t>ְ</w:t>
      </w:r>
      <w:r>
        <w:rPr>
          <w:rtl w:val="true"/>
        </w:rPr>
        <w:t>ע</w:t>
      </w:r>
      <w:r>
        <w:rPr>
          <w:rFonts w:ascii="FrankRuehl" w:hAnsi="FrankRuehl"/>
          <w:rtl w:val="true"/>
        </w:rPr>
        <w:t>ַ</w:t>
      </w:r>
      <w:r>
        <w:rPr>
          <w:rtl w:val="true"/>
        </w:rPr>
        <w:t>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17.2.2009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567" w:start="2211" w:end="1282"/>
        <w:jc w:val="both"/>
        <w:rPr>
          <w:rFonts w:ascii="Garamond" w:hAnsi="Garamond" w:cs="Garamond"/>
          <w:sz w:val="24"/>
        </w:rPr>
      </w:pPr>
      <w:r>
        <w:rPr>
          <w:rtl w:val="true"/>
        </w:rPr>
        <w:t>"</w:t>
      </w:r>
      <w:r>
        <w:rPr>
          <w:rtl w:val="true"/>
        </w:rPr>
        <w:t>טל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אילן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>'</w:t>
      </w:r>
      <w:r>
        <w:rPr>
          <w:rFonts w:cs="Garamond" w:ascii="Garamond" w:hAnsi="Garamond"/>
          <w:sz w:val="24"/>
          <w:rtl w:val="true"/>
        </w:rPr>
        <w:t xml:space="preserve">] </w:t>
      </w:r>
      <w:r>
        <w:rPr>
          <w:rFonts w:ascii="Garamond" w:hAnsi="Garamond" w:cs="Garamond"/>
          <w:sz w:val="24"/>
          <w:sz w:val="24"/>
          <w:rtl w:val="true"/>
        </w:rPr>
        <w:t xml:space="preserve">אמר לי גם תשמע אל תתבאס אבל דע שחורש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>'</w:t>
      </w:r>
      <w:r>
        <w:rPr>
          <w:rFonts w:cs="Garamond" w:ascii="Garamond" w:hAnsi="Garamond"/>
          <w:sz w:val="24"/>
          <w:rtl w:val="true"/>
        </w:rPr>
        <w:t xml:space="preserve">] </w:t>
      </w:r>
      <w:r>
        <w:rPr>
          <w:rFonts w:ascii="Garamond" w:hAnsi="Garamond" w:cs="Garamond"/>
          <w:sz w:val="24"/>
          <w:sz w:val="24"/>
          <w:rtl w:val="true"/>
        </w:rPr>
        <w:t>עשה לי עקיפה למה תכננו את זה אני והוא חצי שנה הוא גם</w:t>
      </w:r>
    </w:p>
    <w:p>
      <w:pPr>
        <w:pStyle w:val="Ruller5"/>
        <w:ind w:hanging="567" w:start="2211" w:end="1282"/>
        <w:jc w:val="both"/>
        <w:rPr>
          <w:rFonts w:ascii="Garamond" w:hAnsi="Garamond" w:cs="Garamond"/>
          <w:sz w:val="24"/>
        </w:rPr>
      </w:pPr>
      <w:r>
        <w:rPr>
          <w:rFonts w:ascii="Garamond" w:hAnsi="Garamond" w:cs="Garamond"/>
          <w:sz w:val="24"/>
          <w:sz w:val="24"/>
          <w:rtl w:val="true"/>
        </w:rPr>
        <w:t>יניב</w:t>
      </w:r>
      <w:r>
        <w:rPr>
          <w:rFonts w:cs="Garamond" w:ascii="Garamond" w:hAnsi="Garamond"/>
          <w:sz w:val="24"/>
          <w:rtl w:val="true"/>
        </w:rPr>
        <w:t>: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>זה נכון</w:t>
      </w:r>
      <w:r>
        <w:rPr>
          <w:rFonts w:cs="Garamond" w:ascii="Garamond" w:hAnsi="Garamond"/>
          <w:sz w:val="24"/>
          <w:rtl w:val="true"/>
        </w:rPr>
        <w:t>" (</w:t>
      </w:r>
      <w:r>
        <w:rPr>
          <w:rFonts w:ascii="Garamond" w:hAnsi="Garamond" w:cs="Garamond"/>
          <w:sz w:val="24"/>
          <w:sz w:val="24"/>
          <w:rtl w:val="true"/>
        </w:rPr>
        <w:t>ת</w:t>
      </w:r>
      <w:r>
        <w:rPr>
          <w:rFonts w:cs="Garamond" w:ascii="Garamond" w:hAnsi="Garamond"/>
          <w:sz w:val="24"/>
          <w:rtl w:val="true"/>
        </w:rPr>
        <w:t>/</w:t>
      </w:r>
      <w:r>
        <w:rPr>
          <w:rFonts w:cs="Garamond" w:ascii="Garamond" w:hAnsi="Garamond"/>
          <w:sz w:val="24"/>
        </w:rPr>
        <w:t>16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cs="Garamond" w:ascii="Garamond" w:hAnsi="Garamond"/>
          <w:sz w:val="24"/>
        </w:rPr>
        <w:t>149</w:t>
      </w:r>
      <w:r>
        <w:rPr>
          <w:rFonts w:cs="Times New Roman" w:ascii="Times New Roman" w:hAnsi="Times New Roman"/>
          <w:sz w:val="24"/>
          <w:rtl w:val="true"/>
        </w:rPr>
        <w:t>–</w:t>
      </w:r>
      <w:r>
        <w:rPr>
          <w:rFonts w:cs="Garamond" w:ascii="Garamond" w:hAnsi="Garamond"/>
          <w:sz w:val="24"/>
        </w:rPr>
        <w:t>15</w:t>
      </w:r>
      <w:r>
        <w:rPr>
          <w:rFonts w:cs="Garamond" w:ascii="Garamond" w:hAnsi="Garamond"/>
          <w:sz w:val="24"/>
        </w:rPr>
        <w:t>1</w:t>
      </w:r>
      <w:r>
        <w:rPr>
          <w:rFonts w:cs="Garamond" w:ascii="Garamond" w:hAnsi="Garamond"/>
          <w:sz w:val="24"/>
          <w:rtl w:val="true"/>
        </w:rPr>
        <w:t>).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/>
          <w:sz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בשיחות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199</w:t>
      </w:r>
      <w:r>
        <w:rPr>
          <w:rFonts w:cs="Times New Roman" w:ascii="Times New Roman" w:hAnsi="Times New Roman"/>
          <w:rtl w:val="true"/>
        </w:rPr>
        <w:t>–</w:t>
      </w:r>
      <w:r>
        <w:rPr/>
        <w:t>20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כינה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שנגנב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סתרים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>, "</w:t>
      </w:r>
      <w:r>
        <w:rPr>
          <w:rtl w:val="true"/>
        </w:rPr>
        <w:t>בחורה</w:t>
      </w:r>
      <w:r>
        <w:rPr>
          <w:rtl w:val="true"/>
        </w:rPr>
        <w:t xml:space="preserve">". </w:t>
      </w:r>
      <w:r>
        <w:rPr>
          <w:rtl w:val="true"/>
        </w:rPr>
        <w:t>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לכספת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אילן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בהתלוצצות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94</w:t>
      </w:r>
      <w:r>
        <w:rPr>
          <w:rFonts w:cs="Times New Roman" w:ascii="Times New Roman" w:hAnsi="Times New Roman"/>
          <w:rtl w:val="true"/>
        </w:rPr>
        <w:t>–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-</w:t>
      </w:r>
      <w:r>
        <w:rPr>
          <w:rtl w:val="true"/>
        </w:rPr>
        <w:tab/>
      </w:r>
      <w:r>
        <w:rPr>
          <w:rtl w:val="true"/>
        </w:rPr>
        <w:t>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במעורבותו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השתתף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והצבעה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השחזור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ונימק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צירופן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לזו</w:t>
      </w:r>
      <w:r>
        <w:rPr>
          <w:rtl w:val="true"/>
        </w:rPr>
        <w:t xml:space="preserve">, </w:t>
      </w:r>
      <w:r>
        <w:rPr>
          <w:rtl w:val="true"/>
        </w:rPr>
        <w:t>תומכים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ומביאים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לפריצה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מהנדרש</w:t>
      </w:r>
      <w:r>
        <w:rPr>
          <w:rtl w:val="true"/>
        </w:rPr>
        <w:t xml:space="preserve">, </w:t>
      </w:r>
      <w:r>
        <w:rPr>
          <w:rtl w:val="true"/>
        </w:rPr>
        <w:t>עוצמת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המרשיעה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גוברת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, </w:t>
      </w:r>
      <w:r>
        <w:rPr>
          <w:rtl w:val="true"/>
        </w:rPr>
        <w:t>מהימנעות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כקביעת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Garamond" w:cs="Garamond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162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. </w:t>
      </w:r>
      <w:r>
        <w:rPr>
          <w:rtl w:val="true"/>
        </w:rPr>
        <w:t>כבית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בהתאמות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שתקלנה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הליכי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חקירה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והעדה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התאמה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לאנשים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עם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מוגבלות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שכלית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נפשית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ascii="Times New Roman" w:hAnsi="Times New Roman" w:cs="Times New Roman"/>
          <w:rtl w:val="true"/>
        </w:rPr>
        <w:t>–</w:t>
      </w:r>
      <w:r>
        <w:rPr/>
        <w:t>2005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עדויותיהם</w:t>
      </w:r>
      <w:r>
        <w:rPr>
          <w:rtl w:val="true"/>
        </w:rPr>
        <w:t xml:space="preserve">, </w:t>
      </w:r>
      <w:r>
        <w:rPr>
          <w:rtl w:val="true"/>
        </w:rPr>
        <w:t>העדיף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גולד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הערכתם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מומחי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לוציאן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מוסקוביץ</w:t>
      </w:r>
      <w:r>
        <w:rPr>
          <w:rtl w:val="true"/>
        </w:rPr>
        <w:t xml:space="preserve">'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לדרדר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התאבדות</w:t>
      </w:r>
      <w:r>
        <w:rPr>
          <w:rtl w:val="true"/>
        </w:rPr>
        <w:t xml:space="preserve">. </w:t>
      </w:r>
      <w:r>
        <w:rPr>
          <w:rtl w:val="true"/>
        </w:rPr>
        <w:t>בקביעה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. </w:t>
      </w:r>
      <w:r>
        <w:rPr>
          <w:rtl w:val="true"/>
        </w:rPr>
        <w:t>סכנה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לאובדנות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נצפתה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מטפלו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מוסקוביץ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 xml:space="preserve">;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הצפוי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מנוגדות</w:t>
      </w:r>
      <w:r>
        <w:rPr>
          <w:rtl w:val="true"/>
        </w:rPr>
        <w:t xml:space="preserve">: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סוגיות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יישומיות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בפסיכולוגיה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משפטית</w:t>
      </w:r>
      <w:r>
        <w:rPr>
          <w:rFonts w:eastAsia="Garamond" w:cs="Garamond"/>
          <w:rtl w:val="true"/>
        </w:rPr>
        <w:t xml:space="preserve"> </w:t>
      </w:r>
      <w:r>
        <w:rPr/>
        <w:t>181</w:t>
      </w:r>
      <w:r>
        <w:rPr>
          <w:rtl w:val="true"/>
        </w:rPr>
        <w:t xml:space="preserve"> (</w:t>
      </w:r>
      <w:r>
        <w:rPr>
          <w:rtl w:val="true"/>
        </w:rPr>
        <w:t>דוד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יגיל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ראשי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בהתאמות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ויהי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עמדתו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10161/09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51</w:t>
      </w:r>
      <w:r>
        <w:rPr>
          <w:rFonts w:cs="Times New Roman" w:ascii="Times New Roman" w:hAnsi="Times New Roman"/>
          <w:rtl w:val="true"/>
        </w:rPr>
        <w:t>–</w:t>
      </w:r>
      <w:r>
        <w:rPr/>
        <w:t>56</w:t>
      </w:r>
      <w:r>
        <w:rPr>
          <w:rtl w:val="true"/>
        </w:rPr>
        <w:t xml:space="preserve"> (</w:t>
      </w:r>
      <w:r>
        <w:rPr/>
        <w:t>11.10.2010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ועוד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עניינים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שהגעתי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סופרלנד</w:t>
      </w:r>
      <w:r>
        <w:rPr>
          <w:rtl w:val="true"/>
        </w:rPr>
        <w:t xml:space="preserve">", </w:t>
      </w:r>
      <w:r>
        <w:rPr>
          <w:rtl w:val="true"/>
        </w:rPr>
        <w:t>הניידת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התחפרה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בחילוץ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תמיהות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מלספקו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. </w:t>
      </w:r>
      <w:r>
        <w:rPr>
          <w:rtl w:val="true"/>
        </w:rPr>
        <w:t>בדוגמה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: </w:t>
      </w:r>
      <w:r>
        <w:rPr>
          <w:rtl w:val="true"/>
        </w:rPr>
        <w:t>השלושה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חסרי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ושנמצאו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התחפרה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בחולות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מלהסביר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ממכריו</w:t>
      </w:r>
      <w:r>
        <w:rPr>
          <w:rtl w:val="true"/>
        </w:rPr>
        <w:t xml:space="preserve">. </w:t>
      </w:r>
      <w:r>
        <w:rPr>
          <w:rtl w:val="true"/>
        </w:rPr>
        <w:t>באין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מהסוגיות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המצוינות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בווידאו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והצבעה</w:t>
      </w:r>
      <w:r>
        <w:rPr>
          <w:rtl w:val="true"/>
        </w:rPr>
        <w:t xml:space="preserve">" </w:t>
      </w:r>
      <w:r>
        <w:rPr>
          <w:rtl w:val="true"/>
        </w:rPr>
        <w:t>בהשתתפות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הסרטה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בעידן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חכם</w:t>
      </w:r>
      <w:r>
        <w:rPr>
          <w:rtl w:val="true"/>
        </w:rPr>
        <w:t xml:space="preserve">" </w:t>
      </w:r>
      <w:r>
        <w:rPr>
          <w:rtl w:val="true"/>
        </w:rPr>
        <w:t>משמש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סרטונים</w:t>
      </w:r>
      <w:r>
        <w:rPr>
          <w:rtl w:val="true"/>
        </w:rPr>
        <w:t xml:space="preserve">, </w:t>
      </w:r>
      <w:r>
        <w:rPr>
          <w:rtl w:val="true"/>
        </w:rPr>
        <w:t>ההימנעות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מהסרטה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טכנולוגיה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קופחה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מחאג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נה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ולשנייה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קיפוח</w:t>
      </w:r>
      <w:r>
        <w:rPr>
          <w:rtl w:val="true"/>
        </w:rPr>
        <w:t xml:space="preserve">" </w:t>
      </w:r>
      <w:r>
        <w:rPr>
          <w:rtl w:val="true"/>
        </w:rPr>
        <w:t>הגנת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לגופן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במסקנותיו</w:t>
      </w:r>
      <w:r>
        <w:rPr>
          <w:rtl w:val="true"/>
        </w:rPr>
        <w:t xml:space="preserve">. </w:t>
      </w:r>
      <w:r>
        <w:rPr>
          <w:rtl w:val="true"/>
        </w:rPr>
        <w:t>לסנגוריה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החסרים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ולתקן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;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לחסרים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המחדלים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הראייתי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האישום</w:t>
      </w:r>
      <w:r>
        <w:rPr>
          <w:rFonts w:eastAsia="Calibri Light" w:cs="Calibri Light"/>
          <w:rtl w:val="true"/>
        </w:rPr>
        <w:t xml:space="preserve"> </w:t>
      </w:r>
      <w:r>
        <w:rPr>
          <w:rtl w:val="true"/>
        </w:rPr>
        <w:t>השלישי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תרשומת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28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11.6.2009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ולראיה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הסיכומים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Garamond" w:cs="Garamond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התרשומת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Garamond" w:cs="Garamond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290</w:t>
      </w:r>
      <w:r>
        <w:rPr>
          <w:rFonts w:cs="Times New Roman" w:ascii="Times New Roman" w:hAnsi="Times New Roman"/>
          <w:rtl w:val="true"/>
        </w:rPr>
        <w:t>–</w:t>
      </w:r>
      <w:r>
        <w:rPr/>
        <w:t>306</w:t>
      </w:r>
      <w:r>
        <w:rPr>
          <w:rtl w:val="true"/>
        </w:rPr>
        <w:t xml:space="preserve">, </w:t>
      </w:r>
      <w:r>
        <w:rPr/>
        <w:t>332</w:t>
      </w:r>
      <w:r>
        <w:rPr>
          <w:rFonts w:cs="Times New Roman" w:ascii="Times New Roman" w:hAnsi="Times New Roman"/>
          <w:rtl w:val="true"/>
        </w:rPr>
        <w:t>–</w:t>
      </w:r>
      <w:r>
        <w:rPr/>
        <w:t>339</w:t>
      </w:r>
      <w:r>
        <w:rPr>
          <w:rtl w:val="true"/>
        </w:rPr>
        <w:t xml:space="preserve">, </w:t>
      </w:r>
      <w:r>
        <w:rPr/>
        <w:t>346</w:t>
      </w:r>
      <w:r>
        <w:rPr>
          <w:rFonts w:cs="Times New Roman" w:ascii="Times New Roman" w:hAnsi="Times New Roman"/>
          <w:rtl w:val="true"/>
        </w:rPr>
        <w:t>–</w:t>
      </w:r>
      <w:r>
        <w:rPr/>
        <w:t>349</w:t>
      </w:r>
      <w:r>
        <w:rPr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הוגשו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ולטעמי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לאמרה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יישאל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נושאה</w:t>
      </w:r>
      <w:r>
        <w:rPr>
          <w:rFonts w:ascii="FrankRuehl" w:hAnsi="FrankRuehl"/>
          <w:rtl w:val="true"/>
        </w:rPr>
        <w:t>ּ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לאזרחים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אינפורמציה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טכנית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בשלביה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בתוצאותיה</w:t>
      </w:r>
      <w:r>
        <w:rPr>
          <w:rtl w:val="true"/>
        </w:rPr>
        <w:t>" 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לושי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650</w:t>
      </w:r>
      <w:r>
        <w:rPr>
          <w:rtl w:val="true"/>
        </w:rPr>
        <w:t xml:space="preserve">, </w:t>
      </w:r>
      <w:r>
        <w:rPr/>
        <w:t>655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)).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הגדרתה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שקודמת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למשפט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אוסרת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במטרת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7153/99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אלגד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729</w:t>
      </w:r>
      <w:r>
        <w:rPr>
          <w:rtl w:val="true"/>
        </w:rPr>
        <w:t xml:space="preserve">, </w:t>
      </w:r>
      <w:r>
        <w:rPr/>
        <w:t>745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נכללות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ולנסיבות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להכשיל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חסוי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לנחקר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בפשטות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ייוודע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בידיעתו</w:t>
      </w:r>
      <w:r>
        <w:rPr>
          <w:rtl w:val="true"/>
        </w:rPr>
        <w:t xml:space="preserve">, </w:t>
      </w:r>
      <w:r>
        <w:rPr>
          <w:rtl w:val="true"/>
        </w:rPr>
        <w:t>ובזאת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: </w:t>
      </w:r>
      <w:r>
        <w:rPr>
          <w:rtl w:val="true"/>
        </w:rPr>
        <w:t>להפתיע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הספונטנית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לחזקה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הגנה</w:t>
      </w:r>
      <w:r>
        <w:rPr>
          <w:rFonts w:eastAsia="Calibri Light" w:cs="Calibri Light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Calibri Light" w:cs="Calibri Light"/>
          <w:rtl w:val="true"/>
        </w:rPr>
        <w:t xml:space="preserve"> </w:t>
      </w:r>
      <w:r>
        <w:rPr>
          <w:rtl w:val="true"/>
        </w:rPr>
        <w:t>הצדק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לתרגיל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נשלחה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דיבובו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טל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בווידאו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בהגינות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במבט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המפלה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העמידו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גיא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175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העברת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קדמה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לפריצה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לאזרח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השיהוי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העונש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בפיצויים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חמיו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המסכת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שנגלתה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הפרשייה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מופקדים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ומקוממים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והאכיפה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ובתור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ושיתף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וחלוף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>
          <w:u w:val="none"/>
        </w:rPr>
      </w:pPr>
      <w:r>
        <w:rPr>
          <w:u w:val="none"/>
          <w:rtl w:val="true"/>
        </w:rPr>
        <w:t>סוף</w:t>
      </w:r>
      <w:r>
        <w:rPr>
          <w:rFonts w:eastAsia="Cambria" w:cs="Cambria"/>
          <w:u w:val="none"/>
          <w:rtl w:val="true"/>
        </w:rPr>
        <w:t xml:space="preserve"> </w:t>
      </w:r>
      <w:r>
        <w:rPr>
          <w:u w:val="none"/>
          <w:rtl w:val="true"/>
        </w:rPr>
        <w:t>דבר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בנפילתו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מאיגרא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לבירא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עמיקתא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לפיגוע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בדולפינריום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נותר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.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חמיו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בלבם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למצוקתו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ולתמוך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כשלונו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ומצטרף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להערותיה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Garamond" w:cs="Garamond"/>
          <w:rtl w:val="true"/>
        </w:rPr>
        <w:t xml:space="preserve"> </w:t>
      </w:r>
      <w:r>
        <w:rPr/>
        <w:t>19.3.2020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מעדכנת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bookmarkStart w:id="17" w:name="Nitan"/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(‏</w:t>
      </w:r>
      <w:r>
        <w:rPr/>
        <w:t>5.3.2020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17092840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54678313-9284/17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9284/17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יניב נג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 חורש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360" w:after="240"/>
      <w:outlineLvl w:val="0"/>
    </w:pPr>
    <w:rPr>
      <w:rFonts w:ascii="Cambria" w:hAnsi="Cambria" w:cs="Miriam"/>
      <w:kern w:val="2"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240"/>
      <w:outlineLvl w:val="1"/>
    </w:pPr>
    <w:rPr>
      <w:rFonts w:ascii="Calibri Light" w:hAnsi="Calibri Light" w:eastAsia="Miriam" w:cs="Miriam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ascii="Cambria" w:hAnsi="Cambria" w:cs="Miriam"/>
      <w:kern w:val="2"/>
      <w:sz w:val="24"/>
      <w:szCs w:val="24"/>
      <w:u w:val="single"/>
    </w:rPr>
  </w:style>
  <w:style w:type="character" w:styleId="CharChar3">
    <w:name w:val=" Char Char3"/>
    <w:qFormat/>
    <w:rPr>
      <w:rFonts w:ascii="Calibri Light" w:hAnsi="Calibri Light" w:eastAsia="Miriam" w:cs="Miriam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4457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284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62" TargetMode="External"/><Relationship Id="rId12" Type="http://schemas.openxmlformats.org/officeDocument/2006/relationships/hyperlink" Target="http://www.nevo.co.il/law/74903/162.a" TargetMode="External"/><Relationship Id="rId13" Type="http://schemas.openxmlformats.org/officeDocument/2006/relationships/hyperlink" Target="http://www.nevo.co.il/law/70393" TargetMode="External"/><Relationship Id="rId14" Type="http://schemas.openxmlformats.org/officeDocument/2006/relationships/hyperlink" Target="http://www.nevo.co.il/law/70393/22" TargetMode="External"/><Relationship Id="rId15" Type="http://schemas.openxmlformats.org/officeDocument/2006/relationships/hyperlink" Target="http://www.nevo.co.il/case/4445743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6.b" TargetMode="External"/><Relationship Id="rId19" Type="http://schemas.openxmlformats.org/officeDocument/2006/relationships/hyperlink" Target="http://www.nevo.co.il/law/70301/384" TargetMode="External"/><Relationship Id="rId20" Type="http://schemas.openxmlformats.org/officeDocument/2006/relationships/hyperlink" Target="http://www.nevo.co.il/law/70301/284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244" TargetMode="External"/><Relationship Id="rId23" Type="http://schemas.openxmlformats.org/officeDocument/2006/relationships/hyperlink" Target="http://www.nevo.co.il/law/74903/162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case/22301096" TargetMode="External"/><Relationship Id="rId27" Type="http://schemas.openxmlformats.org/officeDocument/2006/relationships/hyperlink" Target="http://www.nevo.co.il/case/13041923" TargetMode="External"/><Relationship Id="rId28" Type="http://schemas.openxmlformats.org/officeDocument/2006/relationships/hyperlink" Target="http://www.nevo.co.il/case/21479226" TargetMode="External"/><Relationship Id="rId29" Type="http://schemas.openxmlformats.org/officeDocument/2006/relationships/hyperlink" Target="http://www.nevo.co.il/law/74903/162.a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0393/22" TargetMode="External"/><Relationship Id="rId32" Type="http://schemas.openxmlformats.org/officeDocument/2006/relationships/hyperlink" Target="http://www.nevo.co.il/law/70393" TargetMode="External"/><Relationship Id="rId33" Type="http://schemas.openxmlformats.org/officeDocument/2006/relationships/hyperlink" Target="http://www.nevo.co.il/case/6243134" TargetMode="External"/><Relationship Id="rId34" Type="http://schemas.openxmlformats.org/officeDocument/2006/relationships/hyperlink" Target="http://www.nevo.co.il/case/25246134" TargetMode="External"/><Relationship Id="rId35" Type="http://schemas.openxmlformats.org/officeDocument/2006/relationships/hyperlink" Target="http://www.nevo.co.il/case/17944224" TargetMode="External"/><Relationship Id="rId36" Type="http://schemas.openxmlformats.org/officeDocument/2006/relationships/hyperlink" Target="http://www.nevo.co.il/case/6096785" TargetMode="External"/><Relationship Id="rId37" Type="http://schemas.openxmlformats.org/officeDocument/2006/relationships/hyperlink" Target="http://supreme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2020-03-08T12:17:00Z</dcterms:created>
  <dc:creator>h4</dc:creator>
  <dc:description/>
  <cp:keywords/>
  <dc:language>en-IL</dc:language>
  <cp:lastModifiedBy>orly</cp:lastModifiedBy>
  <cp:lastPrinted>2020-03-05T09:06:00Z</cp:lastPrinted>
  <dcterms:modified xsi:type="dcterms:W3CDTF">2020-03-08T12:17:00Z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יניב נג'י חורש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4445743:2;22301096;13041923;21479226;6243134;25246134;17944224;6096785</vt:lpwstr>
  </property>
  <property fmtid="{D5CDD505-2E9C-101B-9397-08002B2CF9AE}" pid="9" name="CITY">
    <vt:lpwstr/>
  </property>
  <property fmtid="{D5CDD505-2E9C-101B-9397-08002B2CF9AE}" pid="10" name="DATE">
    <vt:lpwstr>20200305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ארז;י' אלרון;א' שטיין</vt:lpwstr>
  </property>
  <property fmtid="{D5CDD505-2E9C-101B-9397-08002B2CF9AE}" pid="14" name="LAWLISTTMP1">
    <vt:lpwstr>70301/499.a.1;406.b;384;284;144.b2;244</vt:lpwstr>
  </property>
  <property fmtid="{D5CDD505-2E9C-101B-9397-08002B2CF9AE}" pid="15" name="LAWLISTTMP2">
    <vt:lpwstr>74903/162;162.a</vt:lpwstr>
  </property>
  <property fmtid="{D5CDD505-2E9C-101B-9397-08002B2CF9AE}" pid="16" name="LAWLISTTMP3">
    <vt:lpwstr>70393/022</vt:lpwstr>
  </property>
  <property fmtid="{D5CDD505-2E9C-101B-9397-08002B2CF9AE}" pid="17" name="LAWYER">
    <vt:lpwstr>חיים שווייצר;עפר ברטל;שגיא בלומנפלד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דיון פלילי</vt:lpwstr>
  </property>
  <property fmtid="{D5CDD505-2E9C-101B-9397-08002B2CF9AE}" pid="33" name="NOSE15">
    <vt:lpwstr>ראיות</vt:lpwstr>
  </property>
  <property fmtid="{D5CDD505-2E9C-101B-9397-08002B2CF9AE}" pid="34" name="NOSE16">
    <vt:lpwstr>ראיות</vt:lpwstr>
  </property>
  <property fmtid="{D5CDD505-2E9C-101B-9397-08002B2CF9AE}" pid="35" name="NOSE17">
    <vt:lpwstr>עונשין</vt:lpwstr>
  </property>
  <property fmtid="{D5CDD505-2E9C-101B-9397-08002B2CF9AE}" pid="36" name="NOSE18">
    <vt:lpwstr>עונשין</vt:lpwstr>
  </property>
  <property fmtid="{D5CDD505-2E9C-101B-9397-08002B2CF9AE}" pid="37" name="NOSE19">
    <vt:lpwstr/>
  </property>
  <property fmtid="{D5CDD505-2E9C-101B-9397-08002B2CF9AE}" pid="38" name="NOSE1ID">
    <vt:lpwstr>18;18;18;18;89;89;77;77</vt:lpwstr>
  </property>
  <property fmtid="{D5CDD505-2E9C-101B-9397-08002B2CF9AE}" pid="39" name="NOSE21">
    <vt:lpwstr>הרשעה</vt:lpwstr>
  </property>
  <property fmtid="{D5CDD505-2E9C-101B-9397-08002B2CF9AE}" pid="40" name="NOSE210">
    <vt:lpwstr/>
  </property>
  <property fmtid="{D5CDD505-2E9C-101B-9397-08002B2CF9AE}" pid="41" name="NOSE22">
    <vt:lpwstr>ערעור</vt:lpwstr>
  </property>
  <property fmtid="{D5CDD505-2E9C-101B-9397-08002B2CF9AE}" pid="42" name="NOSE23">
    <vt:lpwstr>מחדלי חקירה</vt:lpwstr>
  </property>
  <property fmtid="{D5CDD505-2E9C-101B-9397-08002B2CF9AE}" pid="43" name="NOSE24">
    <vt:lpwstr>הגנות</vt:lpwstr>
  </property>
  <property fmtid="{D5CDD505-2E9C-101B-9397-08002B2CF9AE}" pid="44" name="NOSE25">
    <vt:lpwstr>סיוע</vt:lpwstr>
  </property>
  <property fmtid="{D5CDD505-2E9C-101B-9397-08002B2CF9AE}" pid="45" name="NOSE26">
    <vt:lpwstr>חיזוק</vt:lpwstr>
  </property>
  <property fmtid="{D5CDD505-2E9C-101B-9397-08002B2CF9AE}" pid="46" name="NOSE27">
    <vt:lpwstr>עבירות</vt:lpwstr>
  </property>
  <property fmtid="{D5CDD505-2E9C-101B-9397-08002B2CF9AE}" pid="47" name="NOSE28">
    <vt:lpwstr>ענישה</vt:lpwstr>
  </property>
  <property fmtid="{D5CDD505-2E9C-101B-9397-08002B2CF9AE}" pid="48" name="NOSE29">
    <vt:lpwstr/>
  </property>
  <property fmtid="{D5CDD505-2E9C-101B-9397-08002B2CF9AE}" pid="49" name="NOSE2ID">
    <vt:lpwstr>465;504;17072;13848;1651;1628;1443;1446</vt:lpwstr>
  </property>
  <property fmtid="{D5CDD505-2E9C-101B-9397-08002B2CF9AE}" pid="50" name="NOSE31">
    <vt:lpwstr>ערעור</vt:lpwstr>
  </property>
  <property fmtid="{D5CDD505-2E9C-101B-9397-08002B2CF9AE}" pid="51" name="NOSE310">
    <vt:lpwstr/>
  </property>
  <property fmtid="{D5CDD505-2E9C-101B-9397-08002B2CF9AE}" pid="52" name="NOSE32">
    <vt:lpwstr>אי-התערבות בממצאים עובדתיים</vt:lpwstr>
  </property>
  <property fmtid="{D5CDD505-2E9C-101B-9397-08002B2CF9AE}" pid="53" name="NOSE33">
    <vt:lpwstr>נפקותם</vt:lpwstr>
  </property>
  <property fmtid="{D5CDD505-2E9C-101B-9397-08002B2CF9AE}" pid="54" name="NOSE34">
    <vt:lpwstr>הגנה מן הצדק</vt:lpwstr>
  </property>
  <property fmtid="{D5CDD505-2E9C-101B-9397-08002B2CF9AE}" pid="55" name="NOSE35">
    <vt:lpwstr>ראיות סיוע</vt:lpwstr>
  </property>
  <property fmtid="{D5CDD505-2E9C-101B-9397-08002B2CF9AE}" pid="56" name="NOSE36">
    <vt:lpwstr>עוצמתו</vt:lpwstr>
  </property>
  <property fmtid="{D5CDD505-2E9C-101B-9397-08002B2CF9AE}" pid="57" name="NOSE37">
    <vt:lpwstr>שיבוש הליכי משפט</vt:lpwstr>
  </property>
  <property fmtid="{D5CDD505-2E9C-101B-9397-08002B2CF9AE}" pid="58" name="NOSE38">
    <vt:lpwstr>מדיניות ענישה: שיקולים</vt:lpwstr>
  </property>
  <property fmtid="{D5CDD505-2E9C-101B-9397-08002B2CF9AE}" pid="59" name="NOSE39">
    <vt:lpwstr/>
  </property>
  <property fmtid="{D5CDD505-2E9C-101B-9397-08002B2CF9AE}" pid="60" name="NOSE3ID">
    <vt:lpwstr>3638;3849;17177;13849;10367;14667;8932;8994</vt:lpwstr>
  </property>
  <property fmtid="{D5CDD505-2E9C-101B-9397-08002B2CF9AE}" pid="61" name="PADIDATE">
    <vt:lpwstr>20200308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9284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410120200305</vt:lpwstr>
  </property>
  <property fmtid="{D5CDD505-2E9C-101B-9397-08002B2CF9AE}" pid="71" name="TYPE_N_DATE">
    <vt:lpwstr>41020200305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