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9285/20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חצרוני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מסילטי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עורכי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ער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החלטת</w:t>
            </w:r>
            <w:r>
              <w:rPr>
                <w:sz w:val="24"/>
                <w:sz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אביב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18.11.2020</w:t>
            </w:r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u w:val="single"/>
                </w:rPr>
                <w:t>15164-01-19</w:t>
              </w:r>
            </w:hyperlink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כב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both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ט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ו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בשבט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התשפ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א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  <w:rtl w:val="true"/>
              </w:rPr>
              <w:t>(</w:t>
            </w:r>
            <w:r>
              <w:rPr>
                <w:sz w:val="22"/>
                <w:szCs w:val="22"/>
              </w:rPr>
              <w:t>28.1.</w:t>
            </w: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סננס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2-1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זאבי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לימור זר גוטמן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השפעת זכויות הנאשם על חובותיו האתיות של הסנגור הפלילי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.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כהן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זכויות הנאשם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17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17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18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90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125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השליחות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1965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הנאמנות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לשכת עורכי הדין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1961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כללי לשכת עורכי הדין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אתיקה מקצועית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1986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יכול להכריע כי סניגור ימשיך לייצג את מרשו בתיק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שבהן נוסף לתיק כתב אישום חדש אשר אוחד עם התיק המקורי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בשעה שמרשו לא ייפה כוחו במפורש לייצגו בתיק המאוחד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משלם לו תמורה עבור עבודתו הנוספת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 דחה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את בקשות המערער לשחררו מייצוג מרשו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לאישום החדש שאוחד עם התיק המקורי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– ייצוג – שחרור מייצוג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סניגור – שחרור מייצוג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נאשם – ייצוגו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העוסק בשאלה אם יכול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להכריע כי סניגור ימשיך לייצג את מרשו בתיק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שבהן נוסף לתיק כתב אישום חדש אשר אוחד עם התיק המקורי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בשעה שמרשו לא ייפה כוחו במפורש לייצגו בתיק המאוחד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משלם לו תמורה עבור עבודתו הנוספת בתיק שגדל בהיקפו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הרקע להליך דנן הוא דחיית בקשות המערער לשחררו מייצוג מרשו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לאישום החדש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הנדל ובהסכמת השופטים ברון ואלרון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המסגרת הנורמטיבית מצויה בסעיפים </w:t>
      </w:r>
      <w:r>
        <w:rPr>
          <w:rFonts w:cs="Times New Roman" w:ascii="Times New Roman" w:hAnsi="Times New Roman"/>
          <w:spacing w:val="0"/>
          <w:sz w:val="24"/>
          <w:szCs w:val="26"/>
        </w:rPr>
        <w:t>18-17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שעניינם </w:t>
      </w:r>
      <w:r>
        <w:rPr>
          <w:rStyle w:val="default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הפסקת ייצוג של סניגור וחילוף סניגורים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ולו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מוקנית הסמכות להתיר הפסקת ייצוגו של נאשם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בשעה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מתבקש לאשר חילוף סניגורים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בידו לדחות את הבקשה אם מצא כי החילוף עלול לעכב את הליכי המשפט באופן בלתי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בבסיס סעיפים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עומדת תכלית הבטחת ייצוג רציף ויציב עבור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כללים אלו משקפים את חשיבות תפקידו של עורך הדין של לקוח החשוד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הוא כי סניגור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לוקח על עצמו את עול ייצוגו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יכול להתנער ממנו בנקל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בקשת הסניגור לייצר הפרדה בין האישומים בשלב בו הם מצויים מלאכותית ומוקשית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שבענייננו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פיצול מעין זה בייצוג משיב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לאישומיו השונים בהכרח יוביל לפגיעה לא סבירה בהגנתו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הזהות בין הנאשמים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הדמיון בין האישומים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 הברור המחבר ביניהם והעובדה כי ניהול דיוני ההוכחות בתיק המאוחד מצוי בעיצומו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מציע למעשה להקים מעין חומה בין אישומים שונים בתיק שאוחד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שמשאוחדו האישומים עסקינן בתיק אחד כהגדרתו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90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כל המשתמע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ייפוי הכוח שניתן למערער בתיק מתייחס לתיק בכללותו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נוספו לו עדי 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ואישומים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התוצאה של עמדת המערער לפיה סניגור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ייצג את הנאשם באישום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וסניגור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ייצגו באישום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כאילו מדובר בשני תיקים נפרדים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תהא פגיעה ביכולתו של הנאשם להתגונן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ולכך אין לתת 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הפיצול המוצע עלול להחטיא את מטרת הגשמת זכותו של משיב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לייצוג 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קובע כי שחרור הסניגור מייצוג כפוף לאישור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ובסעיף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 לחילוף סניגורים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הוזכר השיקול בדבר הפגיעה בקצב התקדמות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סניגור שמקבל על עצמו את ייצוגו של נאשם בפלילים ודאי מודע היטב לכך ששחרורו מייצוג מותנה באישור בית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ידוע כי ייתכן מצב בו יתוקן כתב האישום או יופיעו ראיות חדשות ועדים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בירור פרשה משפטית אינה עניין צפוי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שומה על סניגור פלילי לשקול את שיקוליו באופן חופשי ואוטונומי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ולכלכל צעדיו בהתאם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היקף התיק שקיבל על עצמו המערער אמנם גדל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מלכתחילה לא מדובר היה בתיק קטן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כתב האישום המתוקן הוסיף אך אישום אחד שנוגע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 מייצג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סיפור המעשה באותו 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במהותו לעובדות האישומים המקוריים שהוגשו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שהורחב היקף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ועלו מספר הנאשמים ומועדי ישיבות הדיונים בתיק באופן כללי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מעוניין בכך שהליכי המשפט יתקדמו בקצב מיטבי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כפועל יוצא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רק רשאי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אף מחויב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בשקילת בקשת המערער גם מנקודת מבט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לקבל את בקשת המערער לפיה ייצג את משיב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 בחלק מן האישומים המיוחסים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בהיקפו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15164-01-19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18.11.2020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3.12.2020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" w:cs="Arial TUR"/>
          <w:rtl w:val="true"/>
        </w:rPr>
        <w:t xml:space="preserve"> </w:t>
      </w:r>
      <w:r>
        <w:rPr/>
        <w:t>23.12.2020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.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514/17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יצחקניא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26.3.2017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יצחקניא</w:t>
      </w:r>
      <w:r>
        <w:rPr>
          <w:rtl w:val="true"/>
        </w:rPr>
        <w:t xml:space="preserve">)). </w:t>
      </w:r>
      <w:r>
        <w:rPr>
          <w:rtl w:val="true"/>
        </w:rPr>
        <w:t>אוסיף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7.1.2019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Century" w:ascii="Century" w:hAnsi="Century"/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אפריקה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15164-01-19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כנפו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המקורי</w:t>
      </w:r>
      <w:r>
        <w:rPr>
          <w:rtl w:val="true"/>
        </w:rPr>
        <w:t xml:space="preserve">)).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תהפוכות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30.9.2020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4.10.2020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נידונים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57347-07-20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</w:t>
      </w:r>
      <w:r>
        <w:rPr>
          <w:rtl w:val="true"/>
        </w:rPr>
        <w:t xml:space="preserve">)). </w:t>
      </w:r>
      <w:r>
        <w:rPr>
          <w:rtl w:val="true"/>
        </w:rPr>
        <w:t>יוזכר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והעלייה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הבשילו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הייצוג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</w:rPr>
        <w:t>4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הסתייגות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הוסדרו</w:t>
      </w:r>
      <w:r>
        <w:rPr>
          <w:rtl w:val="true"/>
        </w:rPr>
        <w:t xml:space="preserve">,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4.8.2020</w:t>
      </w:r>
      <w:r>
        <w:rPr>
          <w:rtl w:val="true"/>
        </w:rPr>
        <w:t xml:space="preserve"> </w:t>
      </w:r>
      <w:r>
        <w:rPr>
          <w:rtl w:val="true"/>
        </w:rPr>
        <w:t>ובכתב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15.9.2020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פיסקאות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eastAsia="Arial TUR" w:cs="Arial TUR"/>
          <w:rtl w:val="true"/>
        </w:rPr>
        <w:t xml:space="preserve"> </w:t>
      </w:r>
      <w:r>
        <w:rPr/>
        <w:t>30.9.2020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סניגוריהם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יעילות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18.11.2020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Century"/>
          <w:rtl w:val="true"/>
        </w:rPr>
        <w:t>הייצוג לא הוסדר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לא עובד בחינם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קראתי דף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אקרא לפני שאסגור את עניין שכר הטרחה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הבהרתי את זה לנאשם</w:t>
      </w:r>
      <w:r>
        <w:rPr>
          <w:rFonts w:cs="Century" w:ascii="Century" w:hAnsi="Century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958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18.11.2020</w:t>
      </w:r>
      <w:r>
        <w:rPr>
          <w:rtl w:val="true"/>
        </w:rPr>
        <w:t xml:space="preserve">).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30.11.2020</w:t>
      </w:r>
      <w:r>
        <w:rPr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הוסדר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כמבוקש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 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tl w:val="true"/>
        </w:rPr>
        <w:t xml:space="preserve">) </w:t>
      </w:r>
      <w:r>
        <w:rPr>
          <w:rtl w:val="true"/>
        </w:rPr>
        <w:t>מהאישומים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3.12.2020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חרס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tl w:val="true"/>
        </w:rPr>
        <w:t xml:space="preserve">" </w:t>
      </w:r>
      <w:r>
        <w:rPr>
          <w:rtl w:val="true"/>
        </w:rPr>
        <w:t>מלהורות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23.12.2020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מהחלטותיו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18.11.2020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" w:cs="Arial TUR"/>
          <w:rtl w:val="true"/>
        </w:rPr>
        <w:t xml:space="preserve"> </w:t>
      </w:r>
      <w:r>
        <w:rPr/>
        <w:t>3.12.2020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</w:rPr>
        <w:t>6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בשניהם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tl w:val="true"/>
        </w:rPr>
        <w:t xml:space="preserve">;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ובפרנסתו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לסעיפים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, "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" (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הילוכנו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בסעיפים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18-17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rFonts w:ascii="FrankRuehl" w:hAnsi="FrankRuehl" w:cs="FrankRuehl"/>
          <w:color w:val="000000"/>
          <w:sz w:val="28"/>
        </w:rPr>
      </w:pP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הפסקת ייצוג של סניגור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 </w:t>
      </w:r>
    </w:p>
    <w:p>
      <w:pPr>
        <w:pStyle w:val="Ruller5"/>
        <w:ind w:end="1282"/>
        <w:jc w:val="both"/>
        <w:rPr>
          <w:rStyle w:val="default"/>
          <w:rFonts w:ascii="FrankRuehl" w:hAnsi="FrankRuehl" w:cs="FrankRuehl"/>
          <w:color w:val="000000"/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</w:rPr>
        <w:t>17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  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סניגור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שהנאשם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העמיד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לעצמו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יפסיק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לייצגו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נמשך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שלשמם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הועמד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ברשות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סניגור שמינהו בית המשפט לא יפסיק לייצג את הנאשם אלא ברשות בית המשפט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FrankRuehl" w:hAnsi="FrankRuehl" w:cs="FrankRuehl"/>
          <w:color w:val="000000"/>
          <w:sz w:val="28"/>
        </w:rPr>
      </w:pPr>
      <w:r>
        <w:rPr>
          <w:rStyle w:val="default"/>
          <w:rFonts w:eastAsia="FrankRuehl" w:cs="FrankRuehl" w:ascii="FrankRuehl" w:hAnsi="FrankRuehl"/>
          <w:color w:val="000000"/>
          <w:sz w:val="28"/>
          <w:rtl w:val="true"/>
        </w:rPr>
        <w:t xml:space="preserve">         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)  [...]</w:t>
      </w:r>
    </w:p>
    <w:p>
      <w:pPr>
        <w:pStyle w:val="Ruller5"/>
        <w:ind w:end="1282"/>
        <w:jc w:val="both"/>
        <w:rPr>
          <w:rStyle w:val="default"/>
          <w:rFonts w:ascii="FrankRuehl" w:hAnsi="FrankRuehl" w:cs="FrankRuehl"/>
          <w:color w:val="000000"/>
          <w:sz w:val="28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rFonts w:ascii="FrankRuehl" w:hAnsi="FrankRuehl" w:cs="FrankRuehl"/>
          <w:color w:val="000000"/>
          <w:sz w:val="28"/>
        </w:rPr>
      </w:pP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חילוף סניגורים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 </w:t>
      </w:r>
    </w:p>
    <w:p>
      <w:pPr>
        <w:pStyle w:val="Ruller5"/>
        <w:ind w:end="1282"/>
        <w:jc w:val="both"/>
        <w:rPr>
          <w:rStyle w:val="default"/>
          <w:rFonts w:ascii="FrankRuehl" w:hAnsi="FrankRuehl" w:cs="FrankRuehl"/>
          <w:color w:val="000000"/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</w:rPr>
        <w:t>18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.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העמיד הנאשם סניגור במקום סניגורו שמינה לו בית המשפט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או שהחליף סניגור שהעמיד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יסרב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ליתן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לסניגור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הקודם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להפסיק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לייצג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ראה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שחילוף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הסניגורים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מצריך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דחיה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סבירה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ההדגשות אינן במקור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).</w:t>
      </w:r>
    </w:p>
    <w:p>
      <w:pPr>
        <w:pStyle w:val="Ruller4"/>
        <w:ind w:end="0"/>
        <w:jc w:val="both"/>
        <w:rPr>
          <w:rStyle w:val="default"/>
          <w:rFonts w:ascii="FrankRuehl" w:hAnsi="FrankRuehl" w:cs="FrankRuehl"/>
          <w:color w:val="000000"/>
          <w:sz w:val="28"/>
        </w:rPr>
      </w:pPr>
      <w:r>
        <w:rPr>
          <w:rtl w:val="true"/>
        </w:rPr>
      </w:r>
    </w:p>
    <w:p>
      <w:pPr>
        <w:pStyle w:val="Ruller4"/>
        <w:ind w:end="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  <w:tab/>
      </w:r>
      <w:r>
        <w:rPr>
          <w:rtl w:val="true"/>
        </w:rPr>
        <w:t>ממסגרת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מוקנית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סניגורים</w:t>
      </w:r>
      <w:r>
        <w:rPr>
          <w:rtl w:val="true"/>
        </w:rPr>
        <w:t xml:space="preserve">,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, </w:t>
      </w:r>
      <w:r>
        <w:rPr>
          <w:rtl w:val="true"/>
        </w:rPr>
        <w:t>יציב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זעזועים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4689/94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cs="Miriam"/>
          <w:b/>
          <w:b/>
          <w:spacing w:val="0"/>
          <w:szCs w:val="24"/>
        </w:rPr>
        <w:t>‎</w:t>
      </w:r>
      <w:r>
        <w:rPr>
          <w:rFonts w:ascii="Century" w:hAnsi="Century" w:eastAsia="Century" w:cs="Century"/>
          <w:b/>
          <w:b/>
          <w:spacing w:val="0"/>
          <w:szCs w:val="24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</w:rPr>
        <w:t>‎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וינברג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rtl w:val="true"/>
        </w:rPr>
        <w:t>''</w:t>
      </w:r>
      <w:r>
        <w:rPr>
          <w:rFonts w:ascii="FrankRuehl" w:hAnsi="FrankRuehl"/>
          <w:color w:val="000000"/>
          <w:sz w:val="28"/>
          <w:sz w:val="28"/>
          <w:rtl w:val="true"/>
        </w:rPr>
        <w:t>ד מח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70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84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1994</w:t>
      </w:r>
      <w:r>
        <w:rPr>
          <w:rFonts w:cs="FrankRuehl" w:ascii="FrankRuehl" w:hAnsi="FrankRuehl"/>
          <w:color w:val="000000"/>
          <w:sz w:val="28"/>
          <w:rtl w:val="true"/>
        </w:rPr>
        <w:t>)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  <w:r>
        <w:rPr>
          <w:rFonts w:ascii="FrankRuehl" w:hAnsi="FrankRuehl"/>
          <w:color w:val="000000"/>
          <w:sz w:val="28"/>
          <w:sz w:val="28"/>
          <w:rtl w:val="true"/>
        </w:rPr>
        <w:t>כללים אלו משקפים 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עורך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לוין</w:t>
      </w:r>
      <w:r>
        <w:rPr>
          <w:rtl w:val="true"/>
        </w:rPr>
        <w:t>:</w:t>
      </w:r>
    </w:p>
    <w:p>
      <w:pPr>
        <w:pStyle w:val="Ruller4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5"/>
        <w:ind w:end="1282"/>
        <w:jc w:val="both"/>
        <w:rPr>
          <w:color w:val="000000"/>
          <w:sz w:val="24"/>
          <w:szCs w:val="24"/>
        </w:rPr>
      </w:pPr>
      <w:r>
        <w:rPr>
          <w:rtl w:val="true"/>
        </w:rPr>
        <w:t>"</w:t>
      </w:r>
      <w:r>
        <w:rPr>
          <w:rtl w:val="true"/>
        </w:rPr>
        <w:t>משקיבל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מלקוחו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השליחים</w:t>
      </w:r>
      <w:r>
        <w:rPr>
          <w:rtl w:val="true"/>
        </w:rPr>
        <w:t xml:space="preserve">, </w:t>
      </w:r>
      <w:r>
        <w:rPr>
          <w:rtl w:val="true"/>
        </w:rPr>
        <w:t>ומוטלות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הלקוח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>" (</w:t>
      </w:r>
      <w:hyperlink r:id="rId3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4974/92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מו</w:t>
      </w:r>
      <w:r>
        <w:rPr>
          <w:color w:val="000000"/>
          <w:rtl w:val="true"/>
        </w:rPr>
        <w:t>(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772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פיסקה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1992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עניין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רובין</w:t>
      </w:r>
      <w:r>
        <w:rPr>
          <w:color w:val="000000"/>
          <w:rtl w:val="true"/>
        </w:rPr>
        <w:t>)</w:t>
      </w:r>
      <w:r>
        <w:rPr>
          <w:color w:val="000000"/>
          <w:sz w:val="24"/>
          <w:szCs w:val="24"/>
          <w:rtl w:val="true"/>
        </w:rPr>
        <w:t>).</w:t>
      </w:r>
    </w:p>
    <w:p>
      <w:pPr>
        <w:pStyle w:val="Ruller5"/>
        <w:spacing w:lineRule="auto" w:line="360"/>
        <w:ind w:end="1282"/>
        <w:jc w:val="both"/>
        <w:rPr>
          <w:rStyle w:val="default"/>
          <w:rFonts w:ascii="Century" w:hAnsi="Century" w:cs="Century"/>
        </w:rPr>
      </w:pPr>
      <w:r>
        <w:rPr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בשיטתנו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ייצוגו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קולמוסים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הניזונות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השליחות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1965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הנאמנות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האתיקה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לשכת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עורכי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כללי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לשכת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עורכי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אתיקה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מקצועית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התשמ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1986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יצחקניא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פיסק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37-34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יצחק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99-95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ab/>
      </w:r>
      <w:r>
        <w:rPr>
          <w:rtl w:val="true"/>
        </w:rPr>
        <w:t>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ומתגברות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tl w:val="true"/>
        </w:rPr>
        <w:t>: "</w:t>
      </w:r>
      <w:r>
        <w:rPr>
          <w:rtl w:val="true"/>
        </w:rPr>
        <w:t>שליחות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>ת</w:t>
      </w:r>
      <w:r>
        <w:rPr>
          <w:rtl w:val="true"/>
        </w:rPr>
        <w:t>-</w:t>
      </w:r>
      <w:r>
        <w:rPr>
          <w:rtl w:val="true"/>
        </w:rPr>
        <w:t>שבמיוחדת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).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הנוקשות ביחס ליכולתו של סניגור פלילי להביא את ההתקשרות בינו ובין לקוחו לידי סיום היא אפוא תולדה של תפישת ייחודו של תפקיד הסניגור במשפט פלילי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זאת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נוכח האחריות הכבדה שהוא נושא בה במשימת ייצוגו של נאשם בהליך אשר תוצאותיו עשויות להיות הרות גורל עבורו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וכן בשל המשקל הרב שניתן לזכותו של הנאשם לייצוג הולם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</w:t>
      </w:r>
      <w:r>
        <w:rPr>
          <w:rtl w:val="true"/>
        </w:rPr>
        <w:t>י</w:t>
      </w:r>
      <w:r>
        <w:rPr>
          <w:rtl w:val="true"/>
        </w:rPr>
        <w:t>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7.1.2014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rFonts w:ascii="FrankRuehl" w:hAnsi="FrankRuehl"/>
            <w:sz w:val="28"/>
            <w:sz w:val="28"/>
            <w:rtl w:val="true"/>
          </w:rPr>
          <w:t>בג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ץ </w:t>
        </w:r>
        <w:r>
          <w:rPr>
            <w:rStyle w:val="Hyperlink"/>
            <w:rFonts w:cs="FrankRuehl" w:ascii="FrankRuehl" w:hAnsi="FrankRuehl"/>
            <w:sz w:val="28"/>
          </w:rPr>
          <w:t>4495/99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והמרכז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‏, </w:t>
      </w:r>
      <w:r>
        <w:rPr>
          <w:rFonts w:ascii="FrankRuehl" w:hAnsi="FrankRuehl"/>
          <w:color w:val="000000"/>
          <w:sz w:val="28"/>
          <w:sz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rtl w:val="true"/>
        </w:rPr>
        <w:t>''</w:t>
      </w:r>
      <w:r>
        <w:rPr>
          <w:rFonts w:ascii="FrankRuehl" w:hAnsi="FrankRuehl"/>
          <w:color w:val="000000"/>
          <w:sz w:val="28"/>
          <w:sz w:val="28"/>
          <w:rtl w:val="true"/>
        </w:rPr>
        <w:t>ד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נג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625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1999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43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307/72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ד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כח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622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634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1974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r>
        <w:rPr>
          <w:rFonts w:ascii="FrankRuehl" w:hAnsi="FrankRuehl"/>
          <w:color w:val="000000"/>
          <w:sz w:val="28"/>
          <w:sz w:val="28"/>
          <w:rtl w:val="true"/>
        </w:rPr>
        <w:t>חיים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hyperlink r:id="rId4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כהן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על זכויות הנאשם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כו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42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49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1970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  <w:r>
        <w:rPr>
          <w:rFonts w:ascii="FrankRuehl" w:hAnsi="FrankRuehl"/>
          <w:color w:val="000000"/>
          <w:sz w:val="28"/>
          <w:sz w:val="28"/>
          <w:rtl w:val="true"/>
        </w:rPr>
        <w:t>על היחסים יוצאי הדופן בין סניגור פלילי למרשו נכתב כי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לסנגורו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ללקוח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מגוונות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). </w:t>
      </w:r>
      <w:r>
        <w:rPr>
          <w:rtl w:val="true"/>
        </w:rPr>
        <w:t>כגודל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;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משוחח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האדוור</w:t>
      </w:r>
      <w:r>
        <w:rPr>
          <w:rtl w:val="true"/>
        </w:rPr>
        <w:t>ס</w:t>
      </w:r>
      <w:r>
        <w:rPr>
          <w:rtl w:val="true"/>
        </w:rPr>
        <w:t>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סימביוזה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>נ</w:t>
      </w:r>
      <w:r>
        <w:rPr>
          <w:rtl w:val="true"/>
        </w:rPr>
        <w:t>יגורו</w:t>
      </w:r>
      <w:r>
        <w:rPr>
          <w:rtl w:val="true"/>
        </w:rPr>
        <w:t xml:space="preserve">.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ממשאבים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ומלגיטימציה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</w:t>
      </w:r>
      <w:r>
        <w:rPr>
          <w:rtl w:val="true"/>
        </w:rPr>
        <w:t xml:space="preserve">, </w:t>
      </w:r>
      <w:r>
        <w:rPr>
          <w:rtl w:val="true"/>
        </w:rPr>
        <w:t>כשמשאביו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. </w:t>
      </w:r>
      <w:r>
        <w:rPr>
          <w:rtl w:val="true"/>
        </w:rPr>
        <w:t>האמצעי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האדוור</w:t>
      </w:r>
      <w:r>
        <w:rPr>
          <w:rtl w:val="true"/>
        </w:rPr>
        <w:t>ס</w:t>
      </w:r>
      <w:r>
        <w:rPr>
          <w:rtl w:val="true"/>
        </w:rPr>
        <w:t>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ח</w:t>
      </w:r>
      <w:r>
        <w:rPr>
          <w:rtl w:val="true"/>
        </w:rPr>
        <w:t>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ובמסירות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</w:t>
      </w:r>
      <w:r>
        <w:rPr>
          <w:rtl w:val="true"/>
        </w:rPr>
        <w:t xml:space="preserve">. </w:t>
      </w:r>
      <w:r>
        <w:rPr>
          <w:rtl w:val="true"/>
        </w:rPr>
        <w:t>בראייה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כחטיבה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"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לימור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זר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hyperlink r:id="rId4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גוטמן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השפעת זכויות הנאשם על </w:t>
        </w:r>
      </w:hyperlink>
      <w:r>
        <w:rPr>
          <w:rFonts w:ascii="FrankRuehl" w:hAnsi="FrankRuehl"/>
          <w:color w:val="000000"/>
          <w:sz w:val="28"/>
          <w:sz w:val="28"/>
          <w:rtl w:val="true"/>
        </w:rPr>
        <w:t xml:space="preserve">  </w:t>
      </w:r>
      <w:r>
        <w:rPr>
          <w:rFonts w:ascii="FrankRuehl" w:hAnsi="FrankRuehl"/>
          <w:color w:val="000000"/>
          <w:sz w:val="28"/>
          <w:sz w:val="28"/>
          <w:rtl w:val="true"/>
        </w:rPr>
        <w:t>חובותיו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האתיות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הסנגור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הפלילי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45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60-59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2003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ascii="FrankRuehl" w:hAnsi="FrankRuehl"/>
          <w:color w:val="000000"/>
          <w:sz w:val="28"/>
          <w:sz w:val="28"/>
          <w:rtl w:val="true"/>
        </w:rPr>
        <w:t>בעיניי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זוהי גדולתה של מלאכת הסניגוריה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הסניגור משמש לפה עבור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הוא הגורם הבקיא ברזי המשפט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וידו הארוכה של הנאשם במגעיו עם עולם המשפט ולעיתים עם העולם בכלל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זאת בתקופה הייחודית שבה הנאשם נאבק בגליו של ים סוער בהיותו פגיע ולחוץ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ונזקק ליועץ ולסיוע מקצועי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העיקר הוא שהסניגור מייצג את הנאשם אל מול הכוח השלטוני רב העוצמה של המדינה </w:t>
      </w:r>
      <w:r>
        <w:rPr>
          <w:rFonts w:ascii="FrankRuehl" w:hAnsi="FrankRuehl"/>
          <w:color w:val="000000"/>
          <w:sz w:val="28"/>
          <w:sz w:val="28"/>
          <w:rtl w:val="true"/>
        </w:rPr>
        <w:t>–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המשטרה והתביעה הכללית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בל נשכח כי שני הצדדים למשפט הפלילי הם הנאשם והמדינה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יחיד אל מול הציבור בכללותו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זאת בעת שבה עומד הנאשם בפני הסיכון שיוכתם בפלילים ויושתו עליו עונשים שונים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אשר עשויים לכלול מאסר מאחורי סורג ובריח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דהיינו </w:t>
      </w:r>
      <w:r>
        <w:rPr>
          <w:rFonts w:ascii="FrankRuehl" w:hAnsi="FrankRuehl"/>
          <w:color w:val="000000"/>
          <w:sz w:val="28"/>
          <w:sz w:val="28"/>
          <w:rtl w:val="true"/>
        </w:rPr>
        <w:t>–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את שלילת חירותו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הסניגור הוא הוא אשר משמש כמגנו של היחיד אל מול המדינה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על משאביה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ממדיה ומוסדותיה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בהינתן כל אלה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ככלל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נכונותו של בית המשפט לאשר שחרור מייצוג בהליכים אזרחיים רבה יותר לעומת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נכונותו לעשות כן במסגרת הליכים פליליים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שם</w:t>
      </w:r>
      <w:r>
        <w:rPr>
          <w:rFonts w:cs="FrankRuehl" w:ascii="FrankRuehl" w:hAnsi="FrankRuehl"/>
          <w:color w:val="000000"/>
          <w:sz w:val="28"/>
          <w:rtl w:val="true"/>
        </w:rPr>
        <w:t>;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hyperlink r:id="rId4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15/05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יגאלי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23.8.2005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בלטר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4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6922/16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קופרשמיד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2.6.2020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קופר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>).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</w:rPr>
        <w:t>11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ומוקשית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אמת נכון הוא כי מיעוט המקרים בהם הכירו בתי המשפט לאורך השנים בבקשות מטעם סניגורים פליליים לפצל את ההגנה בהליך ב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מקטעי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משפט בין מספר עורכי דין אינו ציווי אשר לא ניתן לסייג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ראו למשל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בעמ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89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Fonts w:ascii="FrankRuehl" w:hAnsi="FrankRuehl"/>
          <w:color w:val="000000"/>
          <w:sz w:val="28"/>
          <w:sz w:val="28"/>
          <w:rtl w:val="true"/>
        </w:rPr>
        <w:t>אולם נראה שבענייננו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פיצול מעין זה בייצוג משיב </w:t>
      </w:r>
      <w:r>
        <w:rPr>
          <w:rFonts w:cs="FrankRuehl" w:ascii="FrankRuehl" w:hAnsi="FrankRuehl"/>
          <w:color w:val="000000"/>
          <w:sz w:val="28"/>
        </w:rPr>
        <w:t>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ביחס לאישומיו השונים בהכרח יוביל לפגיעה לא סבירה בהגנתו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;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; </w:t>
      </w:r>
      <w:r>
        <w:rPr>
          <w:rtl w:val="true"/>
        </w:rPr>
        <w:t>הקו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בעיצומו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ודוקו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המחלקים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שאוחד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משאוחדו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90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;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הפרגמטי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באנומליה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יתנגשו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...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, </w:t>
      </w:r>
      <w:r>
        <w:rPr>
          <w:rtl w:val="true"/>
        </w:rPr>
        <w:t>היוצר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..."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eastAsia="Arial TUR" w:cs="Arial TUR"/>
          <w:rtl w:val="true"/>
        </w:rPr>
        <w:t xml:space="preserve"> </w:t>
      </w:r>
      <w:r>
        <w:rPr/>
        <w:t>15.9.2020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לייצגו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ואישומים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כשמה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tl w:val="true"/>
        </w:rPr>
        <w:t xml:space="preserve">. </w:t>
      </w:r>
      <w:r>
        <w:rPr>
          <w:rtl w:val="true"/>
        </w:rPr>
        <w:t>הפיצול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המוצע עלול להחטיא את מטרת הגשמת זכותו של משיב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לייצוג הולם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נרחיב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קמעא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השתכללות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הייצוג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ייצוגו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ולייצגו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המונח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לייצגו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hyperlink r:id="rId5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הייצוג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יצחק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השליחות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2192/00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אמינוף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138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הייצוג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שלשמם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הייצוג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הייצוג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המערכתית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32-30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לזרזם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ולייעלם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; </w:t>
      </w:r>
      <w:hyperlink r:id="rId5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2511/05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גרה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17.3.05</w:t>
      </w:r>
      <w:r>
        <w:rPr>
          <w:rtl w:val="true"/>
        </w:rPr>
        <w:t xml:space="preserve">)).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tl w:val="true"/>
        </w:rPr>
        <w:t xml:space="preserve">;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6972/96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757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השלטון</w:t>
      </w:r>
      <w:r>
        <w:rPr>
          <w:rtl w:val="true"/>
        </w:rPr>
        <w:t xml:space="preserve">)).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נודעות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ומסועף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מהקפדה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מאליו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השלטון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י</w:t>
      </w:r>
      <w:r>
        <w:rPr>
          <w:rtl w:val="true"/>
        </w:rPr>
        <w:t>סקאות</w:t>
      </w:r>
      <w:r>
        <w:rPr>
          <w:rFonts w:eastAsia="Arial TUR" w:cs="Arial TUR"/>
          <w:rtl w:val="true"/>
        </w:rPr>
        <w:t xml:space="preserve"> </w:t>
      </w:r>
      <w:r>
        <w:rPr/>
        <w:t>23-18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ווינר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</w:t>
      </w:r>
      <w:r>
        <w:rPr>
          <w:rtl w:val="true"/>
        </w:rPr>
        <w:t>י</w:t>
      </w:r>
      <w:r>
        <w:rPr>
          <w:rtl w:val="true"/>
        </w:rPr>
        <w:t>סקה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(</w:t>
      </w:r>
      <w:r>
        <w:rPr/>
        <w:t>15.6.2015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Fonts w:ascii="FrankRuehl" w:hAnsi="FrankRuehl"/>
          <w:color w:val="000000"/>
          <w:sz w:val="28"/>
          <w:sz w:val="28"/>
          <w:rtl w:val="true"/>
        </w:rPr>
        <w:t>לבסוף יוזכר שיש לקחת בחשבון גם את העובדה שההליך נמצא בשלב בירור מתקדם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לו היה ההליך בחיתוליו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ייתכן והייתה גוברת נכונותו של בית המשפט להסכין לשחרור הסניגור מייצוג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להצהרות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זולת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וסרבול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מצד נאשמים לדחיית מועדי הדיונים עד אשר יגיעו להבנות עם סנגוריהם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מנוצלות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במטרה לעכב את ההליכים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הקץ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63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10067/08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אוחיון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 xml:space="preserve">)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tl w:val="true"/>
        </w:rPr>
        <w:t xml:space="preserve">).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בירוקרטית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ואחרת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עיכובים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הנידון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שדקדק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בזכויותיהם של הסניגורים אלא בזכויותיהם של הנאשמים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דומה אף הוזכר כי</w:t>
      </w:r>
      <w:r>
        <w:rPr>
          <w:rFonts w:cs="Century" w:ascii="Century" w:hAnsi="Century"/>
          <w:rtl w:val="true"/>
        </w:rPr>
        <w:t>: "...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למיותר יהיה להדגיש כי על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נוחות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הסניגורים לסגת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במקום שהיא מתנגשת בעינוי דין לנאשמים ובעניין שיש לציבור בסיום מהיר ככל שניתן של הליכים פליליים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בעמ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91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וראו גם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פיסקה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6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4690/94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צמח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ד מח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70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89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1994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tl w:val="true"/>
        </w:rPr>
        <w:t xml:space="preserve">.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).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במחזותינו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" w:cs="Arial TU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פיסקה </w:t>
      </w:r>
      <w:r>
        <w:rPr>
          <w:rFonts w:cs="FrankRuehl" w:ascii="FrankRuehl" w:hAnsi="FrankRuehl"/>
          <w:color w:val="000000"/>
          <w:sz w:val="28"/>
        </w:rPr>
        <w:t>11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לפסק דינו של השופט ש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ascii="FrankRuehl" w:hAnsi="FrankRuehl"/>
          <w:color w:val="000000"/>
          <w:sz w:val="28"/>
          <w:sz w:val="28"/>
          <w:rtl w:val="true"/>
        </w:rPr>
        <w:t>לוין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פיסקה </w:t>
      </w:r>
      <w:r>
        <w:rPr>
          <w:rFonts w:cs="FrankRuehl" w:ascii="FrankRuehl" w:hAnsi="FrankRuehl"/>
          <w:color w:val="000000"/>
          <w:sz w:val="28"/>
        </w:rPr>
        <w:t>9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בעמ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90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>-</w:t>
      </w:r>
      <w:r>
        <w:rPr>
          <w:rtl w:val="true"/>
        </w:rPr>
        <w:t>טרחה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נוחותו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משימה</w:t>
      </w:r>
      <w:r>
        <w:rPr>
          <w:rtl w:val="true"/>
        </w:rPr>
        <w:t xml:space="preserve">' </w:t>
      </w:r>
      <w:r>
        <w:rPr>
          <w:rtl w:val="true"/>
        </w:rPr>
        <w:t>שלציבור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לקניין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hyperlink r:id="rId67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8"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וטבעם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.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hyperlink r:id="rId71">
        <w:r>
          <w:rPr>
            <w:rStyle w:val="Hyperlink"/>
            <w:rtl w:val="true"/>
          </w:rPr>
          <w:t>ובסעיף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18</w:t>
        </w:r>
      </w:hyperlink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סניגורים</w:t>
      </w:r>
      <w:r>
        <w:rPr>
          <w:rtl w:val="true"/>
        </w:rPr>
        <w:t xml:space="preserve">, </w:t>
      </w:r>
      <w:r>
        <w:rPr>
          <w:rtl w:val="true"/>
        </w:rPr>
        <w:t>הוזכר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שימת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ומאוזנים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למאפייני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חידוש</w:t>
      </w:r>
      <w:r>
        <w:rPr>
          <w:rtl w:val="true"/>
        </w:rPr>
        <w:t xml:space="preserve">.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תסריט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ואוטונומי</w:t>
      </w:r>
      <w:r>
        <w:rPr>
          <w:rtl w:val="true"/>
        </w:rPr>
        <w:t xml:space="preserve">, </w:t>
      </w:r>
      <w:r>
        <w:rPr>
          <w:rtl w:val="true"/>
        </w:rPr>
        <w:t>ולכלכל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צעדיו</w:t>
      </w:r>
      <w:r>
        <w:rPr>
          <w:rtl w:val="true"/>
        </w:rPr>
        <w:t xml:space="preserve">, </w:t>
      </w:r>
      <w:r>
        <w:rPr>
          <w:rtl w:val="true"/>
        </w:rPr>
        <w:t>תרתי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ab/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בזוטות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וראיות</w:t>
      </w:r>
      <w:r>
        <w:rPr>
          <w:rtl w:val="true"/>
        </w:rPr>
        <w:t xml:space="preserve">.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עוד יצוין כי כתב האישום המתוקן הוסיף אך אישום אחד שנוגע למשיב </w:t>
      </w:r>
      <w:r>
        <w:rPr>
          <w:rFonts w:cs="FrankRuehl" w:ascii="FrankRuehl" w:hAnsi="FrankRuehl"/>
          <w:color w:val="000000"/>
          <w:sz w:val="28"/>
        </w:rPr>
        <w:t>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אותו מייצג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סיפור המעשה באותו האישום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לפיו העביר </w:t>
      </w:r>
      <w:r>
        <w:rPr>
          <w:rFonts w:cs="FrankRuehl" w:ascii="FrankRuehl" w:hAnsi="FrankRuehl"/>
          <w:color w:val="000000"/>
          <w:sz w:val="28"/>
        </w:rPr>
        <w:t>18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ק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ג של סם מסוג קוקאין במזוודה שסחב עמו בטיסה מיוהנסבורג לישראל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דומה במהותו לעובדות האישומים המקוריים שהוגשו נגדו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הגם שהורחב היקף החקירה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ועלו מספר הנאשמים ומועדי ישיבות הדיונים בתיק באופן כללי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שיקוליו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וסניגורים</w:t>
      </w:r>
      <w:r>
        <w:rPr>
          <w:rtl w:val="true"/>
        </w:rPr>
        <w:t xml:space="preserve">. </w:t>
      </w:r>
      <w:r>
        <w:rPr>
          <w:rtl w:val="true"/>
        </w:rPr>
        <w:t>יושם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בראייה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מסתדרות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, </w:t>
      </w:r>
      <w:r>
        <w:rPr>
          <w:rtl w:val="true"/>
        </w:rPr>
        <w:t>הפתרון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פרגמטי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המידה</w:t>
      </w:r>
      <w:r>
        <w:rPr>
          <w:rtl w:val="true"/>
        </w:rPr>
        <w:t xml:space="preserve">" </w:t>
      </w:r>
      <w:r>
        <w:rPr>
          <w:rtl w:val="true"/>
        </w:rPr>
        <w:t>שזורה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מיטבי</w:t>
      </w:r>
      <w:r>
        <w:rPr>
          <w:rtl w:val="true"/>
        </w:rPr>
        <w:t xml:space="preserve">. </w:t>
      </w:r>
      <w:r>
        <w:rPr>
          <w:rtl w:val="true"/>
        </w:rPr>
        <w:t>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</w:t>
      </w:r>
      <w:r>
        <w:rPr>
          <w:rtl w:val="true"/>
        </w:rPr>
        <w:t xml:space="preserve">, </w:t>
      </w:r>
      <w:r>
        <w:rPr>
          <w:rtl w:val="true"/>
        </w:rPr>
        <w:t>בשקילת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ותוגש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הבנתו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3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14.4.2021</w:t>
      </w:r>
      <w:r>
        <w:rPr>
          <w:rtl w:val="true"/>
        </w:rPr>
        <w:t xml:space="preserve">). </w:t>
      </w:r>
      <w:bookmarkEnd w:id="23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20092850</w:t>
      </w:r>
      <w:r>
        <w:rPr>
          <w:sz w:val="16"/>
          <w:rtl w:val="true"/>
        </w:rPr>
        <w:t>_</w:t>
      </w:r>
      <w:r>
        <w:rPr>
          <w:sz w:val="16"/>
        </w:rPr>
        <w:t>Z03.docx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מכ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54678313-9285/20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74"/>
      <w:footerReference w:type="default" r:id="rId7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9285/20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עו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ד שחר חצרוני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כבוד השופט מרדכי לוי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Arial TUR" w:hAnsi="Arial TUR" w:eastAsia="Times New Roman" w:cs="FrankRuehl"/>
      <w:sz w:val="28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96584" TargetMode="External"/><Relationship Id="rId3" Type="http://schemas.openxmlformats.org/officeDocument/2006/relationships/hyperlink" Target="http://www.nevo.co.il/safrut/book/3865" TargetMode="External"/><Relationship Id="rId4" Type="http://schemas.openxmlformats.org/officeDocument/2006/relationships/hyperlink" Target="http://www.nevo.co.il/safrut/book/3865" TargetMode="External"/><Relationship Id="rId5" Type="http://schemas.openxmlformats.org/officeDocument/2006/relationships/hyperlink" Target="http://www.nevo.co.il/safrut/book/2408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13" TargetMode="External"/><Relationship Id="rId8" Type="http://schemas.openxmlformats.org/officeDocument/2006/relationships/hyperlink" Target="http://www.nevo.co.il/law/74903/17" TargetMode="External"/><Relationship Id="rId9" Type="http://schemas.openxmlformats.org/officeDocument/2006/relationships/hyperlink" Target="http://www.nevo.co.il/law/74903/17.a" TargetMode="External"/><Relationship Id="rId10" Type="http://schemas.openxmlformats.org/officeDocument/2006/relationships/hyperlink" Target="http://www.nevo.co.il/law/74903/18" TargetMode="External"/><Relationship Id="rId11" Type="http://schemas.openxmlformats.org/officeDocument/2006/relationships/hyperlink" Target="http://www.nevo.co.il/law/74903/90" TargetMode="External"/><Relationship Id="rId12" Type="http://schemas.openxmlformats.org/officeDocument/2006/relationships/hyperlink" Target="http://www.nevo.co.il/law/74903/125" TargetMode="External"/><Relationship Id="rId13" Type="http://schemas.openxmlformats.org/officeDocument/2006/relationships/hyperlink" Target="http://www.nevo.co.il/law/74903/f18" TargetMode="External"/><Relationship Id="rId14" Type="http://schemas.openxmlformats.org/officeDocument/2006/relationships/hyperlink" Target="http://www.nevo.co.il/law/5151" TargetMode="External"/><Relationship Id="rId15" Type="http://schemas.openxmlformats.org/officeDocument/2006/relationships/hyperlink" Target="http://www.nevo.co.il/law/5151/3.a" TargetMode="External"/><Relationship Id="rId16" Type="http://schemas.openxmlformats.org/officeDocument/2006/relationships/hyperlink" Target="http://www.nevo.co.il/law/72996" TargetMode="External"/><Relationship Id="rId17" Type="http://schemas.openxmlformats.org/officeDocument/2006/relationships/hyperlink" Target="http://www.nevo.co.il/law/4393" TargetMode="External"/><Relationship Id="rId18" Type="http://schemas.openxmlformats.org/officeDocument/2006/relationships/hyperlink" Target="http://www.nevo.co.il/law/4415" TargetMode="External"/><Relationship Id="rId19" Type="http://schemas.openxmlformats.org/officeDocument/2006/relationships/hyperlink" Target="http://www.nevo.co.il/case/25296584" TargetMode="External"/><Relationship Id="rId20" Type="http://schemas.openxmlformats.org/officeDocument/2006/relationships/hyperlink" Target="http://www.nevo.co.il/case/22160926" TargetMode="External"/><Relationship Id="rId21" Type="http://schemas.openxmlformats.org/officeDocument/2006/relationships/hyperlink" Target="http://www.nevo.co.il/case/25296584" TargetMode="External"/><Relationship Id="rId22" Type="http://schemas.openxmlformats.org/officeDocument/2006/relationships/hyperlink" Target="http://www.nevo.co.il/case/26874135" TargetMode="External"/><Relationship Id="rId23" Type="http://schemas.openxmlformats.org/officeDocument/2006/relationships/hyperlink" Target="http://www.nevo.co.il/law/74903/17" TargetMode="External"/><Relationship Id="rId24" Type="http://schemas.openxmlformats.org/officeDocument/2006/relationships/hyperlink" Target="http://www.nevo.co.il/law/74903/18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4903/13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law/74903/17" TargetMode="External"/><Relationship Id="rId30" Type="http://schemas.openxmlformats.org/officeDocument/2006/relationships/hyperlink" Target="http://www.nevo.co.il/law/74903/18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law/74903/18;17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case/17924104" TargetMode="External"/><Relationship Id="rId35" Type="http://schemas.openxmlformats.org/officeDocument/2006/relationships/hyperlink" Target="http://www.nevo.co.il/case/17925093" TargetMode="External"/><Relationship Id="rId36" Type="http://schemas.openxmlformats.org/officeDocument/2006/relationships/hyperlink" Target="http://www.nevo.co.il/law/5151" TargetMode="External"/><Relationship Id="rId37" Type="http://schemas.openxmlformats.org/officeDocument/2006/relationships/hyperlink" Target="http://www.nevo.co.il/law/72996" TargetMode="External"/><Relationship Id="rId38" Type="http://schemas.openxmlformats.org/officeDocument/2006/relationships/hyperlink" Target="http://www.nevo.co.il/law/4393" TargetMode="External"/><Relationship Id="rId39" Type="http://schemas.openxmlformats.org/officeDocument/2006/relationships/hyperlink" Target="http://www.nevo.co.il/law/4415" TargetMode="External"/><Relationship Id="rId40" Type="http://schemas.openxmlformats.org/officeDocument/2006/relationships/hyperlink" Target="http://www.nevo.co.il/case/13054949" TargetMode="External"/><Relationship Id="rId41" Type="http://schemas.openxmlformats.org/officeDocument/2006/relationships/hyperlink" Target="http://www.nevo.co.il/case/5605807" TargetMode="External"/><Relationship Id="rId42" Type="http://schemas.openxmlformats.org/officeDocument/2006/relationships/hyperlink" Target="http://www.nevo.co.il/case/25086315" TargetMode="External"/><Relationship Id="rId43" Type="http://schemas.openxmlformats.org/officeDocument/2006/relationships/hyperlink" Target="http://www.nevo.co.il/case/17946317" TargetMode="External"/><Relationship Id="rId44" Type="http://schemas.openxmlformats.org/officeDocument/2006/relationships/hyperlink" Target="http://www.nevo.co.il/safrut/book/2408" TargetMode="External"/><Relationship Id="rId45" Type="http://schemas.openxmlformats.org/officeDocument/2006/relationships/hyperlink" Target="http://www.nevo.co.il/safrut/book/3865" TargetMode="External"/><Relationship Id="rId46" Type="http://schemas.openxmlformats.org/officeDocument/2006/relationships/hyperlink" Target="http://www.nevo.co.il/case/5670576" TargetMode="External"/><Relationship Id="rId47" Type="http://schemas.openxmlformats.org/officeDocument/2006/relationships/hyperlink" Target="http://www.nevo.co.il/case/21478969" TargetMode="External"/><Relationship Id="rId48" Type="http://schemas.openxmlformats.org/officeDocument/2006/relationships/hyperlink" Target="http://www.nevo.co.il/law/74903/90" TargetMode="External"/><Relationship Id="rId49" Type="http://schemas.openxmlformats.org/officeDocument/2006/relationships/hyperlink" Target="http://www.nevo.co.il/law/74903" TargetMode="External"/><Relationship Id="rId50" Type="http://schemas.openxmlformats.org/officeDocument/2006/relationships/hyperlink" Target="http://www.nevo.co.il/law/74903/17.a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law/5151/3.a" TargetMode="External"/><Relationship Id="rId53" Type="http://schemas.openxmlformats.org/officeDocument/2006/relationships/hyperlink" Target="http://www.nevo.co.il/law/5151" TargetMode="External"/><Relationship Id="rId54" Type="http://schemas.openxmlformats.org/officeDocument/2006/relationships/hyperlink" Target="http://www.nevo.co.il/case/5688328" TargetMode="External"/><Relationship Id="rId55" Type="http://schemas.openxmlformats.org/officeDocument/2006/relationships/hyperlink" Target="http://www.nevo.co.il/law/74903/17.a" TargetMode="External"/><Relationship Id="rId56" Type="http://schemas.openxmlformats.org/officeDocument/2006/relationships/hyperlink" Target="http://www.nevo.co.il/law/74903" TargetMode="External"/><Relationship Id="rId57" Type="http://schemas.openxmlformats.org/officeDocument/2006/relationships/hyperlink" Target="http://www.nevo.co.il/law/74903/125" TargetMode="External"/><Relationship Id="rId58" Type="http://schemas.openxmlformats.org/officeDocument/2006/relationships/hyperlink" Target="http://www.nevo.co.il/law/74903" TargetMode="External"/><Relationship Id="rId59" Type="http://schemas.openxmlformats.org/officeDocument/2006/relationships/hyperlink" Target="http://www.nevo.co.il/case/5837761" TargetMode="External"/><Relationship Id="rId60" Type="http://schemas.openxmlformats.org/officeDocument/2006/relationships/hyperlink" Target="http://www.nevo.co.il/case/6091957" TargetMode="External"/><Relationship Id="rId61" Type="http://schemas.openxmlformats.org/officeDocument/2006/relationships/hyperlink" Target="http://www.nevo.co.il/case/5573727" TargetMode="External"/><Relationship Id="rId62" Type="http://schemas.openxmlformats.org/officeDocument/2006/relationships/hyperlink" Target="http://www.nevo.co.il/case/6987507" TargetMode="External"/><Relationship Id="rId63" Type="http://schemas.openxmlformats.org/officeDocument/2006/relationships/hyperlink" Target="http://www.nevo.co.il/case/5801393" TargetMode="External"/><Relationship Id="rId64" Type="http://schemas.openxmlformats.org/officeDocument/2006/relationships/hyperlink" Target="http://www.nevo.co.il/law/74903/18" TargetMode="External"/><Relationship Id="rId65" Type="http://schemas.openxmlformats.org/officeDocument/2006/relationships/hyperlink" Target="http://www.nevo.co.il/law/74903" TargetMode="External"/><Relationship Id="rId66" Type="http://schemas.openxmlformats.org/officeDocument/2006/relationships/hyperlink" Target="http://www.nevo.co.il/case/17924108" TargetMode="External"/><Relationship Id="rId67" Type="http://schemas.openxmlformats.org/officeDocument/2006/relationships/hyperlink" Target="http://www.nevo.co.il/law/74903/17" TargetMode="External"/><Relationship Id="rId68" Type="http://schemas.openxmlformats.org/officeDocument/2006/relationships/hyperlink" Target="http://www.nevo.co.il/law/74903/18" TargetMode="External"/><Relationship Id="rId69" Type="http://schemas.openxmlformats.org/officeDocument/2006/relationships/hyperlink" Target="http://www.nevo.co.il/law/74903" TargetMode="External"/><Relationship Id="rId70" Type="http://schemas.openxmlformats.org/officeDocument/2006/relationships/hyperlink" Target="http://www.nevo.co.il/law/74903/17" TargetMode="External"/><Relationship Id="rId71" Type="http://schemas.openxmlformats.org/officeDocument/2006/relationships/hyperlink" Target="http://www.nevo.co.il/law/74903/f18" TargetMode="External"/><Relationship Id="rId72" Type="http://schemas.openxmlformats.org/officeDocument/2006/relationships/hyperlink" Target="https://supreme.court.gov.il/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2022-08-31T13:22:00Z</dcterms:created>
  <dc:creator> </dc:creator>
  <dc:description/>
  <cp:keywords/>
  <dc:language>en-IL</dc:language>
  <cp:lastModifiedBy>h11</cp:lastModifiedBy>
  <cp:lastPrinted>2021-04-14T12:37:00Z</cp:lastPrinted>
  <dcterms:modified xsi:type="dcterms:W3CDTF">2022-08-31T13:22:00Z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עו#ד שחר חצרוני</vt:lpwstr>
  </property>
  <property fmtid="{D5CDD505-2E9C-101B-9397-08002B2CF9AE}" pid="3" name="APPELLEE">
    <vt:lpwstr>כבוד השופט מרדכי לוי;מדינת ישראל;אשר מסילטי;לשכת עורכי הדין בישראל</vt:lpwstr>
  </property>
  <property fmtid="{D5CDD505-2E9C-101B-9397-08002B2CF9AE}" pid="4" name="BOOKLISTTMP1">
    <vt:lpwstr>3865;2408</vt:lpwstr>
  </property>
  <property fmtid="{D5CDD505-2E9C-101B-9397-08002B2CF9AE}" pid="5" name="CASESLISTTMP1">
    <vt:lpwstr>25296584:3;22160926;26874135;17924104;17925093;13054949;5605807;25086315;17946317;5670576;21478969;5688328;5837761;6091957;5573727;6987507;5801393;17924108</vt:lpwstr>
  </property>
  <property fmtid="{D5CDD505-2E9C-101B-9397-08002B2CF9AE}" pid="6" name="DATE">
    <vt:lpwstr>20210414</vt:lpwstr>
  </property>
  <property fmtid="{D5CDD505-2E9C-101B-9397-08002B2CF9AE}" pid="7" name="ISABSTRACT">
    <vt:lpwstr>Y</vt:lpwstr>
  </property>
  <property fmtid="{D5CDD505-2E9C-101B-9397-08002B2CF9AE}" pid="8" name="JUDGE">
    <vt:lpwstr>נ' הנדל;ע' ברון;י' אלרון</vt:lpwstr>
  </property>
  <property fmtid="{D5CDD505-2E9C-101B-9397-08002B2CF9AE}" pid="9" name="LAWLISTTMP1">
    <vt:lpwstr>74903/017:5;018:5;013;090;017.a:2;125;f18</vt:lpwstr>
  </property>
  <property fmtid="{D5CDD505-2E9C-101B-9397-08002B2CF9AE}" pid="10" name="LAWLISTTMP2">
    <vt:lpwstr>5151/003.a</vt:lpwstr>
  </property>
  <property fmtid="{D5CDD505-2E9C-101B-9397-08002B2CF9AE}" pid="11" name="LAWLISTTMP3">
    <vt:lpwstr>72996</vt:lpwstr>
  </property>
  <property fmtid="{D5CDD505-2E9C-101B-9397-08002B2CF9AE}" pid="12" name="LAWLISTTMP4">
    <vt:lpwstr>4393</vt:lpwstr>
  </property>
  <property fmtid="{D5CDD505-2E9C-101B-9397-08002B2CF9AE}" pid="13" name="LAWLISTTMP5">
    <vt:lpwstr>4415</vt:lpwstr>
  </property>
  <property fmtid="{D5CDD505-2E9C-101B-9397-08002B2CF9AE}" pid="14" name="LAWYER">
    <vt:lpwstr>תמיר סננס;ארז בן ארויה;ירדן זאבי;עדי כרמלי</vt:lpwstr>
  </property>
  <property fmtid="{D5CDD505-2E9C-101B-9397-08002B2CF9AE}" pid="15" name="METAKZER">
    <vt:lpwstr>פאני</vt:lpwstr>
  </property>
  <property fmtid="{D5CDD505-2E9C-101B-9397-08002B2CF9AE}" pid="16" name="NOSE11">
    <vt:lpwstr>עורכי-דין</vt:lpwstr>
  </property>
  <property fmtid="{D5CDD505-2E9C-101B-9397-08002B2CF9AE}" pid="17" name="NOSE12">
    <vt:lpwstr>דיון פלילי</vt:lpwstr>
  </property>
  <property fmtid="{D5CDD505-2E9C-101B-9397-08002B2CF9AE}" pid="18" name="NOSE13">
    <vt:lpwstr>דיון פלילי</vt:lpwstr>
  </property>
  <property fmtid="{D5CDD505-2E9C-101B-9397-08002B2CF9AE}" pid="19" name="NOSE1ID">
    <vt:lpwstr>78;18;18</vt:lpwstr>
  </property>
  <property fmtid="{D5CDD505-2E9C-101B-9397-08002B2CF9AE}" pid="20" name="NOSE21">
    <vt:lpwstr>ייצוג</vt:lpwstr>
  </property>
  <property fmtid="{D5CDD505-2E9C-101B-9397-08002B2CF9AE}" pid="21" name="NOSE22">
    <vt:lpwstr>סניגור</vt:lpwstr>
  </property>
  <property fmtid="{D5CDD505-2E9C-101B-9397-08002B2CF9AE}" pid="22" name="NOSE23">
    <vt:lpwstr>נאשם</vt:lpwstr>
  </property>
  <property fmtid="{D5CDD505-2E9C-101B-9397-08002B2CF9AE}" pid="23" name="NOSE2ID">
    <vt:lpwstr>1468;494;489</vt:lpwstr>
  </property>
  <property fmtid="{D5CDD505-2E9C-101B-9397-08002B2CF9AE}" pid="24" name="NOSE31">
    <vt:lpwstr>שחרור מייצוג</vt:lpwstr>
  </property>
  <property fmtid="{D5CDD505-2E9C-101B-9397-08002B2CF9AE}" pid="25" name="NOSE32">
    <vt:lpwstr>שחרור מייצוג</vt:lpwstr>
  </property>
  <property fmtid="{D5CDD505-2E9C-101B-9397-08002B2CF9AE}" pid="26" name="NOSE33">
    <vt:lpwstr>ייצוגו</vt:lpwstr>
  </property>
  <property fmtid="{D5CDD505-2E9C-101B-9397-08002B2CF9AE}" pid="27" name="NOSE3ID">
    <vt:lpwstr>9132;11617;3782</vt:lpwstr>
  </property>
  <property fmtid="{D5CDD505-2E9C-101B-9397-08002B2CF9AE}" pid="28" name="PADIDATE">
    <vt:lpwstr>20210418</vt:lpwstr>
  </property>
  <property fmtid="{D5CDD505-2E9C-101B-9397-08002B2CF9AE}" pid="29" name="PADIMAIL">
    <vt:lpwstr>YES</vt:lpwstr>
  </property>
  <property fmtid="{D5CDD505-2E9C-101B-9397-08002B2CF9AE}" pid="30" name="PROCESS">
    <vt:lpwstr>עפ</vt:lpwstr>
  </property>
  <property fmtid="{D5CDD505-2E9C-101B-9397-08002B2CF9AE}" pid="31" name="PROCNUM">
    <vt:lpwstr>9285</vt:lpwstr>
  </property>
  <property fmtid="{D5CDD505-2E9C-101B-9397-08002B2CF9AE}" pid="32" name="PROCYEAR">
    <vt:lpwstr>20</vt:lpwstr>
  </property>
  <property fmtid="{D5CDD505-2E9C-101B-9397-08002B2CF9AE}" pid="33" name="PSAKDIN">
    <vt:lpwstr>פסק-דין</vt:lpwstr>
  </property>
  <property fmtid="{D5CDD505-2E9C-101B-9397-08002B2CF9AE}" pid="34" name="TYPE">
    <vt:lpwstr>1</vt:lpwstr>
  </property>
  <property fmtid="{D5CDD505-2E9C-101B-9397-08002B2CF9AE}" pid="35" name="TYPE_ABS_DATE">
    <vt:lpwstr>410120210414</vt:lpwstr>
  </property>
  <property fmtid="{D5CDD505-2E9C-101B-9397-08002B2CF9AE}" pid="36" name="TYPE_N_DATE">
    <vt:lpwstr>41020210414</vt:lpwstr>
  </property>
  <property fmtid="{D5CDD505-2E9C-101B-9397-08002B2CF9AE}" pid="37" name="WORDNUMPAGES">
    <vt:lpwstr>15</vt:lpwstr>
  </property>
</Properties>
</file>