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9302/17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וגזר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בבאר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u w:val="single"/>
                </w:rPr>
                <w:t>26448-06-15</w:t>
              </w:r>
            </w:hyperlink>
            <w:r>
              <w:rPr>
                <w:sz w:val="24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;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  <w:r>
              <w:rPr>
                <w:sz w:val="24"/>
                <w:sz w:val="24"/>
                <w:rtl w:val="true"/>
              </w:rPr>
              <w:t>מימים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19.7.2017</w:t>
            </w:r>
            <w:r>
              <w:rPr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</w:rPr>
              <w:t>22.11.2017</w:t>
            </w:r>
            <w:r>
              <w:rPr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כב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השופטים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סלוטקי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אינפלד</w:t>
            </w:r>
            <w:r>
              <w:rPr>
                <w:rFonts w:cs="Times New Roman;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וא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חזק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02.01.2019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גוטליב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ארויה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1998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דחה פה אחד את ערעור המערער על הרשעתו בביצוע עבירות מין במתלוננת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קטינה בת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בחן את קו הגנה החדש שהעלה המערער בערעור בדבר הסכמת המתלוננת לביצוע המעשים המיניים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וקבע כי המתלוננת לא הסכימה למעשים וכי האפשרות שהמעשים נעשו בהסכמה קלושה ובלתי סבירה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ואינה מקימה ספק סביר בדבר אשמתו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המצדיק את קבלת קו ההגנה החדש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בדעת רוב נדחה הערעור על עונש המאסר בפועל בן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השנים שהושת על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בירור האשמה – קו הגנה חלופי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בירור האשמה – גירסאות עובדתיות חלופיות במשפט פלילי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הרשעה – ספק סביר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ערעור – התערבות במימצאים עובדתיים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חקירה במשטרה – מחדלי חקירה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ראיות – הכחשה כוללת של האישום – נפקותה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מין בקטינים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בעל מכולת בן יותר 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60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הואשם שאנס בחנותו קטינה בת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שנים בעת המעשים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ועשה בה עבירות מין נוספות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הרשיע את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ברוב דעות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בעיקר העבירות שהואשם בהן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דעת המיעוט סברה שיש להרשיעו רק בבעילה אסורה בהסכמה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על המערער נגזר 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שנתיים מאסר על תנאי ופיצוי המתלוננת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120,000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מכאן הערעור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במהלך הדיון בערעור חזר בו המערער מהטענה שהמעשים המיניים לא נעשו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וטען כי נעשו בהסכמה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גרוסקופף ובהסכמת המשנה לנשיאה מלצר והשופט פוגלמן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על הכרעת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, 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גרוסקופף ובהסכמת השופט פוגלמן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בניגוד לדעתו החולקת של המשנה לנשיאה מלצר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על גזר הדין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 קו ההגנה המקורי המערער לא עשה כלל את המעשים המיניים המיוחסים 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 קו ההגנה החדש המערער עשה את המעשים המיניים המיוחסים לו בהסכמת המתלוננת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מבחינה עובדתית שני קווי ההגנה נסמכים על טענות הסותרות זו את זו בשאלה אם המעשים המיניים התרחשו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-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הכחשה במחוזי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הודאה בעליון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אם נאשם מעלה בערעור קו הגנה שונה מזה שטען לו בערכאה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ואפילו קווי ההגנה מבוססים על מערכי עובדות סותרים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ערכאת הערעור רשאית לדון בקו ההגנה החדש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ואף עליה חובה לעשות כן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כדי לוודא היטב שלא תרשיע אדם אם בתום הדיון בעניינו נותר ספק סביר באשמתו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ודוק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קו הגנה חדש יכול להביא לזיכוי רק אם הוא סביר ומעוגן בחומר הראיות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קו ההגנה החדש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הנסב על הסכמת המתלוננת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בעל תימוכין מסוימים בראיות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ולפיכך מחייב בחינה לגופו במטרה לבדוק אם הוא מקים ספק סביר בדבר אשמת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ודוק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זהו אומנם קו הגנה חדש מבחינה זו שהנאשם לא טען לו בערכאה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ואולם קו הגנה זה נבחן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ונדחה ברוב דעות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ידי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להתערב בקביעת דעת הרוב בבימ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לפיה יש די ראיות לבסס העדר הסכמה של המתלוננת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המערער היה מודע היטב לכך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אולם המערער טוען שחלק מהראיות מתיישבות גם עם האפשרות שהמתלוננת הסכימה למעשים ולכן קם לשיטתו ספק סביר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שאלת ההסכמה נבחנה על רקע מערך הראיות כולו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כדי להכריע אם האפשרות שהמעשים נעשו בהסכמה הינה סבירה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דעת המיעוט בבימ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תמכה בגרסת ההסכמה והמערער הוסיף עליהן טענות וראיות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שבחינתן על בסיס מארג הראיות הכולל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מעלה כי אין בהן כדי להקים ספק סביר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להבדיל מאפשרות בלתי סבירה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שלפיו המתלוננת הסכימה לקיום יחסי מין עם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סבירות האפשרות כי המערערת הסכימה למעשי המערער נבחנה על רקע מכלול הנסיבות והראיות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ובשים לב אליהן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הרי שגם אם קיימת אפשרות שהמעשים נעשו בהסכמה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אפשרות זו קלושה ובלתי סבירה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והיא אינה מקימה ספק סביר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המצדיק את קבלת קו ההגנה החדש שנקט המערער בערעור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לערעור על 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בדעת רוב קבע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העליון כי העונש אינו חמור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אין זה מקרה חריג המצדיק התערבות בעונש או במתחם הענישה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דעת המיעוט סברה כי בשים לקבלת האחריות החלקית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ולמצבו הבריאותי הנוכחי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ובהתחשב במכלול הנסיבות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יש להורות על הפחתת שנת מאסר אחת לריצוי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העליון עמד על פגמים שנפלו בהתנהלות החקירה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שלא פגעו בהגנת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הדגשה כי נדרשת רגישות גבוהה בחקירת עבירות מין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בעיקר אם הנפגעים הם בגיל ההתבגרות או בגיל צעיר יותר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בעל מכולת בן יותר מ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 xml:space="preserve">הואשם שאנס בחנותו קטינה בת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 בעת המעשים</w:t>
      </w:r>
      <w:r>
        <w:rPr>
          <w:rtl w:val="true"/>
        </w:rPr>
        <w:t xml:space="preserve">, </w:t>
      </w:r>
      <w:r>
        <w:rPr>
          <w:rtl w:val="true"/>
        </w:rPr>
        <w:t>ועשה בה עבירות מין נוספות</w:t>
      </w:r>
      <w:r>
        <w:rPr>
          <w:rtl w:val="true"/>
        </w:rPr>
        <w:t xml:space="preserve">. </w:t>
      </w:r>
      <w:r>
        <w:rPr>
          <w:rtl w:val="true"/>
        </w:rPr>
        <w:t>הוא הכחיש שעשה דבר מהמעשים המיניים שייוחסו לו</w:t>
      </w:r>
      <w:r>
        <w:rPr>
          <w:rtl w:val="true"/>
        </w:rPr>
        <w:t xml:space="preserve">. </w:t>
      </w:r>
      <w:r>
        <w:rPr>
          <w:rtl w:val="true"/>
        </w:rPr>
        <w:t>בית המשפט המחוזי הרשיע אותו ברוב דעות בעיקר העבירות שהואשם בהן</w:t>
      </w:r>
      <w:r>
        <w:rPr>
          <w:rtl w:val="true"/>
        </w:rPr>
        <w:t xml:space="preserve">, </w:t>
      </w:r>
      <w:r>
        <w:rPr>
          <w:rtl w:val="true"/>
        </w:rPr>
        <w:t>ודעת המיעוט סברה שיש להרשיע אותו רק בבעילה אסורה בהסכמה</w:t>
      </w:r>
      <w:r>
        <w:rPr>
          <w:rtl w:val="true"/>
        </w:rPr>
        <w:t xml:space="preserve">. </w:t>
      </w:r>
      <w:r>
        <w:rPr>
          <w:rtl w:val="true"/>
        </w:rPr>
        <w:t>במהלך הדיון בערעור חזר בו המערער מהטענה שהמעשים המיניים לא נעשו</w:t>
      </w:r>
      <w:r>
        <w:rPr>
          <w:rtl w:val="true"/>
        </w:rPr>
        <w:t xml:space="preserve">, </w:t>
      </w:r>
      <w:r>
        <w:rPr>
          <w:rtl w:val="true"/>
        </w:rPr>
        <w:t>אולם טען כי נעשו בהסכמה</w:t>
      </w:r>
      <w:r>
        <w:rPr>
          <w:rtl w:val="true"/>
        </w:rPr>
        <w:t xml:space="preserve">. </w:t>
      </w:r>
      <w:r>
        <w:rPr>
          <w:rtl w:val="true"/>
        </w:rPr>
        <w:t>השאלה הניצבת לפתחנו היא האם יש להותיר את הרשעתו ואת גזר דינו על 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הערעור שלפנינו נסב על פסק הדין של בית המשפט המחוזי בבאר שבע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השופטים </w:t>
      </w:r>
      <w:r>
        <w:rPr>
          <w:rFonts w:cs="Miriam"/>
          <w:spacing w:val="0"/>
          <w:szCs w:val="24"/>
          <w:rtl w:val="true"/>
        </w:rPr>
        <w:t>חני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אלון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אינפלד</w:t>
      </w:r>
      <w:r>
        <w:rPr>
          <w:rtl w:val="true"/>
        </w:rPr>
        <w:t xml:space="preserve"> ו</w:t>
      </w:r>
      <w:r>
        <w:rPr>
          <w:rFonts w:cs="Miriam"/>
          <w:spacing w:val="0"/>
          <w:szCs w:val="24"/>
          <w:rtl w:val="true"/>
        </w:rPr>
        <w:t>אריאל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; </w:t>
      </w:r>
      <w:r>
        <w:rPr>
          <w:rtl w:val="true"/>
        </w:rPr>
        <w:t xml:space="preserve">הכרעת דין מיום </w:t>
      </w:r>
      <w:r>
        <w:rPr/>
        <w:t>19.7.2017</w:t>
      </w:r>
      <w:r>
        <w:rPr>
          <w:rtl w:val="true"/>
        </w:rPr>
        <w:t xml:space="preserve"> </w:t>
      </w:r>
      <w:r>
        <w:rPr>
          <w:rtl w:val="true"/>
        </w:rPr>
        <w:t xml:space="preserve">וגזר דין מיום </w:t>
      </w:r>
      <w:r>
        <w:rPr/>
        <w:t>22.11.2017</w:t>
      </w:r>
      <w:r>
        <w:rPr>
          <w:rtl w:val="true"/>
        </w:rPr>
        <w:t xml:space="preserve">). </w:t>
      </w:r>
      <w:r>
        <w:rPr>
          <w:rtl w:val="true"/>
        </w:rPr>
        <w:t xml:space="preserve">המערער הורשע בעבירות אינוס בנסיבות מחמירות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חוק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העונשין</w:t>
      </w:r>
      <w:r>
        <w:rPr>
          <w:rtl w:val="true"/>
        </w:rPr>
        <w:t xml:space="preserve">)), </w:t>
      </w:r>
      <w:r>
        <w:rPr>
          <w:rtl w:val="true"/>
        </w:rPr>
        <w:t xml:space="preserve">מעשה מגונה בנסיבות מחמירות </w:t>
      </w:r>
      <w:r>
        <w:rPr>
          <w:rtl w:val="true"/>
        </w:rPr>
        <w:t>(</w:t>
      </w:r>
      <w:r>
        <w:rPr>
          <w:rtl w:val="true"/>
        </w:rPr>
        <w:t xml:space="preserve">שתי עבירות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9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הטרדה מינית </w:t>
      </w:r>
      <w:r>
        <w:rPr>
          <w:rtl w:val="true"/>
        </w:rPr>
        <w:t>(</w:t>
      </w:r>
      <w:r>
        <w:rPr>
          <w:rtl w:val="true"/>
        </w:rPr>
        <w:t xml:space="preserve">עבירות מרובות 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21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חוק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למניעת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הטרדה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מינית</w:t>
      </w:r>
      <w:r>
        <w:rPr>
          <w:rtl w:val="true"/>
        </w:rPr>
        <w:t xml:space="preserve">)) </w:t>
      </w:r>
      <w:r>
        <w:rPr>
          <w:rtl w:val="true"/>
        </w:rPr>
        <w:t xml:space="preserve">והדחה בחקירה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). </w:t>
      </w:r>
      <w:r>
        <w:rPr>
          <w:rtl w:val="true"/>
        </w:rPr>
        <w:t xml:space="preserve">בגין עבירות אלה נגזר לו עונש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שנתיים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שחרורו ופיצוי המתלוננת בסך של </w:t>
      </w:r>
      <w:r>
        <w:rPr/>
        <w:t>120,000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לדאבון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התבשרנו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. </w:t>
      </w:r>
      <w:r>
        <w:rPr>
          <w:rtl w:val="true"/>
        </w:rPr>
        <w:t>יהי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ברוך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להלן יובאו עיקרי העובדות שתוארו בכתב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היה בעל חנות מכולת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החנות</w:t>
      </w:r>
      <w:r>
        <w:rPr>
          <w:rtl w:val="true"/>
        </w:rPr>
        <w:t xml:space="preserve">) </w:t>
      </w:r>
      <w:r>
        <w:rPr>
          <w:rtl w:val="true"/>
        </w:rPr>
        <w:t>בעיר מגוריה של המתלוננת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ילידת שנת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 xml:space="preserve">הייתה בעת האירועים קטינה כבת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והתגוררה עם משפחתה סמוך לחנות המערער</w:t>
      </w:r>
      <w:r>
        <w:rPr>
          <w:rtl w:val="true"/>
        </w:rPr>
        <w:t xml:space="preserve">. </w:t>
      </w:r>
      <w:r>
        <w:rPr>
          <w:rtl w:val="true"/>
        </w:rPr>
        <w:t>בין המערער למשפחת המתלוננת היכרות רבת שנים על רקע קרבת המגורים ורכישות בני המשפחה בחנות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לפי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במועד סמוך לסוף 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שאינו ידוע במדויק</w:t>
      </w:r>
      <w:r>
        <w:rPr>
          <w:rtl w:val="true"/>
        </w:rPr>
        <w:t xml:space="preserve">, </w:t>
      </w:r>
      <w:r>
        <w:rPr>
          <w:rtl w:val="true"/>
        </w:rPr>
        <w:t>הגיעה המתלוננת לחנות כדי לרכוש סיגריות לאימהּ</w:t>
      </w:r>
      <w:r>
        <w:rPr>
          <w:rtl w:val="true"/>
        </w:rPr>
        <w:t xml:space="preserve">. </w:t>
      </w:r>
      <w:r>
        <w:rPr>
          <w:rtl w:val="true"/>
        </w:rPr>
        <w:t>החנות הייתה ריקה מלקוחות</w:t>
      </w:r>
      <w:r>
        <w:rPr>
          <w:rtl w:val="true"/>
        </w:rPr>
        <w:t xml:space="preserve">. </w:t>
      </w:r>
      <w:r>
        <w:rPr>
          <w:rtl w:val="true"/>
        </w:rPr>
        <w:t>המערער פנה אל המתלוננת וביקש שתתקרב אליו</w:t>
      </w:r>
      <w:r>
        <w:rPr>
          <w:rtl w:val="true"/>
        </w:rPr>
        <w:t xml:space="preserve">, </w:t>
      </w:r>
      <w:r>
        <w:rPr>
          <w:rtl w:val="true"/>
        </w:rPr>
        <w:t>אך היא סירבה</w:t>
      </w:r>
      <w:r>
        <w:rPr>
          <w:rtl w:val="true"/>
        </w:rPr>
        <w:t xml:space="preserve">. </w:t>
      </w:r>
      <w:r>
        <w:rPr>
          <w:rtl w:val="true"/>
        </w:rPr>
        <w:t>אז קם המערער מכיסאו</w:t>
      </w:r>
      <w:r>
        <w:rPr>
          <w:rtl w:val="true"/>
        </w:rPr>
        <w:t xml:space="preserve">, </w:t>
      </w:r>
      <w:r>
        <w:rPr>
          <w:rtl w:val="true"/>
        </w:rPr>
        <w:t>אחז בחגורת מכנסיה של המתלוננת</w:t>
      </w:r>
      <w:r>
        <w:rPr>
          <w:rtl w:val="true"/>
        </w:rPr>
        <w:t xml:space="preserve">, </w:t>
      </w:r>
      <w:r>
        <w:rPr>
          <w:rtl w:val="true"/>
        </w:rPr>
        <w:t>משך אותה לעברו ובידו השנייה נגע באזור איבר מינה מעל בגדיה</w:t>
      </w:r>
      <w:r>
        <w:rPr>
          <w:rtl w:val="true"/>
        </w:rPr>
        <w:t xml:space="preserve">. </w:t>
      </w:r>
      <w:r>
        <w:rPr>
          <w:rtl w:val="true"/>
        </w:rPr>
        <w:t>המתלוננת אחזה בידו של המערער וניסתה להרחיקו מגופה אך ללא הצלחה</w:t>
      </w:r>
      <w:r>
        <w:rPr>
          <w:rtl w:val="true"/>
        </w:rPr>
        <w:t xml:space="preserve">. </w:t>
      </w:r>
      <w:r>
        <w:rPr>
          <w:rtl w:val="true"/>
        </w:rPr>
        <w:t>רק לאחר זמן מה הפסיק המערער את מעשיו ושחרר את המתלוננת מאחיזתו</w:t>
      </w:r>
      <w:r>
        <w:rPr>
          <w:rtl w:val="true"/>
        </w:rPr>
        <w:t xml:space="preserve">. </w:t>
      </w:r>
      <w:r>
        <w:rPr>
          <w:rtl w:val="true"/>
        </w:rPr>
        <w:t xml:space="preserve">על אלה הואשם המערער במעשה מגונה בנסיבות מחמירות לפי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26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לפי האישום השני</w:t>
      </w:r>
      <w:r>
        <w:rPr>
          <w:rtl w:val="true"/>
        </w:rPr>
        <w:t xml:space="preserve">, </w:t>
      </w:r>
      <w:r>
        <w:rPr>
          <w:rtl w:val="true"/>
        </w:rPr>
        <w:t>במועד שאינו ידוע במדויק ושסמוך לאירוע המתואר לעיל</w:t>
      </w:r>
      <w:r>
        <w:rPr>
          <w:rtl w:val="true"/>
        </w:rPr>
        <w:t xml:space="preserve">, </w:t>
      </w:r>
      <w:r>
        <w:rPr>
          <w:rtl w:val="true"/>
        </w:rPr>
        <w:t>הגיעה המתלוננת לחנות בשעת צוהריים כדי לרכוש סיגריות ולחם</w:t>
      </w:r>
      <w:r>
        <w:rPr>
          <w:rtl w:val="true"/>
        </w:rPr>
        <w:t xml:space="preserve">. </w:t>
      </w:r>
      <w:r>
        <w:rPr>
          <w:rtl w:val="true"/>
        </w:rPr>
        <w:t>החנות הייתה ריקה מלקוחות</w:t>
      </w:r>
      <w:r>
        <w:rPr>
          <w:rtl w:val="true"/>
        </w:rPr>
        <w:t xml:space="preserve">. </w:t>
      </w:r>
      <w:r>
        <w:rPr>
          <w:rtl w:val="true"/>
        </w:rPr>
        <w:t>המערער נעל את דלת הכניסה לחנות ותלה על גביה שלט שלפיו החנות תהיה סגורה בשעה הקרובה</w:t>
      </w:r>
      <w:r>
        <w:rPr>
          <w:rtl w:val="true"/>
        </w:rPr>
        <w:t xml:space="preserve">. </w:t>
      </w:r>
      <w:r>
        <w:rPr>
          <w:rtl w:val="true"/>
        </w:rPr>
        <w:t>המערער הכניס את המתלוננת לאחורי החנות</w:t>
      </w:r>
      <w:r>
        <w:rPr>
          <w:rtl w:val="true"/>
        </w:rPr>
        <w:t xml:space="preserve">, </w:t>
      </w:r>
      <w:r>
        <w:rPr>
          <w:rtl w:val="true"/>
        </w:rPr>
        <w:t>הושיבה על כיסא</w:t>
      </w:r>
      <w:r>
        <w:rPr>
          <w:rtl w:val="true"/>
        </w:rPr>
        <w:t xml:space="preserve">, </w:t>
      </w:r>
      <w:r>
        <w:rPr>
          <w:rtl w:val="true"/>
        </w:rPr>
        <w:t>נטל קונדום מסלסלה שהייתה בחנות</w:t>
      </w:r>
      <w:r>
        <w:rPr>
          <w:rtl w:val="true"/>
        </w:rPr>
        <w:t xml:space="preserve">, </w:t>
      </w:r>
      <w:r>
        <w:rPr>
          <w:rtl w:val="true"/>
        </w:rPr>
        <w:t>הפשיל את מכנסיו ותחתוניו וחשף את איבר מינו לפני המתלוננת</w:t>
      </w:r>
      <w:r>
        <w:rPr>
          <w:rtl w:val="true"/>
        </w:rPr>
        <w:t xml:space="preserve">. </w:t>
      </w:r>
      <w:r>
        <w:rPr>
          <w:rtl w:val="true"/>
        </w:rPr>
        <w:t>הוא הפשיל את מכנסי הטייץ של המתלוננת</w:t>
      </w:r>
      <w:r>
        <w:rPr>
          <w:rtl w:val="true"/>
        </w:rPr>
        <w:t xml:space="preserve">. </w:t>
      </w:r>
      <w:r>
        <w:rPr>
          <w:rtl w:val="true"/>
        </w:rPr>
        <w:t>המתלוננת התנגדה למעשיו וניסתה לבעוט בו באזור איבר מינו</w:t>
      </w:r>
      <w:r>
        <w:rPr>
          <w:rtl w:val="true"/>
        </w:rPr>
        <w:t xml:space="preserve">, </w:t>
      </w:r>
      <w:r>
        <w:rPr>
          <w:rtl w:val="true"/>
        </w:rPr>
        <w:t>אך ללא הצלחה</w:t>
      </w:r>
      <w:r>
        <w:rPr>
          <w:rtl w:val="true"/>
        </w:rPr>
        <w:t xml:space="preserve">. </w:t>
      </w:r>
      <w:r>
        <w:rPr>
          <w:rtl w:val="true"/>
        </w:rPr>
        <w:t>לאחר שהפשיל את מכנסי הטייץ של המתלוננת</w:t>
      </w:r>
      <w:r>
        <w:rPr>
          <w:rtl w:val="true"/>
        </w:rPr>
        <w:t xml:space="preserve">, </w:t>
      </w:r>
      <w:r>
        <w:rPr>
          <w:rtl w:val="true"/>
        </w:rPr>
        <w:t>השכיבה המערער על הכיסא</w:t>
      </w:r>
      <w:r>
        <w:rPr>
          <w:rtl w:val="true"/>
        </w:rPr>
        <w:t xml:space="preserve">, </w:t>
      </w:r>
      <w:r>
        <w:rPr>
          <w:rtl w:val="true"/>
        </w:rPr>
        <w:t>עטה קונדום על איבר מינו וחיכך את איבר מינו באיבר מינה מעל תחתוניה</w:t>
      </w:r>
      <w:r>
        <w:rPr>
          <w:rtl w:val="true"/>
        </w:rPr>
        <w:t xml:space="preserve">. </w:t>
      </w:r>
      <w:r>
        <w:rPr>
          <w:rtl w:val="true"/>
        </w:rPr>
        <w:t>המתלוננת התחננה בפני המערער שיפסיק את מעשיו ואמרה שהוא גורם לה לכאב</w:t>
      </w:r>
      <w:r>
        <w:rPr>
          <w:rtl w:val="true"/>
        </w:rPr>
        <w:t xml:space="preserve">, </w:t>
      </w:r>
      <w:r>
        <w:rPr>
          <w:rtl w:val="true"/>
        </w:rPr>
        <w:t>אולם הוא לא חדל</w:t>
      </w:r>
      <w:r>
        <w:rPr>
          <w:rtl w:val="true"/>
        </w:rPr>
        <w:t xml:space="preserve">. </w:t>
      </w:r>
      <w:r>
        <w:rPr>
          <w:rtl w:val="true"/>
        </w:rPr>
        <w:t>הוא הפשיל את תחתוניה והחדיר את איבר מינו לאיבר מינה למרות התנגדותה וניסיונותיה לדחוף אותו מעליה</w:t>
      </w:r>
      <w:r>
        <w:rPr>
          <w:rtl w:val="true"/>
        </w:rPr>
        <w:t xml:space="preserve">. </w:t>
      </w:r>
      <w:r>
        <w:rPr>
          <w:rtl w:val="true"/>
        </w:rPr>
        <w:t>במהלך מעשיו ועם הגעתו לסיפוק מיני נקרע הקונדום שהמערער עטה על איבר מינו</w:t>
      </w:r>
      <w:r>
        <w:rPr>
          <w:rtl w:val="true"/>
        </w:rPr>
        <w:t xml:space="preserve">. </w:t>
      </w:r>
      <w:r>
        <w:rPr>
          <w:rtl w:val="true"/>
        </w:rPr>
        <w:t>זרעו נשפך על גוף המתלוננת ועל בגדיה</w:t>
      </w:r>
      <w:r>
        <w:rPr>
          <w:rtl w:val="true"/>
        </w:rPr>
        <w:t xml:space="preserve">. </w:t>
      </w:r>
      <w:r>
        <w:rPr>
          <w:rtl w:val="true"/>
        </w:rPr>
        <w:t>לאחר מכן שחרר המערער את המתלוננת מאחיזתו</w:t>
      </w:r>
      <w:r>
        <w:rPr>
          <w:rtl w:val="true"/>
        </w:rPr>
        <w:t xml:space="preserve">, </w:t>
      </w:r>
      <w:r>
        <w:rPr>
          <w:rtl w:val="true"/>
        </w:rPr>
        <w:t>סיפק לה מגבונים לניקוי בגדיה</w:t>
      </w:r>
      <w:r>
        <w:rPr>
          <w:rtl w:val="true"/>
        </w:rPr>
        <w:t xml:space="preserve">, </w:t>
      </w:r>
      <w:r>
        <w:rPr>
          <w:rtl w:val="true"/>
        </w:rPr>
        <w:t>פתח את הדלת ואפשר לה לצאת</w:t>
      </w:r>
      <w:r>
        <w:rPr>
          <w:rtl w:val="true"/>
        </w:rPr>
        <w:t xml:space="preserve">. </w:t>
      </w:r>
      <w:r>
        <w:rPr>
          <w:rtl w:val="true"/>
        </w:rPr>
        <w:t xml:space="preserve">הוא הורה לה שלא לספר לאיש על מעשיו ושאל אם היה לה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כיף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כמה ימים לאחר מכן איחרה להגיע הווסת החודשית של המתלוננת</w:t>
      </w:r>
      <w:r>
        <w:rPr>
          <w:rtl w:val="true"/>
        </w:rPr>
        <w:t xml:space="preserve">. </w:t>
      </w:r>
      <w:r>
        <w:rPr>
          <w:rtl w:val="true"/>
        </w:rPr>
        <w:t>היא חששה שנכנסה להיריון</w:t>
      </w:r>
      <w:r>
        <w:rPr>
          <w:rtl w:val="true"/>
        </w:rPr>
        <w:t xml:space="preserve">, </w:t>
      </w:r>
      <w:r>
        <w:rPr>
          <w:rtl w:val="true"/>
        </w:rPr>
        <w:t>פנתה אל המערער כשבועיים לאחר המעשה ואמרה לו זאת</w:t>
      </w:r>
      <w:r>
        <w:rPr>
          <w:rtl w:val="true"/>
        </w:rPr>
        <w:t xml:space="preserve">. </w:t>
      </w:r>
      <w:r>
        <w:rPr>
          <w:rtl w:val="true"/>
        </w:rPr>
        <w:t>המערער דרש מהמתלוננת שתיתן לו בדיקת שתן</w:t>
      </w:r>
      <w:r>
        <w:rPr>
          <w:rtl w:val="true"/>
        </w:rPr>
        <w:t xml:space="preserve">, </w:t>
      </w:r>
      <w:r>
        <w:rPr>
          <w:rtl w:val="true"/>
        </w:rPr>
        <w:t>הגיע לביתה לאסוף את הבדיקה ולאחר מכן סיפק לה כדור לזירוז הווסת</w:t>
      </w:r>
      <w:r>
        <w:rPr>
          <w:rtl w:val="true"/>
        </w:rPr>
        <w:t xml:space="preserve">. </w:t>
      </w:r>
      <w:r>
        <w:rPr>
          <w:rtl w:val="true"/>
        </w:rPr>
        <w:t xml:space="preserve">על אלה הואשם המערער באינוס בנסיבות מחמירות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 xml:space="preserve">ובהדחה בחקירה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האישום השלישי עניינו מעשים במהלך תקופה שאינה ידועה במדויק בשנים </w:t>
      </w:r>
      <w:r>
        <w:rPr/>
        <w:t>2014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4.6.2015</w:t>
      </w:r>
      <w:r>
        <w:rPr>
          <w:rtl w:val="true"/>
        </w:rPr>
        <w:t xml:space="preserve">. </w:t>
      </w:r>
      <w:r>
        <w:rPr>
          <w:rtl w:val="true"/>
        </w:rPr>
        <w:t>במקרים רבים כשהמתלוננת הייתה באה לרכוש מוצרים למשפחתה והחנות הייתה ריקה מלקוחות</w:t>
      </w:r>
      <w:r>
        <w:rPr>
          <w:rtl w:val="true"/>
        </w:rPr>
        <w:t xml:space="preserve">, </w:t>
      </w:r>
      <w:r>
        <w:rPr>
          <w:rtl w:val="true"/>
        </w:rPr>
        <w:t>הציע לה המערער הצעות בעלות אופי מיני והעיר לה הערות בעלות גוון מיני</w:t>
      </w:r>
      <w:r>
        <w:rPr>
          <w:rtl w:val="true"/>
        </w:rPr>
        <w:t xml:space="preserve">. </w:t>
      </w:r>
      <w:r>
        <w:rPr>
          <w:rtl w:val="true"/>
        </w:rPr>
        <w:t xml:space="preserve">כך למשל אמר </w:t>
      </w:r>
      <w:r>
        <w:rPr>
          <w:rtl w:val="true"/>
        </w:rPr>
        <w:t>למתלוננת</w:t>
      </w:r>
      <w:r>
        <w:rPr>
          <w:rtl w:val="true"/>
        </w:rPr>
        <w:t>:</w:t>
      </w:r>
      <w:r>
        <w:rPr>
          <w:rFonts w:cs="Miriam"/>
          <w:spacing w:val="0"/>
          <w:szCs w:val="24"/>
          <w:rtl w:val="true"/>
        </w:rPr>
        <w:t xml:space="preserve"> "</w:t>
      </w:r>
      <w:r>
        <w:rPr>
          <w:rFonts w:cs="Miriam"/>
          <w:spacing w:val="0"/>
          <w:szCs w:val="24"/>
          <w:rtl w:val="true"/>
        </w:rPr>
        <w:t>את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מפותחת</w:t>
      </w:r>
      <w:r>
        <w:rPr>
          <w:rFonts w:cs="Miriam"/>
          <w:spacing w:val="0"/>
          <w:szCs w:val="24"/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יש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לך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חזה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שמתאים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לשחקנית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פורנו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הציע לה להתלוות אליו לדירתו ולרכבו והציע לה לקיים עימו יחסי מין</w:t>
      </w:r>
      <w:r>
        <w:rPr>
          <w:rtl w:val="true"/>
        </w:rPr>
        <w:t xml:space="preserve">. </w:t>
      </w:r>
      <w:r>
        <w:rPr>
          <w:rtl w:val="true"/>
        </w:rPr>
        <w:t>פעמים רבות כאשר החנות הייתה ריקה מלקוחות</w:t>
      </w:r>
      <w:r>
        <w:rPr>
          <w:rtl w:val="true"/>
        </w:rPr>
        <w:t xml:space="preserve">, </w:t>
      </w:r>
      <w:r>
        <w:rPr>
          <w:rtl w:val="true"/>
        </w:rPr>
        <w:t>אמר המערער למתלוננת</w:t>
      </w:r>
      <w:r>
        <w:rPr>
          <w:rtl w:val="true"/>
        </w:rPr>
        <w:t>: "</w:t>
      </w:r>
      <w:r>
        <w:rPr>
          <w:rFonts w:cs="Miriam"/>
          <w:spacing w:val="0"/>
          <w:szCs w:val="24"/>
          <w:rtl w:val="true"/>
        </w:rPr>
        <w:t>בואי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אליי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אני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רוצה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לגעת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בך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אני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רוצה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עוד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קצת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המתלוננת סירבה בתוקף לכל ההצעות והבהירה שאינה מעוניינת בפניותיו של המערער</w:t>
      </w:r>
      <w:r>
        <w:rPr>
          <w:rtl w:val="true"/>
        </w:rPr>
        <w:t xml:space="preserve">. </w:t>
      </w:r>
      <w:r>
        <w:rPr>
          <w:rtl w:val="true"/>
        </w:rPr>
        <w:t>בכמה הזדמנויות לפני האירוע שתואר באישום השני</w:t>
      </w:r>
      <w:r>
        <w:rPr>
          <w:rtl w:val="true"/>
        </w:rPr>
        <w:t xml:space="preserve">, </w:t>
      </w:r>
      <w:r>
        <w:rPr>
          <w:rtl w:val="true"/>
        </w:rPr>
        <w:t>פנה המערער למתלוננת כשנכחה בחנות ושאל אם היא בתולה</w:t>
      </w:r>
      <w:r>
        <w:rPr>
          <w:rtl w:val="true"/>
        </w:rPr>
        <w:t xml:space="preserve">. </w:t>
      </w:r>
      <w:r>
        <w:rPr>
          <w:rtl w:val="true"/>
        </w:rPr>
        <w:t>המתלוננת השיבה בחיוב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הציע לה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לנסות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פעם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איך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זה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היא סירבה ודרשה ממנו להפסיק לשוחח עימה על נושא זה</w:t>
      </w:r>
      <w:r>
        <w:rPr>
          <w:rtl w:val="true"/>
        </w:rPr>
        <w:t xml:space="preserve">. </w:t>
      </w:r>
      <w:r>
        <w:rPr>
          <w:rtl w:val="true"/>
        </w:rPr>
        <w:t>לאחר האירוע שתואר באישום השני</w:t>
      </w:r>
      <w:r>
        <w:rPr>
          <w:rtl w:val="true"/>
        </w:rPr>
        <w:t xml:space="preserve">, </w:t>
      </w:r>
      <w:r>
        <w:rPr>
          <w:rtl w:val="true"/>
        </w:rPr>
        <w:t>נסע המערער כמה פעמים ברכבו ליד בית המתלוננת בזמן שהיא שבה מבית הספר</w:t>
      </w:r>
      <w:r>
        <w:rPr>
          <w:rtl w:val="true"/>
        </w:rPr>
        <w:t xml:space="preserve">, </w:t>
      </w:r>
      <w:r>
        <w:rPr>
          <w:rtl w:val="true"/>
        </w:rPr>
        <w:t xml:space="preserve">שאל אותה אם נהנתה ואם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בא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לך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עוד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פעם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היא סירבה בתוקף או התעלמה מדבריו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לאחר האירוע שתואר באישום השני</w:t>
      </w:r>
      <w:r>
        <w:rPr>
          <w:rtl w:val="true"/>
        </w:rPr>
        <w:t xml:space="preserve">, </w:t>
      </w:r>
      <w:r>
        <w:rPr>
          <w:rtl w:val="true"/>
        </w:rPr>
        <w:t>צלצל המערער כמה פעמים למתלוננת ובין היתר הציע לה לקיים עימו יחסי מין</w:t>
      </w:r>
      <w:r>
        <w:rPr>
          <w:rtl w:val="true"/>
        </w:rPr>
        <w:t xml:space="preserve">, </w:t>
      </w:r>
      <w:r>
        <w:rPr>
          <w:rtl w:val="true"/>
        </w:rPr>
        <w:t>והיא סירבה</w:t>
      </w:r>
      <w:r>
        <w:rPr>
          <w:rtl w:val="true"/>
        </w:rPr>
        <w:t xml:space="preserve">. </w:t>
      </w:r>
      <w:r>
        <w:rPr>
          <w:rtl w:val="true"/>
        </w:rPr>
        <w:t>הוא המשיך לצלצל אליה עד שהיא חסמה את שיחותיו</w:t>
      </w:r>
      <w:r>
        <w:rPr>
          <w:rtl w:val="true"/>
        </w:rPr>
        <w:t xml:space="preserve">. </w:t>
      </w:r>
      <w:r>
        <w:rPr>
          <w:rtl w:val="true"/>
        </w:rPr>
        <w:t>בפעם אחרת נשלחה המתלוננת על ידי אימה למשוך כסף מהכספומט שבחנות</w:t>
      </w:r>
      <w:r>
        <w:rPr>
          <w:rtl w:val="true"/>
        </w:rPr>
        <w:t xml:space="preserve">. </w:t>
      </w:r>
      <w:r>
        <w:rPr>
          <w:rtl w:val="true"/>
        </w:rPr>
        <w:t>המתלוננת ביקשה את עזרת המערער מחשש שכרטיס האשראי ייבלע במכונה</w:t>
      </w:r>
      <w:r>
        <w:rPr>
          <w:rtl w:val="true"/>
        </w:rPr>
        <w:t xml:space="preserve">. </w:t>
      </w:r>
      <w:r>
        <w:rPr>
          <w:rtl w:val="true"/>
        </w:rPr>
        <w:t>המערער ניגש אל המתלוננת</w:t>
      </w:r>
      <w:r>
        <w:rPr>
          <w:rtl w:val="true"/>
        </w:rPr>
        <w:t xml:space="preserve">, </w:t>
      </w:r>
      <w:r>
        <w:rPr>
          <w:rtl w:val="true"/>
        </w:rPr>
        <w:t>נצמד אליה מאחור ועשה בה מעשה מגונה</w:t>
      </w:r>
      <w:r>
        <w:rPr>
          <w:rtl w:val="true"/>
        </w:rPr>
        <w:t xml:space="preserve">. </w:t>
      </w:r>
      <w:r>
        <w:rPr>
          <w:rtl w:val="true"/>
        </w:rPr>
        <w:t>המתלוננת הדפה אותו מעליה</w:t>
      </w:r>
      <w:r>
        <w:rPr>
          <w:rtl w:val="true"/>
        </w:rPr>
        <w:t xml:space="preserve">. </w:t>
      </w:r>
      <w:r>
        <w:rPr>
          <w:rtl w:val="true"/>
        </w:rPr>
        <w:t xml:space="preserve">על אלה הואשם המערער במעשה מגונה בנסיבות מחמירות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3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34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 xml:space="preserve">ובהטרדה מינית </w:t>
      </w:r>
      <w:r>
        <w:rPr>
          <w:rtl w:val="true"/>
        </w:rPr>
        <w:t>(</w:t>
      </w:r>
      <w:r>
        <w:rPr>
          <w:rtl w:val="true"/>
        </w:rPr>
        <w:t>מספר רב של עבירות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3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>).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הראיות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הכחיש את אשמתו</w:t>
      </w:r>
      <w:r>
        <w:rPr>
          <w:rtl w:val="true"/>
        </w:rPr>
        <w:t xml:space="preserve">, </w:t>
      </w:r>
      <w:r>
        <w:rPr>
          <w:rtl w:val="true"/>
        </w:rPr>
        <w:t>אולם גרסתו בעניין התפתחה</w:t>
      </w:r>
      <w:r>
        <w:rPr>
          <w:rtl w:val="true"/>
        </w:rPr>
        <w:t xml:space="preserve">. </w:t>
      </w:r>
      <w:r>
        <w:rPr>
          <w:rtl w:val="true"/>
        </w:rPr>
        <w:t>תחילה הכחיש כליל את דברי המתלוננת וטען שהייתה מעוניינת בבנו</w:t>
      </w:r>
      <w:r>
        <w:rPr>
          <w:rtl w:val="true"/>
        </w:rPr>
        <w:t xml:space="preserve">, </w:t>
      </w:r>
      <w:r>
        <w:rPr>
          <w:rtl w:val="true"/>
        </w:rPr>
        <w:t>שעבד עמו בחנות</w:t>
      </w:r>
      <w:r>
        <w:rPr>
          <w:rtl w:val="true"/>
        </w:rPr>
        <w:t xml:space="preserve">. </w:t>
      </w:r>
      <w:r>
        <w:rPr>
          <w:rtl w:val="true"/>
        </w:rPr>
        <w:t>לאחר מכן טען שהוא והמתלוננת ניהלו שיחות אינטימיות בהסכמה</w:t>
      </w:r>
      <w:r>
        <w:rPr>
          <w:rtl w:val="true"/>
        </w:rPr>
        <w:t xml:space="preserve">, </w:t>
      </w:r>
      <w:r>
        <w:rPr>
          <w:rtl w:val="true"/>
        </w:rPr>
        <w:t xml:space="preserve">והוא חשב שהיא בת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זו הייתה גרסתו גם בבית המשפט המחוזי</w:t>
      </w:r>
      <w:r>
        <w:rPr>
          <w:rtl w:val="true"/>
        </w:rPr>
        <w:t xml:space="preserve">. </w:t>
      </w:r>
      <w:r>
        <w:rPr>
          <w:rtl w:val="true"/>
        </w:rPr>
        <w:t>פרשת הראיות התנהלה בהסתמך על גרסה זו</w:t>
      </w:r>
      <w:r>
        <w:rPr>
          <w:rtl w:val="true"/>
        </w:rPr>
        <w:t xml:space="preserve">. </w:t>
      </w:r>
      <w:r>
        <w:rPr>
          <w:rtl w:val="true"/>
        </w:rPr>
        <w:t>הצדדים הגישו ראיות שונות</w:t>
      </w:r>
      <w:r>
        <w:rPr>
          <w:rtl w:val="true"/>
        </w:rPr>
        <w:t xml:space="preserve">. </w:t>
      </w:r>
      <w:r>
        <w:rPr>
          <w:rtl w:val="true"/>
        </w:rPr>
        <w:t>התביעה הסתמכה על עדויות במשטרה של המתלוננת ושל המערער</w:t>
      </w:r>
      <w:r>
        <w:rPr>
          <w:rtl w:val="true"/>
        </w:rPr>
        <w:t xml:space="preserve">, </w:t>
      </w:r>
      <w:r>
        <w:rPr>
          <w:rtl w:val="true"/>
        </w:rPr>
        <w:t>על עימות במשטרה ביניהם ועל עדויות בבית המשפט של המתלוננת</w:t>
      </w:r>
      <w:r>
        <w:rPr>
          <w:rtl w:val="true"/>
        </w:rPr>
        <w:t xml:space="preserve">, </w:t>
      </w:r>
      <w:r>
        <w:rPr>
          <w:rtl w:val="true"/>
        </w:rPr>
        <w:t>של אביה</w:t>
      </w:r>
      <w:r>
        <w:rPr>
          <w:rtl w:val="true"/>
        </w:rPr>
        <w:t xml:space="preserve">, </w:t>
      </w:r>
      <w:r>
        <w:rPr>
          <w:rtl w:val="true"/>
        </w:rPr>
        <w:t>של אימהּ</w:t>
      </w:r>
      <w:r>
        <w:rPr>
          <w:rtl w:val="true"/>
        </w:rPr>
        <w:t xml:space="preserve">, </w:t>
      </w:r>
      <w:r>
        <w:rPr>
          <w:rtl w:val="true"/>
        </w:rPr>
        <w:t>של אחותה</w:t>
      </w:r>
      <w:r>
        <w:rPr>
          <w:rtl w:val="true"/>
        </w:rPr>
        <w:t xml:space="preserve">, </w:t>
      </w:r>
      <w:r>
        <w:rPr>
          <w:rtl w:val="true"/>
        </w:rPr>
        <w:t>של חברתה ב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של חברת המשפחה אפרת ושל חוקר שגבה את עדות המתלוננת במשטרה</w:t>
      </w:r>
      <w:r>
        <w:rPr>
          <w:rtl w:val="true"/>
        </w:rPr>
        <w:t xml:space="preserve">. </w:t>
      </w:r>
      <w:r>
        <w:rPr>
          <w:rtl w:val="true"/>
        </w:rPr>
        <w:t>ההגנה הסתמכה על עדויות המערער וילדיו</w:t>
      </w:r>
      <w:r>
        <w:rPr>
          <w:rtl w:val="true"/>
        </w:rPr>
        <w:t xml:space="preserve">. </w:t>
      </w:r>
      <w:r>
        <w:rPr>
          <w:rtl w:val="true"/>
        </w:rPr>
        <w:t>כל אחד מהצדדים הגיש מטעמו פירוט שיחות ומסרונים שהמתלוננת והמערער החליפו ביניהם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אקדים את המאוחר</w:t>
      </w:r>
      <w:r>
        <w:rPr>
          <w:rtl w:val="true"/>
        </w:rPr>
        <w:t xml:space="preserve">: </w:t>
      </w:r>
      <w:r>
        <w:rPr>
          <w:rtl w:val="true"/>
        </w:rPr>
        <w:t>לפנינו נקט המערער גרסה שונה מאלו שנקט קודם לכן</w:t>
      </w:r>
      <w:r>
        <w:rPr>
          <w:rtl w:val="true"/>
        </w:rPr>
        <w:t xml:space="preserve">. </w:t>
      </w:r>
      <w:r>
        <w:rPr>
          <w:rtl w:val="true"/>
        </w:rPr>
        <w:t>בשל כך מחלוקות שונות בבית המשפט המחוזי אינן נדרשות להכרעה בערעור</w:t>
      </w:r>
      <w:r>
        <w:rPr>
          <w:rtl w:val="true"/>
        </w:rPr>
        <w:t xml:space="preserve">. </w:t>
      </w:r>
      <w:r>
        <w:rPr>
          <w:rtl w:val="true"/>
        </w:rPr>
        <w:t>אתמקד בראיות שצריכות לענייננו</w:t>
      </w:r>
      <w:r>
        <w:rPr>
          <w:rtl w:val="true"/>
        </w:rPr>
        <w:t xml:space="preserve">. </w:t>
      </w:r>
      <w:r>
        <w:rPr>
          <w:rtl w:val="true"/>
        </w:rPr>
        <w:t>הן עוסקות באירועים עצמם ובאירועים נלווים</w:t>
      </w:r>
      <w:r>
        <w:rPr>
          <w:rtl w:val="true"/>
        </w:rPr>
        <w:t xml:space="preserve">, </w:t>
      </w:r>
      <w:r>
        <w:rPr>
          <w:rtl w:val="true"/>
        </w:rPr>
        <w:t>כגון תקשורת בין המתלוננת למערער</w:t>
      </w:r>
      <w:r>
        <w:rPr>
          <w:rtl w:val="true"/>
        </w:rPr>
        <w:t xml:space="preserve">. </w:t>
      </w:r>
      <w:r>
        <w:rPr>
          <w:rtl w:val="true"/>
        </w:rPr>
        <w:t>כתב האישום התבסס על גרסת המתלוננת</w:t>
      </w:r>
      <w:r>
        <w:rPr>
          <w:rtl w:val="true"/>
        </w:rPr>
        <w:t xml:space="preserve">. </w:t>
      </w:r>
      <w:r>
        <w:rPr>
          <w:rtl w:val="true"/>
        </w:rPr>
        <w:t>לא אחזור כאן על מה שמפורט בו</w:t>
      </w:r>
      <w:r>
        <w:rPr>
          <w:rtl w:val="true"/>
        </w:rPr>
        <w:t xml:space="preserve">, </w:t>
      </w:r>
      <w:r>
        <w:rPr>
          <w:rtl w:val="true"/>
        </w:rPr>
        <w:t>למעט מה שנחוץ להמשך הדיון</w:t>
      </w:r>
      <w:r>
        <w:rPr>
          <w:rtl w:val="true"/>
        </w:rPr>
        <w:t xml:space="preserve">. </w:t>
      </w:r>
      <w:r>
        <w:rPr>
          <w:rtl w:val="true"/>
        </w:rPr>
        <w:t>שינוי הגרסה של המערער משמעו שגרסת ההכחשה של המערער אינה נחשבת עוד לאמת</w:t>
      </w:r>
      <w:r>
        <w:rPr>
          <w:rtl w:val="true"/>
        </w:rPr>
        <w:t xml:space="preserve">, </w:t>
      </w:r>
      <w:r>
        <w:rPr>
          <w:rtl w:val="true"/>
        </w:rPr>
        <w:t>גם לשיטתו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הדיון לפנינו נגע בעיקר במה שאפשר ללמוד מראיות התביעה</w:t>
      </w:r>
      <w:r>
        <w:rPr>
          <w:rtl w:val="true"/>
        </w:rPr>
        <w:t xml:space="preserve">. </w:t>
      </w:r>
      <w:r>
        <w:rPr>
          <w:rtl w:val="true"/>
        </w:rPr>
        <w:t>לכן אין צורך לתאר את גרסת המערער יותר ממה שתיארתי עד כאן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גילוי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המעשים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המתלוננת לא יזמה את הגשת התלונה במשטרה</w:t>
      </w:r>
      <w:r>
        <w:rPr>
          <w:rtl w:val="true"/>
        </w:rPr>
        <w:t xml:space="preserve">. </w:t>
      </w:r>
      <w:r>
        <w:rPr>
          <w:rtl w:val="true"/>
        </w:rPr>
        <w:t>כתשעה חודשים היא שמרה לעצמה את מה שהמערער עשה בה</w:t>
      </w:r>
      <w:r>
        <w:rPr>
          <w:rtl w:val="true"/>
        </w:rPr>
        <w:t xml:space="preserve">. </w:t>
      </w:r>
      <w:r>
        <w:rPr>
          <w:rtl w:val="true"/>
        </w:rPr>
        <w:t>היא הסבירה זאת בשתיים</w:t>
      </w:r>
      <w:r>
        <w:rPr>
          <w:rtl w:val="true"/>
        </w:rPr>
        <w:t xml:space="preserve">: </w:t>
      </w:r>
      <w:r>
        <w:rPr>
          <w:rtl w:val="true"/>
        </w:rPr>
        <w:t xml:space="preserve">היא חששה מתגובת אביה והיא חששה מאיומי המערער </w:t>
      </w:r>
      <w:r>
        <w:rPr>
          <w:rtl w:val="true"/>
        </w:rPr>
        <w:t>(</w:t>
      </w:r>
      <w:r>
        <w:rPr>
          <w:rtl w:val="true"/>
        </w:rPr>
        <w:t>שהושמעו לאחר האונס</w:t>
      </w:r>
      <w:r>
        <w:rPr>
          <w:rtl w:val="true"/>
        </w:rPr>
        <w:t xml:space="preserve">). </w:t>
      </w:r>
      <w:r>
        <w:rPr>
          <w:rtl w:val="true"/>
        </w:rPr>
        <w:t>היא סיפרה אודות המעשים לשתיים</w:t>
      </w:r>
      <w:r>
        <w:rPr>
          <w:rtl w:val="true"/>
        </w:rPr>
        <w:t xml:space="preserve">: </w:t>
      </w:r>
      <w:r>
        <w:rPr>
          <w:rtl w:val="true"/>
        </w:rPr>
        <w:t>חברתה ב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וחברת המשפחה אפרת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 xml:space="preserve">אישרה בעדותה שהמתלוננת סיפרה לה טיפין טיפין בכמה שיחות </w:t>
      </w:r>
      <w:r>
        <w:rPr>
          <w:rtl w:val="true"/>
        </w:rPr>
        <w:t>(</w:t>
      </w:r>
      <w:r>
        <w:rPr>
          <w:rtl w:val="true"/>
        </w:rPr>
        <w:t xml:space="preserve">בעל פה וביישומון </w:t>
      </w:r>
      <w:r>
        <w:rPr>
          <w:rtl w:val="true"/>
        </w:rPr>
        <w:t>"</w:t>
      </w:r>
      <w:r>
        <w:rPr>
          <w:rtl w:val="true"/>
        </w:rPr>
        <w:t>וואטסאפ</w:t>
      </w:r>
      <w:r>
        <w:rPr>
          <w:rtl w:val="true"/>
        </w:rPr>
        <w:t xml:space="preserve">") </w:t>
      </w:r>
      <w:r>
        <w:rPr>
          <w:rtl w:val="true"/>
        </w:rPr>
        <w:t>על מה שקרה לה</w:t>
      </w:r>
      <w:r>
        <w:rPr>
          <w:rtl w:val="true"/>
        </w:rPr>
        <w:t xml:space="preserve">, </w:t>
      </w:r>
      <w:r>
        <w:rPr>
          <w:rtl w:val="true"/>
        </w:rPr>
        <w:t>ושהיא פחדה להתלונן במשטרה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 xml:space="preserve">העידה במשטרה ביום </w:t>
      </w:r>
      <w:r>
        <w:rPr/>
        <w:t>9.6.2015</w:t>
      </w:r>
      <w:r>
        <w:rPr>
          <w:rtl w:val="true"/>
        </w:rPr>
        <w:t xml:space="preserve">. </w:t>
      </w:r>
      <w:r>
        <w:rPr>
          <w:rtl w:val="true"/>
        </w:rPr>
        <w:t>לדבריה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סיפרה לה על הדברים חודש קודם לכן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261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אפרת העידה שהמתלוננת שהתה בביתה ביום חמישי ושמעה שיחה של אפרת על כך שאפרת נאנסה בעבר</w:t>
      </w:r>
      <w:r>
        <w:rPr>
          <w:rtl w:val="true"/>
        </w:rPr>
        <w:t xml:space="preserve">. </w:t>
      </w:r>
      <w:r>
        <w:rPr>
          <w:rtl w:val="true"/>
        </w:rPr>
        <w:t>המתלוננת בכתה</w:t>
      </w:r>
      <w:r>
        <w:rPr>
          <w:rtl w:val="true"/>
        </w:rPr>
        <w:t xml:space="preserve">, </w:t>
      </w:r>
      <w:r>
        <w:rPr>
          <w:rtl w:val="true"/>
        </w:rPr>
        <w:t>אפרת שאלה מה קרה</w:t>
      </w:r>
      <w:r>
        <w:rPr>
          <w:rtl w:val="true"/>
        </w:rPr>
        <w:t xml:space="preserve">, </w:t>
      </w:r>
      <w:r>
        <w:rPr>
          <w:rtl w:val="true"/>
        </w:rPr>
        <w:t>והמתלוננת סיפרה לה על האונס שחוותה בעצמה</w:t>
      </w:r>
      <w:r>
        <w:rPr>
          <w:rtl w:val="true"/>
        </w:rPr>
        <w:t xml:space="preserve">. </w:t>
      </w:r>
      <w:r>
        <w:rPr>
          <w:rtl w:val="true"/>
        </w:rPr>
        <w:t>המתלוננת אמרה שלא סיפרה לאימהּ משום שפחדה</w:t>
      </w:r>
      <w:r>
        <w:rPr>
          <w:rtl w:val="true"/>
        </w:rPr>
        <w:t xml:space="preserve">, </w:t>
      </w:r>
      <w:r>
        <w:rPr>
          <w:rtl w:val="true"/>
        </w:rPr>
        <w:t>וביקשה שגם אפרת לא תספר</w:t>
      </w:r>
      <w:r>
        <w:rPr>
          <w:rtl w:val="true"/>
        </w:rPr>
        <w:t xml:space="preserve">. </w:t>
      </w:r>
      <w:r>
        <w:rPr>
          <w:rtl w:val="true"/>
        </w:rPr>
        <w:t>באותו ערב באה אפרת לבית המתלוננת וסיפרה לאם</w:t>
      </w:r>
      <w:r>
        <w:rPr>
          <w:rtl w:val="true"/>
        </w:rPr>
        <w:t xml:space="preserve">. </w:t>
      </w:r>
      <w:r>
        <w:rPr>
          <w:rtl w:val="true"/>
        </w:rPr>
        <w:t xml:space="preserve">האם סיפרה לאבי המתלוננת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אֵם המתלוננת העידה שאפרת סיפרה לה שהמערער הטריד מינית את המתלוננת</w:t>
      </w:r>
      <w:r>
        <w:rPr>
          <w:rtl w:val="true"/>
        </w:rPr>
        <w:t xml:space="preserve">. </w:t>
      </w:r>
      <w:r>
        <w:rPr>
          <w:rtl w:val="true"/>
        </w:rPr>
        <w:t>האם העדיפה לא לספר עדיין לאב כדי לא לקלקל לו את חוויית השבת</w:t>
      </w:r>
      <w:r>
        <w:rPr>
          <w:rtl w:val="true"/>
        </w:rPr>
        <w:t xml:space="preserve">. </w:t>
      </w:r>
      <w:r>
        <w:rPr>
          <w:rtl w:val="true"/>
        </w:rPr>
        <w:t>ביום השבת סיפרה אפרת כי היא מרגישה שאין מדובר רק בהטרדה מינית</w:t>
      </w:r>
      <w:r>
        <w:rPr>
          <w:rtl w:val="true"/>
        </w:rPr>
        <w:t xml:space="preserve">, </w:t>
      </w:r>
      <w:r>
        <w:rPr>
          <w:rtl w:val="true"/>
        </w:rPr>
        <w:t>וכי כיבדה את רצון המתלוננת ולא סיפרה על כך קודם לכן</w:t>
      </w:r>
      <w:r>
        <w:rPr>
          <w:rtl w:val="true"/>
        </w:rPr>
        <w:t xml:space="preserve">. </w:t>
      </w:r>
      <w:r>
        <w:rPr>
          <w:rtl w:val="true"/>
        </w:rPr>
        <w:t>האם שאלה את המתלוננת</w:t>
      </w:r>
      <w:r>
        <w:rPr>
          <w:rtl w:val="true"/>
        </w:rPr>
        <w:t xml:space="preserve">, </w:t>
      </w:r>
      <w:r>
        <w:rPr>
          <w:rtl w:val="true"/>
        </w:rPr>
        <w:t>וזו סיפרה לה כל מה שקרה</w:t>
      </w:r>
      <w:r>
        <w:rPr>
          <w:rtl w:val="true"/>
        </w:rPr>
        <w:t xml:space="preserve">. </w:t>
      </w:r>
      <w:r>
        <w:rPr>
          <w:rtl w:val="true"/>
        </w:rPr>
        <w:t>כשבעלה שב מבית הכנסת במוצאי שבת</w:t>
      </w:r>
      <w:r>
        <w:rPr>
          <w:rtl w:val="true"/>
        </w:rPr>
        <w:t xml:space="preserve">, </w:t>
      </w:r>
      <w:r>
        <w:rPr>
          <w:rtl w:val="true"/>
        </w:rPr>
        <w:t xml:space="preserve">היא סיפרה לו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225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227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המתלוננת העידה שאפרת אמרה לה שסיפרה לאימהּ</w:t>
      </w:r>
      <w:r>
        <w:rPr>
          <w:rtl w:val="true"/>
        </w:rPr>
        <w:t xml:space="preserve">, </w:t>
      </w:r>
      <w:r>
        <w:rPr>
          <w:rtl w:val="true"/>
        </w:rPr>
        <w:t>והמתלוננת בכתה</w:t>
      </w:r>
      <w:r>
        <w:rPr>
          <w:rtl w:val="true"/>
        </w:rPr>
        <w:t xml:space="preserve">, </w:t>
      </w:r>
      <w:r>
        <w:rPr>
          <w:rtl w:val="true"/>
        </w:rPr>
        <w:t>פחדה ושאלה את אפרת מדוע סיפרה</w:t>
      </w:r>
      <w:r>
        <w:rPr>
          <w:rtl w:val="true"/>
        </w:rPr>
        <w:t xml:space="preserve">. </w:t>
      </w:r>
      <w:r>
        <w:rPr>
          <w:rtl w:val="true"/>
        </w:rPr>
        <w:t>תחילה סיפרו לאם רק על ההטרדות המיניות</w:t>
      </w:r>
      <w:r>
        <w:rPr>
          <w:rtl w:val="true"/>
        </w:rPr>
        <w:t xml:space="preserve">, </w:t>
      </w:r>
      <w:r>
        <w:rPr>
          <w:rtl w:val="true"/>
        </w:rPr>
        <w:t xml:space="preserve">ובשבת גילתה לה המתלוננת גם את האונס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אבי המתלוננת העיד שבמוצאי שבת</w:t>
      </w:r>
      <w:r>
        <w:rPr>
          <w:rtl w:val="true"/>
        </w:rPr>
        <w:t xml:space="preserve">, </w:t>
      </w:r>
      <w:r>
        <w:rPr>
          <w:rtl w:val="true"/>
        </w:rPr>
        <w:t>כששב מבית הכנסת</w:t>
      </w:r>
      <w:r>
        <w:rPr>
          <w:rtl w:val="true"/>
        </w:rPr>
        <w:t xml:space="preserve">, </w:t>
      </w:r>
      <w:r>
        <w:rPr>
          <w:rtl w:val="true"/>
        </w:rPr>
        <w:t>סיפרה לו אשתו על מעשי המערער</w:t>
      </w:r>
      <w:r>
        <w:rPr>
          <w:rtl w:val="true"/>
        </w:rPr>
        <w:t xml:space="preserve">. </w:t>
      </w:r>
      <w:r>
        <w:rPr>
          <w:rtl w:val="true"/>
        </w:rPr>
        <w:t>הוא הלך להתעמת עם המערער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הלכו בני המשפחה להתלונן במשטרה </w:t>
      </w:r>
      <w:r>
        <w:rPr>
          <w:rtl w:val="true"/>
        </w:rPr>
        <w:t>(</w:t>
      </w:r>
      <w:r>
        <w:rPr>
          <w:rtl w:val="true"/>
        </w:rPr>
        <w:t>למשל ש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199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Heading2"/>
        <w:ind w:hanging="0" w:start="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תיאור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האונס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המתלוננת תיארה את האונס מושא האישום השני כמופיע בכתב האישום</w:t>
      </w:r>
      <w:r>
        <w:rPr>
          <w:rtl w:val="true"/>
        </w:rPr>
        <w:t xml:space="preserve">. </w:t>
      </w:r>
      <w:r>
        <w:rPr>
          <w:rtl w:val="true"/>
        </w:rPr>
        <w:t>כמה פרטים בתיאור נדרשים לדיון בערעור</w:t>
      </w:r>
      <w:r>
        <w:rPr>
          <w:rtl w:val="true"/>
        </w:rPr>
        <w:t xml:space="preserve">. </w:t>
      </w:r>
      <w:r>
        <w:rPr>
          <w:rtl w:val="true"/>
        </w:rPr>
        <w:t>לדבריה בחקירתה במשטרה</w:t>
      </w:r>
      <w:r>
        <w:rPr>
          <w:rtl w:val="true"/>
        </w:rPr>
        <w:t xml:space="preserve">, </w:t>
      </w:r>
      <w:r>
        <w:rPr>
          <w:rtl w:val="true"/>
        </w:rPr>
        <w:t>באירוע זה היא באה לקנות בחנות והמערער היה שם לבדו</w:t>
      </w:r>
      <w:r>
        <w:rPr>
          <w:rtl w:val="true"/>
        </w:rPr>
        <w:t xml:space="preserve">. </w:t>
      </w:r>
      <w:r>
        <w:rPr>
          <w:rtl w:val="true"/>
        </w:rPr>
        <w:t>היא רצתה לצאת מהחנות</w:t>
      </w:r>
      <w:r>
        <w:rPr>
          <w:rtl w:val="true"/>
        </w:rPr>
        <w:t xml:space="preserve">, </w:t>
      </w:r>
      <w:r>
        <w:rPr>
          <w:rtl w:val="true"/>
        </w:rPr>
        <w:t>אבל המערער נעל את הדלת והשאיר את המפתח במנעול</w:t>
      </w:r>
      <w:r>
        <w:rPr>
          <w:rtl w:val="true"/>
        </w:rPr>
        <w:t xml:space="preserve">. </w:t>
      </w:r>
      <w:r>
        <w:rPr>
          <w:rtl w:val="true"/>
        </w:rPr>
        <w:t xml:space="preserve">בעדותה בבית המשפט היא ציינה שהוא תלה על דלת החנות שלט שהודיע שהחנות סגורה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אשר למקום האונס היו הבדלים בעדויות השונות</w:t>
      </w:r>
      <w:r>
        <w:rPr>
          <w:rtl w:val="true"/>
        </w:rPr>
        <w:t xml:space="preserve">. </w:t>
      </w:r>
      <w:r>
        <w:rPr>
          <w:rtl w:val="true"/>
        </w:rPr>
        <w:t>המתלוננת העידה שהמערער אנס אותה בחלק האחורי של החנות</w:t>
      </w:r>
      <w:r>
        <w:rPr>
          <w:rtl w:val="true"/>
        </w:rPr>
        <w:t xml:space="preserve">, </w:t>
      </w:r>
      <w:r>
        <w:rPr>
          <w:rtl w:val="true"/>
        </w:rPr>
        <w:t xml:space="preserve">המקום שבו היה מקרר המשקאות </w:t>
      </w:r>
      <w:r>
        <w:rPr>
          <w:rtl w:val="true"/>
        </w:rPr>
        <w:t>(</w:t>
      </w:r>
      <w:r>
        <w:rPr>
          <w:rtl w:val="true"/>
        </w:rPr>
        <w:t>למשל ש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60</w:t>
      </w:r>
      <w:r>
        <w:rPr>
          <w:rtl w:val="true"/>
        </w:rPr>
        <w:t>–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אולם נשים שהיא סיפרה להן על האונס נקבו במקומות אחרים</w:t>
      </w:r>
      <w:r>
        <w:rPr>
          <w:rtl w:val="true"/>
        </w:rPr>
        <w:t xml:space="preserve">: </w:t>
      </w:r>
      <w:r>
        <w:rPr>
          <w:rtl w:val="true"/>
        </w:rPr>
        <w:t xml:space="preserve">מחסן בחנות </w:t>
      </w:r>
      <w:r>
        <w:rPr>
          <w:rtl w:val="true"/>
        </w:rPr>
        <w:t>–</w:t>
      </w:r>
      <w:r>
        <w:rPr>
          <w:rtl w:val="true"/>
        </w:rPr>
        <w:t xml:space="preserve"> כך סיפרו האם בעדותה במשטרה והאחות בעדותה בבית המשפט </w:t>
      </w:r>
      <w:r>
        <w:rPr>
          <w:rtl w:val="true"/>
        </w:rPr>
        <w:t>(</w:t>
      </w:r>
      <w:r>
        <w:rPr>
          <w:rtl w:val="true"/>
        </w:rPr>
        <w:t>הפניות בעמ</w:t>
      </w:r>
      <w:r>
        <w:rPr>
          <w:rtl w:val="true"/>
        </w:rPr>
        <w:t xml:space="preserve">' </w:t>
      </w:r>
      <w:r>
        <w:rPr/>
        <w:t>65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); </w:t>
      </w:r>
      <w:r>
        <w:rPr>
          <w:rtl w:val="true"/>
        </w:rPr>
        <w:t xml:space="preserve">המקום שבו הלחם </w:t>
      </w:r>
      <w:r>
        <w:rPr>
          <w:rtl w:val="true"/>
        </w:rPr>
        <w:t>–</w:t>
      </w:r>
      <w:r>
        <w:rPr>
          <w:rtl w:val="true"/>
        </w:rPr>
        <w:t xml:space="preserve"> אמרה אפרת </w:t>
      </w:r>
      <w:r>
        <w:rPr>
          <w:rtl w:val="true"/>
        </w:rPr>
        <w:t>(</w:t>
      </w:r>
      <w:r>
        <w:rPr>
          <w:rtl w:val="true"/>
        </w:rPr>
        <w:t>ראו ש</w:t>
      </w:r>
      <w:r>
        <w:rPr>
          <w:rtl w:val="true"/>
        </w:rPr>
        <w:t xml:space="preserve">' </w:t>
      </w:r>
      <w:r>
        <w:rPr/>
        <w:t>16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בפרט אחר היו הבדלים בין עדויות המתלוננת</w:t>
      </w:r>
      <w:r>
        <w:rPr>
          <w:rtl w:val="true"/>
        </w:rPr>
        <w:t xml:space="preserve">. </w:t>
      </w:r>
      <w:r>
        <w:rPr>
          <w:rtl w:val="true"/>
        </w:rPr>
        <w:t>בחקירתה במשטרה ובמהלך העימות היא טענה שהמערער ישב על שרפרף או כיסא</w:t>
      </w:r>
      <w:r>
        <w:rPr>
          <w:rtl w:val="true"/>
        </w:rPr>
        <w:t xml:space="preserve">; </w:t>
      </w:r>
      <w:r>
        <w:rPr>
          <w:rtl w:val="true"/>
        </w:rPr>
        <w:t xml:space="preserve">כך היא אמרה גם לאימהּ </w:t>
      </w:r>
      <w:r>
        <w:rPr>
          <w:rtl w:val="true"/>
        </w:rPr>
        <w:t>(</w:t>
      </w:r>
      <w:r>
        <w:rPr>
          <w:rtl w:val="true"/>
        </w:rPr>
        <w:t>הפניות בעמ</w:t>
      </w:r>
      <w:r>
        <w:rPr>
          <w:rtl w:val="true"/>
        </w:rPr>
        <w:t xml:space="preserve">'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בעדותה בבית המשפט היא התעקשה שהמערער לא ישב על כיסא או על שרפרף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118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במהלך האונס</w:t>
      </w:r>
      <w:r>
        <w:rPr>
          <w:rtl w:val="true"/>
        </w:rPr>
        <w:t xml:space="preserve">, </w:t>
      </w:r>
      <w:r>
        <w:rPr>
          <w:rtl w:val="true"/>
        </w:rPr>
        <w:t>העידה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היא בעטה במערער </w:t>
      </w:r>
      <w:r>
        <w:rPr>
          <w:rtl w:val="true"/>
        </w:rPr>
        <w:t>(</w:t>
      </w:r>
      <w:r>
        <w:rPr>
          <w:rtl w:val="true"/>
        </w:rPr>
        <w:t>למשל ש</w:t>
      </w:r>
      <w:r>
        <w:rPr>
          <w:rtl w:val="true"/>
        </w:rPr>
        <w:t xml:space="preserve">' </w:t>
      </w:r>
      <w:r>
        <w:rPr/>
        <w:t>27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;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;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79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80</w:t>
      </w:r>
      <w:r>
        <w:rPr>
          <w:rtl w:val="true"/>
        </w:rPr>
        <w:t xml:space="preserve">;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היא סיפרה שלא צעקה</w:t>
      </w:r>
      <w:r>
        <w:rPr>
          <w:rtl w:val="true"/>
        </w:rPr>
        <w:t xml:space="preserve">, </w:t>
      </w:r>
      <w:r>
        <w:rPr>
          <w:rtl w:val="true"/>
        </w:rPr>
        <w:t>בין היתר משום שחששה שצופה מהצד היה רואה את השלט על דלת החנות</w:t>
      </w:r>
      <w:r>
        <w:rPr>
          <w:rtl w:val="true"/>
        </w:rPr>
        <w:t xml:space="preserve">, </w:t>
      </w:r>
      <w:r>
        <w:rPr>
          <w:rtl w:val="true"/>
        </w:rPr>
        <w:t xml:space="preserve">שומע את הקולות וחושב שבחנות יש זוג שנהנה ממעשיו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27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המתלוננת העידה על עניין נוסף שקשור לאונס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לאחר מכן העידה התנהגות המערער על כך שידע שהיא לא הסכימה לחלוטין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בהסכמתו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ובהסכמתי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שיכולתי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עכשיו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כששנינו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מסכימים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שתביני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אהבה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וכנה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6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לפרוטוקול</w:t>
      </w:r>
      <w:r>
        <w:rPr>
          <w:rFonts w:cs="Calibri" w:ascii="Calibri" w:hAnsi="Calibri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ascii="Calibri" w:hAnsi="Calibri" w:cs="Calibri"/>
          <w:rtl w:val="true"/>
        </w:rPr>
        <w:t>באונס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התנגדתי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שדיברתי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בהסכמתי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מתנגדת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18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לפרוטוקול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מעשה האונס המשיכה המתלוננת לקנות בחנות של המערער פעמים רבות</w:t>
      </w:r>
      <w:r>
        <w:rPr>
          <w:rtl w:val="true"/>
        </w:rPr>
        <w:t xml:space="preserve">, </w:t>
      </w:r>
      <w:r>
        <w:rPr>
          <w:rtl w:val="true"/>
        </w:rPr>
        <w:t>שכן הוריה נהגו לשלוח אותה לקנות מצרכים</w:t>
      </w:r>
      <w:r>
        <w:rPr>
          <w:rtl w:val="true"/>
        </w:rPr>
        <w:t xml:space="preserve">. </w:t>
      </w:r>
      <w:r>
        <w:rPr>
          <w:rtl w:val="true"/>
        </w:rPr>
        <w:t>בין המתלוננת למערער אף היה קשר בשיחות טלפון ובמסרונים</w:t>
      </w:r>
      <w:r>
        <w:rPr>
          <w:rtl w:val="true"/>
        </w:rPr>
        <w:t xml:space="preserve">. </w:t>
      </w:r>
      <w:r>
        <w:rPr>
          <w:rtl w:val="true"/>
        </w:rPr>
        <w:t>לקשר זה אעבור עכשיו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המסרונים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למערער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לבית המשפט המחוזי הוגשו נתוני שיחות והודעות בין המערער למתלוננת</w:t>
      </w:r>
      <w:r>
        <w:rPr>
          <w:rtl w:val="true"/>
        </w:rPr>
        <w:t xml:space="preserve">. </w:t>
      </w:r>
      <w:r>
        <w:rPr>
          <w:rtl w:val="true"/>
        </w:rPr>
        <w:t xml:space="preserve">בסך הכול נשלחו בין המערער למתלוננת </w:t>
      </w:r>
      <w:r>
        <w:rPr/>
        <w:t>595</w:t>
      </w:r>
      <w:r>
        <w:rPr>
          <w:rtl w:val="true"/>
        </w:rPr>
        <w:t xml:space="preserve"> </w:t>
      </w:r>
      <w:r>
        <w:rPr>
          <w:rtl w:val="true"/>
        </w:rPr>
        <w:t>מסרונים</w:t>
      </w:r>
      <w:r>
        <w:rPr>
          <w:rtl w:val="true"/>
        </w:rPr>
        <w:t xml:space="preserve">, </w:t>
      </w:r>
      <w:r>
        <w:rPr>
          <w:rtl w:val="true"/>
        </w:rPr>
        <w:t xml:space="preserve">ונערכו ביניהם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שיחות טלפוניות קצרות </w:t>
      </w:r>
      <w:r>
        <w:rPr>
          <w:rtl w:val="true"/>
        </w:rPr>
        <w:t>(</w:t>
      </w:r>
      <w:r>
        <w:rPr>
          <w:rtl w:val="true"/>
        </w:rPr>
        <w:t xml:space="preserve">הארוכה בהן ארכה </w:t>
      </w:r>
      <w:r>
        <w:rPr/>
        <w:t>5:47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). </w:t>
      </w:r>
      <w:r>
        <w:rPr>
          <w:rtl w:val="true"/>
        </w:rPr>
        <w:t>תחילה המתלוננת יזמה את ההתכתבויות</w:t>
      </w:r>
      <w:r>
        <w:rPr>
          <w:rtl w:val="true"/>
        </w:rPr>
        <w:t xml:space="preserve">, </w:t>
      </w:r>
      <w:r>
        <w:rPr>
          <w:rtl w:val="true"/>
        </w:rPr>
        <w:t>ואחר כך המערער הוא שיזם אותן</w:t>
      </w:r>
      <w:r>
        <w:rPr>
          <w:rtl w:val="true"/>
        </w:rPr>
        <w:t xml:space="preserve">. </w:t>
      </w:r>
      <w:r>
        <w:rPr>
          <w:rtl w:val="true"/>
        </w:rPr>
        <w:t xml:space="preserve">את המסרון הראשון שלחה המתלוננת ביום </w:t>
      </w:r>
      <w:r>
        <w:rPr/>
        <w:t>8.9.2014</w:t>
      </w:r>
      <w:r>
        <w:rPr>
          <w:rtl w:val="true"/>
        </w:rPr>
        <w:t xml:space="preserve">. </w:t>
      </w:r>
      <w:r>
        <w:rPr>
          <w:rtl w:val="true"/>
        </w:rPr>
        <w:t xml:space="preserve">המסרון האחרון הוא מיום </w:t>
      </w:r>
      <w:r>
        <w:rPr/>
        <w:t>12.11.2014</w:t>
      </w:r>
      <w:r>
        <w:rPr>
          <w:rtl w:val="true"/>
        </w:rPr>
        <w:t xml:space="preserve">. </w:t>
      </w:r>
      <w:r>
        <w:rPr>
          <w:rtl w:val="true"/>
        </w:rPr>
        <w:t xml:space="preserve">בחודש ספטמבר נשלחו </w:t>
      </w:r>
      <w:r>
        <w:rPr/>
        <w:t>414</w:t>
      </w:r>
      <w:r>
        <w:rPr>
          <w:rtl w:val="true"/>
        </w:rPr>
        <w:t xml:space="preserve"> </w:t>
      </w:r>
      <w:r>
        <w:rPr>
          <w:rtl w:val="true"/>
        </w:rPr>
        <w:t>מסרונים</w:t>
      </w:r>
      <w:r>
        <w:rPr>
          <w:rtl w:val="true"/>
        </w:rPr>
        <w:t xml:space="preserve">. </w:t>
      </w:r>
      <w:r>
        <w:rPr>
          <w:rtl w:val="true"/>
        </w:rPr>
        <w:t xml:space="preserve">החל מיום </w:t>
      </w:r>
      <w:r>
        <w:rPr/>
        <w:t>14.9.2014</w:t>
      </w:r>
      <w:r>
        <w:rPr>
          <w:rtl w:val="true"/>
        </w:rPr>
        <w:t xml:space="preserve"> </w:t>
      </w:r>
      <w:r>
        <w:rPr>
          <w:rtl w:val="true"/>
        </w:rPr>
        <w:t xml:space="preserve">ועד לסוף חודש ספטמבר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מספר המסרונים עלה במידה ניכרת</w:t>
      </w:r>
      <w:r>
        <w:rPr>
          <w:rtl w:val="true"/>
        </w:rPr>
        <w:t xml:space="preserve">, </w:t>
      </w:r>
      <w:r>
        <w:rPr>
          <w:rtl w:val="true"/>
        </w:rPr>
        <w:t xml:space="preserve">למשל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 xml:space="preserve">מסרונים ביום </w:t>
      </w:r>
      <w:r>
        <w:rPr/>
        <w:t>14.9.2014</w:t>
      </w:r>
      <w:r>
        <w:rPr>
          <w:rtl w:val="true"/>
        </w:rPr>
        <w:t xml:space="preserve">; </w:t>
      </w:r>
      <w:r>
        <w:rPr/>
        <w:t>69</w:t>
      </w:r>
      <w:r>
        <w:rPr>
          <w:rtl w:val="true"/>
        </w:rPr>
        <w:t xml:space="preserve"> </w:t>
      </w:r>
      <w:r>
        <w:rPr>
          <w:rtl w:val="true"/>
        </w:rPr>
        <w:t xml:space="preserve">מסרונים ביום </w:t>
      </w:r>
      <w:r>
        <w:rPr/>
        <w:t>21.9.2014</w:t>
      </w:r>
      <w:r>
        <w:rPr>
          <w:rtl w:val="true"/>
        </w:rPr>
        <w:t xml:space="preserve">; 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 xml:space="preserve">מסרונים ביום </w:t>
      </w:r>
      <w:r>
        <w:rPr/>
        <w:t>29.9.2014</w:t>
      </w:r>
      <w:r>
        <w:rPr>
          <w:rtl w:val="true"/>
        </w:rPr>
        <w:t xml:space="preserve">. </w:t>
      </w:r>
      <w:r>
        <w:rPr>
          <w:rtl w:val="true"/>
        </w:rPr>
        <w:t xml:space="preserve">בחודש אוקטובר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 xml:space="preserve">פחת מאוד מספר המסרונים </w:t>
      </w:r>
      <w:r>
        <w:rPr>
          <w:rtl w:val="true"/>
        </w:rPr>
        <w:t>(</w:t>
      </w:r>
      <w:r>
        <w:rPr/>
        <w:t>142</w:t>
      </w:r>
      <w:r>
        <w:rPr>
          <w:rtl w:val="true"/>
        </w:rPr>
        <w:t xml:space="preserve"> </w:t>
      </w:r>
      <w:r>
        <w:rPr>
          <w:rtl w:val="true"/>
        </w:rPr>
        <w:t>בסך הכול</w:t>
      </w:r>
      <w:r>
        <w:rPr>
          <w:rtl w:val="true"/>
        </w:rPr>
        <w:t xml:space="preserve">), </w:t>
      </w:r>
      <w:r>
        <w:rPr>
          <w:rtl w:val="true"/>
        </w:rPr>
        <w:t xml:space="preserve">ובחודש נובמבר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 xml:space="preserve">נשלחו רק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מסרונים בין השניים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לטענת המתלוננת</w:t>
      </w:r>
      <w:r>
        <w:rPr>
          <w:rtl w:val="true"/>
        </w:rPr>
        <w:t xml:space="preserve">, </w:t>
      </w:r>
      <w:r>
        <w:rPr>
          <w:rtl w:val="true"/>
        </w:rPr>
        <w:t>התקשורת בין השניים החלה על רקע החשש שלה משום שהווסת שלה איחרה לאחר מעשה האונס</w:t>
      </w:r>
      <w:r>
        <w:rPr>
          <w:rtl w:val="true"/>
        </w:rPr>
        <w:t xml:space="preserve">. </w:t>
      </w:r>
      <w:r>
        <w:rPr>
          <w:rtl w:val="true"/>
        </w:rPr>
        <w:t>גם לאחר שפג החשש המשיכה התקשורת</w:t>
      </w:r>
      <w:r>
        <w:rPr>
          <w:rtl w:val="true"/>
        </w:rPr>
        <w:t xml:space="preserve">, </w:t>
      </w:r>
      <w:r>
        <w:rPr>
          <w:rtl w:val="true"/>
        </w:rPr>
        <w:t xml:space="preserve">ולטענת המתלוננת </w:t>
      </w:r>
      <w:r>
        <w:rPr>
          <w:rtl w:val="true"/>
        </w:rPr>
        <w:t>–</w:t>
      </w:r>
      <w:r>
        <w:rPr>
          <w:rtl w:val="true"/>
        </w:rPr>
        <w:t xml:space="preserve"> כעת המערער הטריד אותה</w:t>
      </w:r>
      <w:r>
        <w:rPr>
          <w:rtl w:val="true"/>
        </w:rPr>
        <w:t xml:space="preserve">. </w:t>
      </w:r>
      <w:r>
        <w:rPr>
          <w:rtl w:val="true"/>
        </w:rPr>
        <w:t>המתלוננת אמרה שהיו שיחות טלפון בינה למערער</w:t>
      </w:r>
      <w:r>
        <w:rPr>
          <w:rtl w:val="true"/>
        </w:rPr>
        <w:t xml:space="preserve">. </w:t>
      </w:r>
      <w:r>
        <w:rPr>
          <w:rtl w:val="true"/>
        </w:rPr>
        <w:t>גם בעימות היא העירה שהיא מקווה שהחוקרים הוציאו את פירוט השיחות בינה למערער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היא הכחישה ששלחה לו מאות מסרונים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היא העידה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hanging="1814" w:start="3458" w:end="1282"/>
        <w:jc w:val="both"/>
        <w:rPr/>
      </w:pP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':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סיננתי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בהודעה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tl w:val="true"/>
        </w:rPr>
        <w:t>.</w:t>
      </w:r>
    </w:p>
    <w:p>
      <w:pPr>
        <w:pStyle w:val="Ruller5"/>
        <w:ind w:hanging="1814" w:start="3458" w:end="1282"/>
        <w:jc w:val="both"/>
        <w:rPr/>
      </w:pPr>
      <w:r>
        <w:rPr>
          <w:rtl w:val="true"/>
        </w:rPr>
        <w:t>כ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אינפלד</w:t>
      </w:r>
      <w:r>
        <w:rPr>
          <w:rtl w:val="true"/>
        </w:rPr>
        <w:t>:</w:t>
        <w:tab/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Ruller5"/>
        <w:ind w:hanging="1814" w:start="3458" w:end="1282"/>
        <w:jc w:val="both"/>
        <w:rPr/>
      </w:pP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':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משערת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מיוזמתי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ופחדתי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"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והמסרונים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מסרונים</w:t>
      </w:r>
      <w:r>
        <w:rPr>
          <w:rtl w:val="true"/>
        </w:rPr>
        <w:t xml:space="preserve">, </w:t>
      </w:r>
      <w:r>
        <w:rPr>
          <w:rtl w:val="true"/>
        </w:rPr>
        <w:t>ושהמערער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Heading2"/>
        <w:ind w:hanging="0" w:start="0"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תיאור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ומספרם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המתלוננת תיארה את המעשה המגונה מושא האישום הראשון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המערער ביקש ממנה שתשגיח אם באים לקוחות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סיגריות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..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ביקשתי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סיגריות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התקרבתי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הסיגריות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חגורה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התקרבתי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לדלפק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לחגורה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ניסיתי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תבדקי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והייתי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שמגיעים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שמתקרבים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מפסיק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16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לפרוטוקול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הזכירה בחקירתה במשטרה את האירוע האמור </w:t>
      </w:r>
      <w:r>
        <w:rPr>
          <w:rtl w:val="true"/>
        </w:rPr>
        <w:t>(</w:t>
      </w:r>
      <w:r>
        <w:rPr>
          <w:rtl w:val="true"/>
        </w:rPr>
        <w:t>אירוע החגורה</w:t>
      </w:r>
      <w:r>
        <w:rPr>
          <w:rtl w:val="true"/>
        </w:rPr>
        <w:t xml:space="preserve">) </w:t>
      </w:r>
      <w:r>
        <w:rPr>
          <w:rtl w:val="true"/>
        </w:rPr>
        <w:t xml:space="preserve">ואירוע נוסף </w:t>
      </w:r>
      <w:r>
        <w:rPr>
          <w:rtl w:val="true"/>
        </w:rPr>
        <w:t>(</w:t>
      </w:r>
      <w:r>
        <w:rPr>
          <w:rtl w:val="true"/>
        </w:rPr>
        <w:t>פרשת הכספומט</w:t>
      </w:r>
      <w:r>
        <w:rPr>
          <w:rtl w:val="true"/>
        </w:rPr>
        <w:t xml:space="preserve">, </w:t>
      </w:r>
      <w:r>
        <w:rPr>
          <w:rtl w:val="true"/>
        </w:rPr>
        <w:t>שאזכיר בהמשך</w:t>
      </w:r>
      <w:r>
        <w:rPr>
          <w:rtl w:val="true"/>
        </w:rPr>
        <w:t xml:space="preserve">). </w:t>
      </w:r>
      <w:r>
        <w:rPr>
          <w:rtl w:val="true"/>
        </w:rPr>
        <w:t xml:space="preserve">בעדותה בבית המשפט היא ציינה שהמערער עשה בה מעשים מגונים רבים נוספים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כשנשאלה מדוע לא ציינה בחקירתה במשטרה את אותם מקרים</w:t>
      </w:r>
      <w:r>
        <w:rPr>
          <w:rtl w:val="true"/>
        </w:rPr>
        <w:t xml:space="preserve">, </w:t>
      </w:r>
      <w:r>
        <w:rPr>
          <w:rtl w:val="true"/>
        </w:rPr>
        <w:t>הסבירה את השינוי בכך שבחקירה הראשונה במשטרה הקליד החוקר באיטיות</w:t>
      </w:r>
      <w:r>
        <w:rPr>
          <w:rtl w:val="true"/>
        </w:rPr>
        <w:t xml:space="preserve">, </w:t>
      </w:r>
      <w:r>
        <w:rPr>
          <w:rtl w:val="true"/>
        </w:rPr>
        <w:t xml:space="preserve">ובמהלך ההקלדה היא שכחה פרטים </w:t>
      </w:r>
      <w:r>
        <w:rPr>
          <w:rtl w:val="true"/>
        </w:rPr>
        <w:t>(</w:t>
      </w:r>
      <w:r>
        <w:rPr>
          <w:rtl w:val="true"/>
        </w:rPr>
        <w:t>לבד מכך</w:t>
      </w:r>
      <w:r>
        <w:rPr>
          <w:rtl w:val="true"/>
        </w:rPr>
        <w:t xml:space="preserve">, </w:t>
      </w:r>
      <w:r>
        <w:rPr>
          <w:rtl w:val="true"/>
        </w:rPr>
        <w:t>עוד בחקירותיה במשטרה היא אמרה לאותו חוקר על פרטים אחרים שיכול להיות שהוא לא הקליד את כל מה שאמרה</w:t>
      </w:r>
      <w:r>
        <w:rPr>
          <w:rtl w:val="true"/>
        </w:rPr>
        <w:t xml:space="preserve">. </w:t>
      </w:r>
      <w:r>
        <w:rPr>
          <w:rtl w:val="true"/>
        </w:rPr>
        <w:t>ראו עמ</w:t>
      </w:r>
      <w:r>
        <w:rPr>
          <w:rtl w:val="true"/>
        </w:rPr>
        <w:t xml:space="preserve">'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 xml:space="preserve">היא חששה גם שלא יאמינו לטענה בדבר ריבוי מעשים מגונים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72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Heading2"/>
        <w:ind w:hanging="0" w:start="0" w:end="0"/>
        <w:jc w:val="both"/>
        <w:rPr/>
      </w:pPr>
      <w:r>
        <w:rPr/>
        <w:t>5</w:t>
      </w:r>
      <w:r>
        <w:rPr>
          <w:rtl w:val="true"/>
        </w:rPr>
        <w:t>. "</w:t>
      </w:r>
      <w:r>
        <w:rPr>
          <w:rtl w:val="true"/>
        </w:rPr>
        <w:t>פרשת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הכספומט</w:t>
      </w:r>
      <w:r>
        <w:rPr>
          <w:rtl w:val="true"/>
        </w:rPr>
        <w:t>"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באישום השלישי תוארה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 "</w:t>
      </w:r>
      <w:r>
        <w:rPr>
          <w:rtl w:val="true"/>
        </w:rPr>
        <w:t>פרשת הכספומט</w:t>
      </w:r>
      <w:r>
        <w:rPr>
          <w:rtl w:val="true"/>
        </w:rPr>
        <w:t xml:space="preserve">". </w:t>
      </w:r>
      <w:r>
        <w:rPr>
          <w:rtl w:val="true"/>
        </w:rPr>
        <w:t>לבקשת אימהּ הלכה המתלוננת למשוך כסף מכספומט שניצב בחנות</w:t>
      </w:r>
      <w:r>
        <w:rPr>
          <w:rtl w:val="true"/>
        </w:rPr>
        <w:t xml:space="preserve">. </w:t>
      </w:r>
      <w:r>
        <w:rPr>
          <w:rtl w:val="true"/>
        </w:rPr>
        <w:t>היא לא ידעה כיצד לעשות זאת וביקשה את עזרת המערער</w:t>
      </w:r>
      <w:r>
        <w:rPr>
          <w:rtl w:val="true"/>
        </w:rPr>
        <w:t xml:space="preserve">. </w:t>
      </w:r>
      <w:r>
        <w:rPr>
          <w:rtl w:val="true"/>
        </w:rPr>
        <w:t>הוא משך כסף</w:t>
      </w:r>
      <w:r>
        <w:rPr>
          <w:rtl w:val="true"/>
        </w:rPr>
        <w:t xml:space="preserve">, </w:t>
      </w:r>
      <w:r>
        <w:rPr>
          <w:rtl w:val="true"/>
        </w:rPr>
        <w:t xml:space="preserve">הלך מאחורי המתלוננת כדי להחזיר לה את הכרטיס וחיבק אותה מאחור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כשפלג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גוף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תחתון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שלו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מתנגש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ומשתפשף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עם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הפלג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גוף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התחתון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שלי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>.</w:t>
      </w:r>
      <w:r>
        <w:rPr>
          <w:rFonts w:cs="Miriam"/>
          <w:spacing w:val="0"/>
          <w:szCs w:val="24"/>
          <w:rtl w:val="true"/>
        </w:rPr>
        <w:t xml:space="preserve"> </w:t>
      </w:r>
      <w:r>
        <w:rPr>
          <w:rtl w:val="true"/>
        </w:rPr>
        <w:t>היא חשה ש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לא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היה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נעים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בכלל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מגעיל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ועשתה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תנועות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כאלה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צמרמורת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כדי להשתחרר וללכת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. </w:t>
      </w:r>
      <w:r>
        <w:rPr>
          <w:rtl w:val="true"/>
        </w:rPr>
        <w:t>המתלוננת סיפרה על האירוע גם בחקירתה במשטרה</w:t>
      </w:r>
      <w:r>
        <w:rPr>
          <w:rtl w:val="true"/>
        </w:rPr>
        <w:t>).</w:t>
      </w:r>
    </w:p>
    <w:p>
      <w:pPr>
        <w:pStyle w:val="Heading2"/>
        <w:ind w:hanging="0" w:start="0" w:end="0"/>
        <w:jc w:val="both"/>
        <w:rPr/>
      </w:pPr>
      <w:r>
        <w:rPr/>
        <w:t>6</w:t>
      </w:r>
      <w:r>
        <w:rPr>
          <w:rtl w:val="true"/>
        </w:rPr>
        <w:t>. "</w:t>
      </w:r>
      <w:r>
        <w:rPr>
          <w:rtl w:val="true"/>
        </w:rPr>
        <w:t>פרשת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הארטיק</w:t>
      </w:r>
      <w:r>
        <w:rPr>
          <w:rtl w:val="true"/>
        </w:rPr>
        <w:t>"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המתלוננת סיפרה שהמערער רמז לה לעיתים רמיזות מיניות גם כשהיו לקוחות נוספים בחנות</w:t>
      </w:r>
      <w:r>
        <w:rPr>
          <w:rtl w:val="true"/>
        </w:rPr>
        <w:t xml:space="preserve">. </w:t>
      </w:r>
      <w:r>
        <w:rPr>
          <w:rtl w:val="true"/>
        </w:rPr>
        <w:t xml:space="preserve">היא הדגימה זאת במה שיכונה </w:t>
      </w:r>
      <w:r>
        <w:rPr>
          <w:rtl w:val="true"/>
        </w:rPr>
        <w:t>"</w:t>
      </w:r>
      <w:r>
        <w:rPr>
          <w:rtl w:val="true"/>
        </w:rPr>
        <w:t>פרשת הארטיק</w:t>
      </w:r>
      <w:r>
        <w:rPr>
          <w:rtl w:val="true"/>
        </w:rPr>
        <w:t xml:space="preserve">". </w:t>
      </w:r>
      <w:r>
        <w:rPr>
          <w:rtl w:val="true"/>
        </w:rPr>
        <w:t>באחד מימי הקיץ היא הגיעה לחנות וקנתה ארטיק</w:t>
      </w:r>
      <w:r>
        <w:rPr>
          <w:rtl w:val="true"/>
        </w:rPr>
        <w:t xml:space="preserve">. </w:t>
      </w:r>
      <w:r>
        <w:rPr>
          <w:rtl w:val="true"/>
        </w:rPr>
        <w:t>היא לא הצליחה לפתוח את העטיפה וביקשה מהמערער עזרה</w:t>
      </w:r>
      <w:r>
        <w:rPr>
          <w:rtl w:val="true"/>
        </w:rPr>
        <w:t xml:space="preserve">. </w:t>
      </w:r>
      <w:r>
        <w:rPr>
          <w:rtl w:val="true"/>
        </w:rPr>
        <w:t>בחנות נכח לקוח שהפנה את גבו למערער</w:t>
      </w:r>
      <w:r>
        <w:rPr>
          <w:rtl w:val="true"/>
        </w:rPr>
        <w:t xml:space="preserve">. </w:t>
      </w:r>
      <w:r>
        <w:rPr>
          <w:rtl w:val="true"/>
        </w:rPr>
        <w:t>המערער פתח את העטיפה</w:t>
      </w:r>
      <w:r>
        <w:rPr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עשה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תנועה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גבר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שעושה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ביד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הארטיק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וחייך אל המתלוננת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חיוך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שטני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בעימות</w:t>
      </w:r>
      <w:r>
        <w:rPr>
          <w:rtl w:val="true"/>
        </w:rPr>
        <w:t xml:space="preserve">, </w:t>
      </w:r>
      <w:r>
        <w:rPr>
          <w:rtl w:val="true"/>
        </w:rPr>
        <w:t xml:space="preserve">שנערך ביום </w:t>
      </w:r>
      <w:r>
        <w:rPr/>
        <w:t>8.6.2015</w:t>
      </w:r>
      <w:r>
        <w:rPr>
          <w:rtl w:val="true"/>
        </w:rPr>
        <w:t xml:space="preserve">, </w:t>
      </w:r>
      <w:r>
        <w:rPr>
          <w:rtl w:val="true"/>
        </w:rPr>
        <w:t>אמרה המתלוננת למערער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אתה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רוצה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להגיד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שלפני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חמישה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ימים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לא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אמרת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שאתה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רוצה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לגעת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בי</w:t>
      </w:r>
      <w:r>
        <w:rPr>
          <w:rFonts w:cs="Miriam"/>
          <w:spacing w:val="0"/>
          <w:szCs w:val="24"/>
          <w:rtl w:val="true"/>
        </w:rPr>
        <w:t xml:space="preserve">? </w:t>
      </w:r>
      <w:r>
        <w:rPr>
          <w:rFonts w:cs="Miriam"/>
          <w:spacing w:val="0"/>
          <w:szCs w:val="24"/>
          <w:rtl w:val="true"/>
        </w:rPr>
        <w:t>זה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היה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כי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קניתי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ארטיק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ולא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הצלחתי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לפתוח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מכאן שאירוע זה התרחש סמוך להגשת התלונה במשטרה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חשדות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האב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המתלוננת הסבירה שהמשיכה לפקוד את החנות של המערער לאחר המעשים כדי שהוריה לא יחשדו</w:t>
      </w:r>
      <w:r>
        <w:rPr>
          <w:rtl w:val="true"/>
        </w:rPr>
        <w:t xml:space="preserve">, </w:t>
      </w:r>
      <w:r>
        <w:rPr>
          <w:rtl w:val="true"/>
        </w:rPr>
        <w:t>ובעיקר אביה</w:t>
      </w:r>
      <w:r>
        <w:rPr>
          <w:rtl w:val="true"/>
        </w:rPr>
        <w:t xml:space="preserve">. </w:t>
      </w:r>
      <w:r>
        <w:rPr>
          <w:rtl w:val="true"/>
        </w:rPr>
        <w:t xml:space="preserve">הוא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תמיד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רצה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לעקוב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אחרי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תמיד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היה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חושב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הגרוע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מכל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 xml:space="preserve">האב העיד ששם לב לכמה עניינים שיצרו אצלו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הרגשה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משהוא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לא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מסתדר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בראש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שקרה לה דבר מה</w:t>
      </w:r>
      <w:r>
        <w:rPr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אולי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עשו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משהו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: </w:t>
      </w:r>
      <w:r>
        <w:rPr>
          <w:rtl w:val="true"/>
        </w:rPr>
        <w:t>המתלוננת הייתה מתעכבת בשליחויותיה למכולת</w:t>
      </w:r>
      <w:r>
        <w:rPr>
          <w:rtl w:val="true"/>
        </w:rPr>
        <w:t xml:space="preserve">, </w:t>
      </w:r>
      <w:r>
        <w:rPr>
          <w:rtl w:val="true"/>
        </w:rPr>
        <w:t>הוא שמע שהיא לא קיבלה וסת</w:t>
      </w:r>
      <w:r>
        <w:rPr>
          <w:rtl w:val="true"/>
        </w:rPr>
        <w:t xml:space="preserve">, </w:t>
      </w:r>
      <w:r>
        <w:rPr>
          <w:rtl w:val="true"/>
        </w:rPr>
        <w:t xml:space="preserve">הוא שם לב שהיא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הולכת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עקום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הוא רצה לעקוב אחריה</w:t>
      </w:r>
      <w:r>
        <w:rPr>
          <w:rtl w:val="true"/>
        </w:rPr>
        <w:t xml:space="preserve">, </w:t>
      </w:r>
      <w:r>
        <w:rPr>
          <w:rtl w:val="true"/>
        </w:rPr>
        <w:t xml:space="preserve">ואשתו הניאה אותו מכך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210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211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קמא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19.7.2017</w:t>
      </w:r>
      <w:r>
        <w:rPr>
          <w:rtl w:val="true"/>
        </w:rPr>
        <w:t xml:space="preserve"> </w:t>
      </w:r>
      <w:r>
        <w:rPr>
          <w:rtl w:val="true"/>
        </w:rPr>
        <w:t>הרשיע בית המשפט קמא ברוב דעות את המערער במיוחס לו</w:t>
      </w:r>
      <w:r>
        <w:rPr>
          <w:rtl w:val="true"/>
        </w:rPr>
        <w:t xml:space="preserve">. </w:t>
      </w:r>
      <w:r>
        <w:rPr>
          <w:rtl w:val="true"/>
        </w:rPr>
        <w:t xml:space="preserve">את חוות הדעת העיקרית של שופטי הרוב כתבה השופטת </w:t>
      </w:r>
      <w:r>
        <w:rPr>
          <w:rFonts w:cs="Miriam"/>
          <w:spacing w:val="0"/>
          <w:szCs w:val="24"/>
          <w:rtl w:val="true"/>
        </w:rPr>
        <w:t>חני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cs="Miriam"/>
          <w:spacing w:val="0"/>
          <w:szCs w:val="24"/>
          <w:rtl w:val="true"/>
        </w:rPr>
        <w:t>אריאל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 סבר בדעת מיעוט שיש לזכות את המערער מהמיוחס לו ולהרשיע אותו בעבירה אחרת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cs="Miriam"/>
          <w:spacing w:val="0"/>
          <w:szCs w:val="24"/>
          <w:rtl w:val="true"/>
        </w:rPr>
        <w:t>אלון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אינפלד</w:t>
      </w:r>
      <w:r>
        <w:rPr>
          <w:rtl w:val="true"/>
        </w:rPr>
        <w:t xml:space="preserve"> הוסיף חוות דעת מסכימה לחוות הדעת העיקרית והשיב לטענות שופט המיעוט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spacing w:before="240" w:after="0"/>
        <w:ind w:hanging="0" w:start="0" w:end="0"/>
        <w:jc w:val="both"/>
        <w:rPr/>
      </w:pPr>
      <w:r>
        <w:rPr>
          <w:rtl w:val="true"/>
        </w:rPr>
        <w:t xml:space="preserve">השופטת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 מצאה שעדות המתלוננת מהימנה</w:t>
      </w:r>
      <w:r>
        <w:rPr>
          <w:rtl w:val="true"/>
        </w:rPr>
        <w:t xml:space="preserve">. </w:t>
      </w:r>
      <w:r>
        <w:rPr>
          <w:rtl w:val="true"/>
        </w:rPr>
        <w:t>היא תמכה מסקנה זו ברושם שהותירה המתלוננת</w:t>
      </w:r>
      <w:r>
        <w:rPr>
          <w:rtl w:val="true"/>
        </w:rPr>
        <w:t xml:space="preserve">, </w:t>
      </w:r>
      <w:r>
        <w:rPr>
          <w:rtl w:val="true"/>
        </w:rPr>
        <w:t>בעקביות גרסתה</w:t>
      </w:r>
      <w:r>
        <w:rPr>
          <w:rtl w:val="true"/>
        </w:rPr>
        <w:t xml:space="preserve">, </w:t>
      </w:r>
      <w:r>
        <w:rPr>
          <w:rtl w:val="true"/>
        </w:rPr>
        <w:t>בכך שלא ניסתה להעצים את תיאוריה</w:t>
      </w:r>
      <w:r>
        <w:rPr>
          <w:rtl w:val="true"/>
        </w:rPr>
        <w:t xml:space="preserve">, </w:t>
      </w:r>
      <w:r>
        <w:rPr>
          <w:rtl w:val="true"/>
        </w:rPr>
        <w:t>ובכך שסיפרה פרטים שהיו עלולים לפגוע באמינותה</w:t>
      </w:r>
      <w:r>
        <w:rPr>
          <w:rtl w:val="true"/>
        </w:rPr>
        <w:t xml:space="preserve">. </w:t>
      </w:r>
      <w:r>
        <w:rPr>
          <w:rtl w:val="true"/>
        </w:rPr>
        <w:t xml:space="preserve">השופטת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 מצאה חיזוקים שונים לעדות המתלוננת</w:t>
      </w:r>
      <w:r>
        <w:rPr>
          <w:rtl w:val="true"/>
        </w:rPr>
        <w:t xml:space="preserve">. </w:t>
      </w:r>
      <w:r>
        <w:rPr>
          <w:rtl w:val="true"/>
        </w:rPr>
        <w:t>מולה ניצבה גרסה מתפתחת של המערער בעניינים שונים</w:t>
      </w:r>
      <w:r>
        <w:rPr>
          <w:rtl w:val="true"/>
        </w:rPr>
        <w:t xml:space="preserve">, </w:t>
      </w:r>
      <w:r>
        <w:rPr>
          <w:rtl w:val="true"/>
        </w:rPr>
        <w:t>ונקבע שעדותו בלתי מהימנה בעליל</w:t>
      </w:r>
      <w:r>
        <w:rPr>
          <w:rtl w:val="true"/>
        </w:rPr>
        <w:t xml:space="preserve">. </w:t>
      </w:r>
      <w:r>
        <w:rPr>
          <w:rtl w:val="true"/>
        </w:rPr>
        <w:t>בין השניים היה פער גילים והמתלוננת לא יכלה להבין את המצבים שנקלעה אליהם עם המערער</w:t>
      </w:r>
      <w:r>
        <w:rPr>
          <w:rtl w:val="true"/>
        </w:rPr>
        <w:t xml:space="preserve">. </w:t>
      </w:r>
      <w:r>
        <w:rPr>
          <w:rtl w:val="true"/>
        </w:rPr>
        <w:t>נקבע כי המערער ניצל זאת והיה מודע לגיל האמיתי של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השופטת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 קבעה שהאונס התרחש בחודש ספטמבר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כתשעה חודשים לפני הגשת התלונה במשטרה</w:t>
      </w:r>
      <w:r>
        <w:rPr>
          <w:rtl w:val="true"/>
        </w:rPr>
        <w:t xml:space="preserve">. </w:t>
      </w:r>
      <w:r>
        <w:rPr>
          <w:rtl w:val="true"/>
        </w:rPr>
        <w:t>היא דנה בטענות שונות של ההגנה נגד מהימנות המתלוננת ונגד היתכנות האונס</w:t>
      </w:r>
      <w:r>
        <w:rPr>
          <w:rtl w:val="true"/>
        </w:rPr>
        <w:t xml:space="preserve">. </w:t>
      </w:r>
      <w:r>
        <w:rPr>
          <w:rtl w:val="true"/>
        </w:rPr>
        <w:t>היא דחתה את כולן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אכן היה שוני בציון מקום האונס בין העדות של המתלוננת למה שסיפרו אחותה ואימהּ ולמה שסיפרה ב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אולם ההסבר לכך הוא שהאחות</w:t>
      </w:r>
      <w:r>
        <w:rPr>
          <w:rtl w:val="true"/>
        </w:rPr>
        <w:t xml:space="preserve">, </w:t>
      </w:r>
      <w:r>
        <w:rPr>
          <w:rtl w:val="true"/>
        </w:rPr>
        <w:t>האם והחברה הבינו אחרת את מה שהמתלוננת סיפרה להן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לדעת השופט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, </w:t>
      </w:r>
      <w:r>
        <w:rPr>
          <w:rtl w:val="true"/>
        </w:rPr>
        <w:t>בהתבסס על חומר הראיות ועדויות הצדדים ניתן לקבוע שבין המערער למתלוננת התקיימו יחסי מין ושהמערער ידע את גיל המתלוננת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העלה השופט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 בדעת מיעוט קשיים המטילים ספק בשאלה אם המתלוננת הסכימה ליחסי המין וליתר המעשים שיוחסו למערער בכתב האישום</w:t>
      </w:r>
      <w:r>
        <w:rPr>
          <w:rtl w:val="true"/>
        </w:rPr>
        <w:t xml:space="preserve">: </w:t>
      </w:r>
      <w:r>
        <w:rPr>
          <w:rtl w:val="true"/>
        </w:rPr>
        <w:t>לא ברור מדוע הכחישה המתלוננת שקיימה שיחות רבות עם המערער באמצעות שליחת מאות מסרונים</w:t>
      </w:r>
      <w:r>
        <w:rPr>
          <w:rtl w:val="true"/>
        </w:rPr>
        <w:t xml:space="preserve">; </w:t>
      </w:r>
      <w:r>
        <w:rPr>
          <w:rtl w:val="true"/>
        </w:rPr>
        <w:t xml:space="preserve">הגרסאות השונות באשר למקום האונס עשויות להשתלב עם אפשרות שהמתלוננת קיימה יחסי מין עם המערער כמה פעמים בכמה מקומות </w:t>
      </w:r>
      <w:r>
        <w:rPr>
          <w:rtl w:val="true"/>
        </w:rPr>
        <w:t>–</w:t>
      </w:r>
      <w:r>
        <w:rPr>
          <w:rtl w:val="true"/>
        </w:rPr>
        <w:t xml:space="preserve"> ושעשתה זאת מרצונה</w:t>
      </w:r>
      <w:r>
        <w:rPr>
          <w:rtl w:val="true"/>
        </w:rPr>
        <w:t xml:space="preserve">; </w:t>
      </w:r>
      <w:r>
        <w:rPr>
          <w:rtl w:val="true"/>
        </w:rPr>
        <w:t>המתלוננת סיפרה תחילה שבזמן האונס ישב המערער על כיסא</w:t>
      </w:r>
      <w:r>
        <w:rPr>
          <w:rtl w:val="true"/>
        </w:rPr>
        <w:t xml:space="preserve">, </w:t>
      </w:r>
      <w:r>
        <w:rPr>
          <w:rtl w:val="true"/>
        </w:rPr>
        <w:t>אך בבית המשפט התעקשה שאינה זוכרת כיסא כזה</w:t>
      </w:r>
      <w:r>
        <w:rPr>
          <w:rtl w:val="true"/>
        </w:rPr>
        <w:t xml:space="preserve">; </w:t>
      </w:r>
      <w:r>
        <w:rPr>
          <w:rtl w:val="true"/>
        </w:rPr>
        <w:t>בעדותה במשטרה תיארה המתלוננת שני מעשים מגונים</w:t>
      </w:r>
      <w:r>
        <w:rPr>
          <w:rtl w:val="true"/>
        </w:rPr>
        <w:t xml:space="preserve">, </w:t>
      </w:r>
      <w:r>
        <w:rPr>
          <w:rtl w:val="true"/>
        </w:rPr>
        <w:t>ואחר כך טענה שהיו רבים</w:t>
      </w:r>
      <w:r>
        <w:rPr>
          <w:rtl w:val="true"/>
        </w:rPr>
        <w:t xml:space="preserve">; </w:t>
      </w:r>
      <w:r>
        <w:rPr>
          <w:rtl w:val="true"/>
        </w:rPr>
        <w:t>אפשר שהמערער נגע באיבר המין של המתלוננת פעמים רבות ובכל פעם היא השגיחה לבקשתו אם באים אנשים</w:t>
      </w:r>
      <w:r>
        <w:rPr>
          <w:rtl w:val="true"/>
        </w:rPr>
        <w:t xml:space="preserve">; </w:t>
      </w:r>
      <w:r>
        <w:rPr>
          <w:rtl w:val="true"/>
        </w:rPr>
        <w:t>המתלוננת המשיכה לפקוד את החנות לאחר המעשים שעשה בה המערער</w:t>
      </w:r>
      <w:r>
        <w:rPr>
          <w:rtl w:val="true"/>
        </w:rPr>
        <w:t xml:space="preserve">; </w:t>
      </w:r>
      <w:r>
        <w:rPr>
          <w:rtl w:val="true"/>
        </w:rPr>
        <w:t>היא המשיכה להיות בקשר מסרונים עם המערער גם לאחר שקיבלה וסת</w:t>
      </w:r>
      <w:r>
        <w:rPr>
          <w:rtl w:val="true"/>
        </w:rPr>
        <w:t xml:space="preserve">; </w:t>
      </w:r>
      <w:r>
        <w:rPr>
          <w:rtl w:val="true"/>
        </w:rPr>
        <w:t>אבי המתלוננת חשד שהיא נמצאת בקשר עם המערער וחשד לאחר ששמע שהווסת של בתו איחרה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ואפשר שהיא לא סיפרה את כל הפרטים מחשש מכעסו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 xml:space="preserve"> מצא שקשיים אלו מקימים </w:t>
      </w:r>
      <w:r>
        <w:rPr>
          <w:rtl w:val="true"/>
        </w:rPr>
        <w:t>"</w:t>
      </w:r>
      <w:r>
        <w:rPr>
          <w:rtl w:val="true"/>
        </w:rPr>
        <w:t>מסה קריטית</w:t>
      </w:r>
      <w:r>
        <w:rPr>
          <w:rtl w:val="true"/>
        </w:rPr>
        <w:t xml:space="preserve">" </w:t>
      </w:r>
      <w:r>
        <w:rPr>
          <w:rtl w:val="true"/>
        </w:rPr>
        <w:t>של ראיות שמתיישבות גם עם אפשרות חלופית</w:t>
      </w:r>
      <w:r>
        <w:rPr>
          <w:rtl w:val="true"/>
        </w:rPr>
        <w:t xml:space="preserve">: </w:t>
      </w:r>
      <w:r>
        <w:rPr>
          <w:rtl w:val="true"/>
        </w:rPr>
        <w:t>המתלוננת הסכימה לקיים יחסי מין עם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אולי כמה פעמים </w:t>
      </w:r>
      <w:r>
        <w:rPr>
          <w:rtl w:val="true"/>
        </w:rPr>
        <w:t>(</w:t>
      </w:r>
      <w:r>
        <w:rPr>
          <w:rtl w:val="true"/>
        </w:rPr>
        <w:t>ומכאן ההבדלים בתיאור פרטי האונס הנטען</w:t>
      </w:r>
      <w:r>
        <w:rPr>
          <w:rtl w:val="true"/>
        </w:rPr>
        <w:t xml:space="preserve">). </w:t>
      </w:r>
      <w:r>
        <w:rPr>
          <w:rtl w:val="true"/>
        </w:rPr>
        <w:t>מאחר שקיימת חלופה מקילה יותר עם המערער</w:t>
      </w:r>
      <w:r>
        <w:rPr>
          <w:rtl w:val="true"/>
        </w:rPr>
        <w:t xml:space="preserve">, </w:t>
      </w:r>
      <w:r>
        <w:rPr>
          <w:rtl w:val="true"/>
        </w:rPr>
        <w:t>יש ספק סביר בדבר אשמתו במיוחס לו</w:t>
      </w:r>
      <w:r>
        <w:rPr>
          <w:rtl w:val="true"/>
        </w:rPr>
        <w:t xml:space="preserve">. </w:t>
      </w:r>
      <w:r>
        <w:rPr>
          <w:rtl w:val="true"/>
        </w:rPr>
        <w:t>יש להרשיע אותו בעבירה קלה יותר</w:t>
      </w:r>
      <w:r>
        <w:rPr>
          <w:rtl w:val="true"/>
        </w:rPr>
        <w:t xml:space="preserve">, </w:t>
      </w:r>
      <w:r>
        <w:rPr>
          <w:rtl w:val="true"/>
        </w:rPr>
        <w:t xml:space="preserve">בעילה אסורה בהסכמה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השופט </w:t>
      </w:r>
      <w:r>
        <w:rPr>
          <w:rFonts w:cs="Miriam"/>
          <w:spacing w:val="0"/>
          <w:szCs w:val="24"/>
          <w:rtl w:val="true"/>
        </w:rPr>
        <w:t>אינפלד</w:t>
      </w:r>
      <w:r>
        <w:rPr>
          <w:rtl w:val="true"/>
        </w:rPr>
        <w:t xml:space="preserve"> הצטרף לפסק הדין של השופטת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 והגיב לדעת המיעוט של השופט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cs="Miriam"/>
          <w:spacing w:val="0"/>
          <w:szCs w:val="24"/>
          <w:rtl w:val="true"/>
        </w:rPr>
        <w:t>אינפלד</w:t>
      </w:r>
      <w:r>
        <w:rPr>
          <w:rtl w:val="true"/>
        </w:rPr>
        <w:t xml:space="preserve"> הדגיש כי גם השופט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 מצא כי עוצמת עדותה של המתלוננת מכריעה את גרסת המערער באותה עת</w:t>
      </w:r>
      <w:r>
        <w:rPr>
          <w:rtl w:val="true"/>
        </w:rPr>
        <w:t xml:space="preserve">, </w:t>
      </w:r>
      <w:r>
        <w:rPr>
          <w:rtl w:val="true"/>
        </w:rPr>
        <w:t>שלפיה לא היו דברים מעולם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cs="Miriam"/>
          <w:spacing w:val="0"/>
          <w:szCs w:val="24"/>
          <w:rtl w:val="true"/>
        </w:rPr>
        <w:t>אינפלד</w:t>
      </w:r>
      <w:r>
        <w:rPr>
          <w:rtl w:val="true"/>
        </w:rPr>
        <w:t xml:space="preserve"> סקר את מסקנות דעת המיעוט בפירוט</w:t>
      </w:r>
      <w:r>
        <w:rPr>
          <w:rtl w:val="true"/>
        </w:rPr>
        <w:t xml:space="preserve">. </w:t>
      </w:r>
      <w:r>
        <w:rPr>
          <w:rtl w:val="true"/>
        </w:rPr>
        <w:t>הוא מצא כי כלל הטענות שהועלו אינן פוגמות במהימנות המתלוננת ואינן מעידות על הסכמתה</w:t>
      </w:r>
      <w:r>
        <w:rPr>
          <w:rtl w:val="true"/>
        </w:rPr>
        <w:t xml:space="preserve">, </w:t>
      </w:r>
      <w:r>
        <w:rPr>
          <w:rtl w:val="true"/>
        </w:rPr>
        <w:t>וכי הסבריה של המתלוננת לחללים בעדותה פשוטים</w:t>
      </w:r>
      <w:r>
        <w:rPr>
          <w:rtl w:val="true"/>
        </w:rPr>
        <w:t xml:space="preserve">, </w:t>
      </w:r>
      <w:r>
        <w:rPr>
          <w:rtl w:val="true"/>
        </w:rPr>
        <w:t>טבעיים ומשכנעים</w:t>
      </w:r>
      <w:r>
        <w:rPr>
          <w:rtl w:val="true"/>
        </w:rPr>
        <w:t xml:space="preserve">. </w:t>
      </w:r>
      <w:r>
        <w:rPr>
          <w:rtl w:val="true"/>
        </w:rPr>
        <w:t>הוא הדגיש כי המתלוננת הביעה את התנגדותה למעשי המערער</w:t>
      </w:r>
      <w:r>
        <w:rPr>
          <w:rtl w:val="true"/>
        </w:rPr>
        <w:t xml:space="preserve">, </w:t>
      </w:r>
      <w:r>
        <w:rPr>
          <w:rtl w:val="true"/>
        </w:rPr>
        <w:t>בעיקר מבחינה מילולית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22.11.2017</w:t>
      </w:r>
      <w:r>
        <w:rPr>
          <w:rtl w:val="true"/>
        </w:rPr>
        <w:t xml:space="preserve"> </w:t>
      </w:r>
      <w:r>
        <w:rPr>
          <w:rtl w:val="true"/>
        </w:rPr>
        <w:t>גזר בית המשפט קמא את דינו של המערער</w:t>
      </w:r>
      <w:r>
        <w:rPr>
          <w:rtl w:val="true"/>
        </w:rPr>
        <w:t xml:space="preserve">. </w:t>
      </w:r>
      <w:r>
        <w:rPr>
          <w:rtl w:val="true"/>
        </w:rPr>
        <w:t>בית המשפט התייחס לתסקיר שירות המבחן בעניין המתלוננת</w:t>
      </w:r>
      <w:r>
        <w:rPr>
          <w:rtl w:val="true"/>
        </w:rPr>
        <w:t xml:space="preserve">. </w:t>
      </w:r>
      <w:r>
        <w:rPr>
          <w:rtl w:val="true"/>
        </w:rPr>
        <w:t>על פי התסקיר</w:t>
      </w:r>
      <w:r>
        <w:rPr>
          <w:rtl w:val="true"/>
        </w:rPr>
        <w:t xml:space="preserve">, </w:t>
      </w:r>
      <w:r>
        <w:rPr>
          <w:rtl w:val="true"/>
        </w:rPr>
        <w:t>תפיסת המתלוננת את השימוש של המערער בה כבאובייקט מיני בלבד פגעה פגיעה קשה בדימויה העצמי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המתלוננת הייתה נתונה במצוקה עזה טרם חשיפת הפגיעה בה</w:t>
      </w:r>
      <w:r>
        <w:rPr>
          <w:rtl w:val="true"/>
        </w:rPr>
        <w:t xml:space="preserve">: </w:t>
      </w:r>
      <w:r>
        <w:rPr>
          <w:rtl w:val="true"/>
        </w:rPr>
        <w:t>היא הייתה חשופה לאלימות מינית מצד המערער</w:t>
      </w:r>
      <w:r>
        <w:rPr>
          <w:rtl w:val="true"/>
        </w:rPr>
        <w:t xml:space="preserve">, </w:t>
      </w:r>
      <w:r>
        <w:rPr>
          <w:rtl w:val="true"/>
        </w:rPr>
        <w:t>ומנגד חוותה לחץ וחרדה מאפשרות חשיפת הפגיעה הן בשל איומי המערער</w:t>
      </w:r>
      <w:r>
        <w:rPr>
          <w:rtl w:val="true"/>
        </w:rPr>
        <w:t xml:space="preserve">, </w:t>
      </w:r>
      <w:r>
        <w:rPr>
          <w:rtl w:val="true"/>
        </w:rPr>
        <w:t>הן בשל החשש מתגובת אביה</w:t>
      </w:r>
      <w:r>
        <w:rPr>
          <w:rtl w:val="true"/>
        </w:rPr>
        <w:t xml:space="preserve">. </w:t>
      </w:r>
      <w:r>
        <w:rPr>
          <w:rtl w:val="true"/>
        </w:rPr>
        <w:t>במועד עריכת התסקיר המתלוננת עדיין חשה רדופה ומאוימת ועדיין חוותה את החדירה והפלישה לגופה ולחייה</w:t>
      </w:r>
      <w:r>
        <w:rPr>
          <w:rtl w:val="true"/>
        </w:rPr>
        <w:t xml:space="preserve">. </w:t>
      </w:r>
      <w:r>
        <w:rPr>
          <w:rtl w:val="true"/>
        </w:rPr>
        <w:t>עוד צוין שהיא איבדה את יכולתה לתת אמון בסביבתה</w:t>
      </w:r>
      <w:r>
        <w:rPr>
          <w:rtl w:val="true"/>
        </w:rPr>
        <w:t xml:space="preserve">, </w:t>
      </w:r>
      <w:r>
        <w:rPr>
          <w:rtl w:val="true"/>
        </w:rPr>
        <w:t>נרתעה ממבוגרים באשר הם</w:t>
      </w:r>
      <w:r>
        <w:rPr>
          <w:rtl w:val="true"/>
        </w:rPr>
        <w:t xml:space="preserve">, </w:t>
      </w:r>
      <w:r>
        <w:rPr>
          <w:rtl w:val="true"/>
        </w:rPr>
        <w:t>לא הייתה מסוגלת לצעוד בנינוחות ונמצאה במצב של דריכות תמידית מפני פגיעה</w:t>
      </w:r>
      <w:r>
        <w:rPr>
          <w:rtl w:val="true"/>
        </w:rPr>
        <w:t xml:space="preserve">. </w:t>
      </w:r>
      <w:r>
        <w:rPr>
          <w:rtl w:val="true"/>
        </w:rPr>
        <w:t>מצב זה פגע בהתפתחותה התקינה ומנע ממנה לקיים אורח חיים תקין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ציין שירות המבחן כי המתלוננת סבלה מפגיעות גופניות אשר נבעו ממעשי המערער או שהחמירו כתוצאה מהם</w:t>
      </w:r>
      <w:r>
        <w:rPr>
          <w:rtl w:val="true"/>
        </w:rPr>
        <w:t xml:space="preserve">. </w:t>
      </w:r>
      <w:r>
        <w:rPr>
          <w:rtl w:val="true"/>
        </w:rPr>
        <w:t>לבסוף ציין שירות המבחן כי המתלוננת תופסת עצמה בתור אובייקט נטול זכויות והיא עלולה להימצא במצבים מסוכנים בשל כך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קמא התייחס בגזר הדין לפער הגילים העצום בין המערער למתלוננת</w:t>
      </w:r>
      <w:r>
        <w:rPr>
          <w:rtl w:val="true"/>
        </w:rPr>
        <w:t xml:space="preserve">, </w:t>
      </w:r>
      <w:r>
        <w:rPr>
          <w:rtl w:val="true"/>
        </w:rPr>
        <w:t>לניצולו את חולשתה ותמימותה ולפגיעות שנגרמו למתלוננת</w:t>
      </w:r>
      <w:r>
        <w:rPr>
          <w:rtl w:val="true"/>
        </w:rPr>
        <w:t xml:space="preserve">. </w:t>
      </w:r>
      <w:r>
        <w:rPr>
          <w:rtl w:val="true"/>
        </w:rPr>
        <w:t xml:space="preserve">הוא קבע את מתחם הענישה על </w:t>
      </w:r>
      <w:r>
        <w:rPr/>
        <w:t>5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נתן את דעתו להעדר עבר פלילי למערער</w:t>
      </w:r>
      <w:r>
        <w:rPr>
          <w:rtl w:val="true"/>
        </w:rPr>
        <w:t xml:space="preserve">, </w:t>
      </w:r>
      <w:r>
        <w:rPr>
          <w:rtl w:val="true"/>
        </w:rPr>
        <w:t>לגילו המבוגר</w:t>
      </w:r>
      <w:r>
        <w:rPr>
          <w:rtl w:val="true"/>
        </w:rPr>
        <w:t xml:space="preserve">, </w:t>
      </w:r>
      <w:r>
        <w:rPr>
          <w:rtl w:val="true"/>
        </w:rPr>
        <w:t>לפגיעה שנגמרה לבני משפחתו ולנזקים הכלכליים שנגרמו לו בעקבות ההליך המשפטי</w:t>
      </w:r>
      <w:r>
        <w:rPr>
          <w:rtl w:val="true"/>
        </w:rPr>
        <w:t xml:space="preserve">, </w:t>
      </w:r>
      <w:r>
        <w:rPr>
          <w:rtl w:val="true"/>
        </w:rPr>
        <w:t>ולבסוף גזר את דינו כאמור לעיל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בערעור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השיג על הכרעת הדין ועל גזר הדין</w:t>
      </w:r>
      <w:r>
        <w:rPr>
          <w:rtl w:val="true"/>
        </w:rPr>
        <w:t xml:space="preserve">. </w:t>
      </w:r>
      <w:r>
        <w:rPr>
          <w:rtl w:val="true"/>
        </w:rPr>
        <w:t>בהודעת הערעור נקט אותה עמדה שנקט בבית המשפט המחוזי וביקש לזכות אותו כליל</w:t>
      </w:r>
      <w:r>
        <w:rPr>
          <w:rtl w:val="true"/>
        </w:rPr>
        <w:t xml:space="preserve">. </w:t>
      </w:r>
      <w:r>
        <w:rPr>
          <w:rtl w:val="true"/>
        </w:rPr>
        <w:t>לחלופין הוא ביקש לאמץ את דעת המיעוט בבית המשפט המחוזי מנימוקיה</w:t>
      </w:r>
      <w:r>
        <w:rPr>
          <w:rtl w:val="true"/>
        </w:rPr>
        <w:t xml:space="preserve">. </w:t>
      </w:r>
      <w:r>
        <w:rPr>
          <w:rtl w:val="true"/>
        </w:rPr>
        <w:t>לחלופי חלופין ביקש המערער לערער על חומרת גזר דינו</w:t>
      </w:r>
      <w:r>
        <w:rPr>
          <w:rtl w:val="true"/>
        </w:rPr>
        <w:t xml:space="preserve">, </w:t>
      </w:r>
      <w:r>
        <w:rPr>
          <w:rtl w:val="true"/>
        </w:rPr>
        <w:t>בשל נסיבותיו האישיות</w:t>
      </w:r>
      <w:r>
        <w:rPr>
          <w:rtl w:val="true"/>
        </w:rPr>
        <w:t xml:space="preserve">: </w:t>
      </w:r>
      <w:r>
        <w:rPr>
          <w:rtl w:val="true"/>
        </w:rPr>
        <w:t>גילו המבוגר</w:t>
      </w:r>
      <w:r>
        <w:rPr>
          <w:rtl w:val="true"/>
        </w:rPr>
        <w:t xml:space="preserve">, </w:t>
      </w:r>
      <w:r>
        <w:rPr>
          <w:rtl w:val="true"/>
        </w:rPr>
        <w:t>מצוקתו הכלכלית</w:t>
      </w:r>
      <w:r>
        <w:rPr>
          <w:rtl w:val="true"/>
        </w:rPr>
        <w:t xml:space="preserve">, </w:t>
      </w:r>
      <w:r>
        <w:rPr>
          <w:rtl w:val="true"/>
        </w:rPr>
        <w:t>הפגיעה שנגרמה למשפחתו ומצבו הבריאותי</w:t>
      </w:r>
      <w:r>
        <w:rPr>
          <w:rtl w:val="true"/>
        </w:rPr>
        <w:t xml:space="preserve">. </w:t>
      </w:r>
      <w:r>
        <w:rPr>
          <w:rtl w:val="true"/>
        </w:rPr>
        <w:t xml:space="preserve">הוא הוסיף שמתחם העונש ההולם צריך להיות </w:t>
      </w:r>
      <w:r>
        <w:rPr/>
        <w:t>3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19.3.2018</w:t>
      </w:r>
      <w:r>
        <w:rPr>
          <w:rtl w:val="true"/>
        </w:rPr>
        <w:t xml:space="preserve"> </w:t>
      </w:r>
      <w:r>
        <w:rPr>
          <w:rtl w:val="true"/>
        </w:rPr>
        <w:t xml:space="preserve">הגיש המערער בקשה לגביית ראיות לפי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בידו תצהיר של אישה שלפיו בעלה התלונן נגד אבי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וזו איימה להרוס את חיי המתלונן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כפי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שהרסה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חייו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 מצאנו לנכון לאשר את בקשת המערער לגבות ראיה בשלב זה של ההליך</w:t>
      </w:r>
      <w:r>
        <w:rPr>
          <w:rtl w:val="true"/>
        </w:rPr>
        <w:t xml:space="preserve">, </w:t>
      </w:r>
      <w:r>
        <w:rPr>
          <w:rtl w:val="true"/>
        </w:rPr>
        <w:t>ואין בהליך המתואר בבקשה כדי להשפיע על 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המשיבה טענה בעיקרי הטיעון שלה כי השגותיו של המערער מכוונות כלפי ממצאי מהימנות וקביעות עובדתיות</w:t>
      </w:r>
      <w:r>
        <w:rPr>
          <w:rtl w:val="true"/>
        </w:rPr>
        <w:t xml:space="preserve">, </w:t>
      </w:r>
      <w:r>
        <w:rPr>
          <w:rtl w:val="true"/>
        </w:rPr>
        <w:t>ואין עילה להתערב בהן</w:t>
      </w:r>
      <w:r>
        <w:rPr>
          <w:rtl w:val="true"/>
        </w:rPr>
        <w:t xml:space="preserve">. </w:t>
      </w:r>
      <w:r>
        <w:rPr>
          <w:rtl w:val="true"/>
        </w:rPr>
        <w:t>המשיבה פירטה מדוע לדעתה חוות דעת המיעוט היא שגויה</w:t>
      </w:r>
      <w:r>
        <w:rPr>
          <w:rtl w:val="true"/>
        </w:rPr>
        <w:t xml:space="preserve">. </w:t>
      </w:r>
      <w:r>
        <w:rPr>
          <w:rtl w:val="true"/>
        </w:rPr>
        <w:t>היא הוסיפה שהעונש שהוטל על המערער אינו סוטה לחומרה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ואין מקום להתערב 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בדיון שהתקיים לפנינו ביום </w:t>
      </w:r>
      <w:r>
        <w:rPr/>
        <w:t>6.11.2018</w:t>
      </w:r>
      <w:r>
        <w:rPr>
          <w:rtl w:val="true"/>
        </w:rPr>
        <w:t xml:space="preserve">, </w:t>
      </w:r>
      <w:r>
        <w:rPr>
          <w:rtl w:val="true"/>
        </w:rPr>
        <w:t>שטחה באת כוח המערער את טענותיה</w:t>
      </w:r>
      <w:r>
        <w:rPr>
          <w:rtl w:val="true"/>
        </w:rPr>
        <w:t xml:space="preserve">. </w:t>
      </w:r>
      <w:r>
        <w:rPr>
          <w:rtl w:val="true"/>
        </w:rPr>
        <w:t xml:space="preserve">לאחר דין ודברים החליט המערער לאמץ את עמדת דעת המיעוט בבית המשפט קמא ולהודות בביצוע עבירה של בעילה אסורה בהסכמה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לפרוטוקול מיום הדיון</w:t>
      </w:r>
      <w:r>
        <w:rPr>
          <w:rtl w:val="true"/>
        </w:rPr>
        <w:t xml:space="preserve">). </w:t>
      </w:r>
      <w:r>
        <w:rPr>
          <w:rtl w:val="true"/>
        </w:rPr>
        <w:t>הוא אימץ את הטענות שבדעת המיעוט והוסיף עליהן כמה משלו</w:t>
      </w:r>
      <w:r>
        <w:rPr>
          <w:rtl w:val="true"/>
        </w:rPr>
        <w:t xml:space="preserve">. </w:t>
      </w:r>
      <w:r>
        <w:rPr>
          <w:rtl w:val="true"/>
        </w:rPr>
        <w:t>לשם הנוחות אפרט אותן בדיון בהן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2.1.2019</w:t>
      </w:r>
      <w:r>
        <w:rPr>
          <w:rtl w:val="true"/>
        </w:rPr>
        <w:t xml:space="preserve"> </w:t>
      </w:r>
      <w:r>
        <w:rPr>
          <w:rtl w:val="true"/>
        </w:rPr>
        <w:t>התקיים דיון נוסף לפנינו</w:t>
      </w:r>
      <w:r>
        <w:rPr>
          <w:rtl w:val="true"/>
        </w:rPr>
        <w:t xml:space="preserve">. </w:t>
      </w:r>
      <w:r>
        <w:rPr>
          <w:rtl w:val="true"/>
        </w:rPr>
        <w:t>בא כוח המשיבה הודיע כי היא איננה חוזרת בה מעמדתה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דעת הרוב בהכרעת הדין של בית המשפט קמא מנומקת היטב מבחינה משפטית ומבחינה עובדתית</w:t>
      </w:r>
      <w:r>
        <w:rPr>
          <w:rtl w:val="true"/>
        </w:rPr>
        <w:t xml:space="preserve">, </w:t>
      </w:r>
      <w:r>
        <w:rPr>
          <w:rtl w:val="true"/>
        </w:rPr>
        <w:t>ואין מקום להתערב במסקנותיה</w:t>
      </w:r>
      <w:r>
        <w:rPr>
          <w:rtl w:val="true"/>
        </w:rPr>
        <w:t xml:space="preserve">. </w:t>
      </w:r>
      <w:r>
        <w:rPr>
          <w:rtl w:val="true"/>
        </w:rPr>
        <w:t>כן נטען שדעת המיעוט לוקה בשורת טעויות יסודיות</w:t>
      </w:r>
      <w:r>
        <w:rPr>
          <w:rtl w:val="true"/>
        </w:rPr>
        <w:t xml:space="preserve">, </w:t>
      </w:r>
      <w:r>
        <w:rPr>
          <w:rtl w:val="true"/>
        </w:rPr>
        <w:t>הן עובדתיות הן משפטיות</w:t>
      </w:r>
      <w:r>
        <w:rPr>
          <w:rtl w:val="true"/>
        </w:rPr>
        <w:t xml:space="preserve">, </w:t>
      </w:r>
      <w:r>
        <w:rPr>
          <w:rtl w:val="true"/>
        </w:rPr>
        <w:t>ואין לאמצה</w:t>
      </w:r>
      <w:r>
        <w:rPr>
          <w:rtl w:val="true"/>
        </w:rPr>
        <w:t xml:space="preserve">. </w:t>
      </w:r>
      <w:r>
        <w:rPr>
          <w:rtl w:val="true"/>
        </w:rPr>
        <w:t>עוד הלינה המשיבה על כך שהמערער לא נחקר על גרסתו החדשה אף שניתנו לו הזדמנויות אין ספור לשנות את גרסתו במהלך ההליך המשפטי</w:t>
      </w:r>
      <w:r>
        <w:rPr>
          <w:rtl w:val="true"/>
        </w:rPr>
        <w:t xml:space="preserve">. </w:t>
      </w:r>
      <w:r>
        <w:rPr>
          <w:rtl w:val="true"/>
        </w:rPr>
        <w:t>לו היה מודה בכך</w:t>
      </w:r>
      <w:r>
        <w:rPr>
          <w:rtl w:val="true"/>
        </w:rPr>
        <w:t xml:space="preserve">, </w:t>
      </w:r>
      <w:r>
        <w:rPr>
          <w:rtl w:val="true"/>
        </w:rPr>
        <w:t>היה ניתן לחקור גם את המתלוננת בסוגיית ההסכמה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השתלשלות העניינים בתיק זה לא הייתה רגילה</w:t>
      </w:r>
      <w:r>
        <w:rPr>
          <w:rtl w:val="true"/>
        </w:rPr>
        <w:t xml:space="preserve">. </w:t>
      </w:r>
      <w:r>
        <w:rPr>
          <w:rtl w:val="true"/>
        </w:rPr>
        <w:t>בעקבות דעת המיעוט בבית המשפט המחוזי ושינוי העמדה של המערער לפנינו התעוררו בקרבנו תהיות מה ההכרעה הראויה</w:t>
      </w:r>
      <w:r>
        <w:rPr>
          <w:rtl w:val="true"/>
        </w:rPr>
        <w:t xml:space="preserve">. </w:t>
      </w:r>
      <w:r>
        <w:rPr>
          <w:rtl w:val="true"/>
        </w:rPr>
        <w:t>אולם לאחר בחינה מעמיקה של הראיות אציע לחבריי לאמץ את דעת הרוב בבית המשפט המחוזי ולדחות את הערעור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נקיטת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בערעור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אימץ במהלך הדיון לפנינו קו הגנה שונה מזה שטען לו בבית המשפט המחוזי</w:t>
      </w:r>
      <w:r>
        <w:rPr>
          <w:rtl w:val="true"/>
        </w:rPr>
        <w:t xml:space="preserve">. </w:t>
      </w:r>
      <w:r>
        <w:rPr>
          <w:rtl w:val="true"/>
        </w:rPr>
        <w:t>לפי קו ההגנה המקורי</w:t>
      </w:r>
      <w:r>
        <w:rPr>
          <w:rtl w:val="true"/>
        </w:rPr>
        <w:t xml:space="preserve">, </w:t>
      </w:r>
      <w:r>
        <w:rPr>
          <w:rtl w:val="true"/>
        </w:rPr>
        <w:t>המערער לא עשה כלל את המעשים המיניים המיוחסים לו</w:t>
      </w:r>
      <w:r>
        <w:rPr>
          <w:rtl w:val="true"/>
        </w:rPr>
        <w:t xml:space="preserve">. </w:t>
      </w:r>
      <w:r>
        <w:rPr>
          <w:rtl w:val="true"/>
        </w:rPr>
        <w:t>בכך ביקש המערער לפטור את עצמו כליל מאחריות פלילית</w:t>
      </w:r>
      <w:r>
        <w:rPr>
          <w:rtl w:val="true"/>
        </w:rPr>
        <w:t xml:space="preserve">. </w:t>
      </w:r>
      <w:r>
        <w:rPr>
          <w:rtl w:val="true"/>
        </w:rPr>
        <w:t>לפי קו ההגנה החדש</w:t>
      </w:r>
      <w:r>
        <w:rPr>
          <w:rtl w:val="true"/>
        </w:rPr>
        <w:t xml:space="preserve">, </w:t>
      </w:r>
      <w:r>
        <w:rPr>
          <w:rtl w:val="true"/>
        </w:rPr>
        <w:t>המערער עשה את המעשים המיניים המיוחסים לו</w:t>
      </w:r>
      <w:r>
        <w:rPr>
          <w:rtl w:val="true"/>
        </w:rPr>
        <w:t xml:space="preserve">, </w:t>
      </w:r>
      <w:r>
        <w:rPr>
          <w:rtl w:val="true"/>
        </w:rPr>
        <w:t>אולם בהסכמת המתלוננת</w:t>
      </w:r>
      <w:r>
        <w:rPr>
          <w:rtl w:val="true"/>
        </w:rPr>
        <w:t xml:space="preserve">. </w:t>
      </w:r>
      <w:r>
        <w:rPr>
          <w:rtl w:val="true"/>
        </w:rPr>
        <w:t>קו ההגנה החדש אינו מבקש להביא לזיכוי מוחלט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אלא להרשעה בעבירה קלה יותר ביחס לאישום העיקרי </w:t>
      </w:r>
      <w:r>
        <w:rPr>
          <w:rtl w:val="true"/>
        </w:rPr>
        <w:t>(</w:t>
      </w:r>
      <w:r>
        <w:rPr>
          <w:rtl w:val="true"/>
        </w:rPr>
        <w:t>בעילה אסורה בהסכמה במקום אינוס</w:t>
      </w:r>
      <w:r>
        <w:rPr>
          <w:rtl w:val="true"/>
        </w:rPr>
        <w:t xml:space="preserve">) </w:t>
      </w:r>
      <w:r>
        <w:rPr>
          <w:rtl w:val="true"/>
        </w:rPr>
        <w:t>ולזיכוי מיתר האישומים</w:t>
      </w:r>
      <w:r>
        <w:rPr>
          <w:rtl w:val="true"/>
        </w:rPr>
        <w:t xml:space="preserve">. </w:t>
      </w:r>
      <w:r>
        <w:rPr>
          <w:rtl w:val="true"/>
        </w:rPr>
        <w:t xml:space="preserve">מבחינה עובדתית שני קווי ההגנה נסמכים על טענות הסותרות חזיתית זו את זו בשאלה אם המעשים המיניים שנכללו בכתב האישום התרחשו </w:t>
      </w:r>
      <w:r>
        <w:rPr>
          <w:rtl w:val="true"/>
        </w:rPr>
        <w:t>–</w:t>
      </w:r>
      <w:r>
        <w:rPr>
          <w:rtl w:val="true"/>
        </w:rPr>
        <w:t xml:space="preserve"> הכחשה במחוזי</w:t>
      </w:r>
      <w:r>
        <w:rPr>
          <w:rtl w:val="true"/>
        </w:rPr>
        <w:t xml:space="preserve">; </w:t>
      </w:r>
      <w:r>
        <w:rPr>
          <w:rtl w:val="true"/>
        </w:rPr>
        <w:t xml:space="preserve">הודאה בעליון </w:t>
      </w:r>
      <w:r>
        <w:rPr>
          <w:rtl w:val="true"/>
        </w:rPr>
        <w:t>(</w:t>
      </w:r>
      <w:r>
        <w:rPr>
          <w:rtl w:val="true"/>
        </w:rPr>
        <w:t>השוו ל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6834/12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קבלאן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 </w:t>
      </w:r>
      <w:r>
        <w:rPr>
          <w:rFonts w:cs="Miriam"/>
          <w:spacing w:val="0"/>
          <w:szCs w:val="24"/>
          <w:rtl w:val="true"/>
        </w:rPr>
        <w:t>אורי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20.8.2015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קבלאן</w:t>
      </w:r>
      <w:r>
        <w:rPr>
          <w:rtl w:val="true"/>
        </w:rPr>
        <w:t xml:space="preserve">)). </w:t>
      </w:r>
      <w:r>
        <w:rPr>
          <w:rtl w:val="true"/>
        </w:rPr>
        <w:t>מה השפעת השינוי בקו ההגנה על הדיון בערעור</w:t>
      </w:r>
      <w:r>
        <w:rPr>
          <w:rtl w:val="true"/>
        </w:rPr>
        <w:t>?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גם אם נאשם כשל בסדרי הדין</w:t>
      </w:r>
      <w:r>
        <w:rPr>
          <w:rtl w:val="true"/>
        </w:rPr>
        <w:t xml:space="preserve">, </w:t>
      </w:r>
      <w:r>
        <w:rPr>
          <w:rtl w:val="true"/>
        </w:rPr>
        <w:t>ניצל אותם לרעה או שיקר</w:t>
      </w:r>
      <w:r>
        <w:rPr>
          <w:rtl w:val="true"/>
        </w:rPr>
        <w:t xml:space="preserve">, </w:t>
      </w:r>
      <w:r>
        <w:rPr>
          <w:rtl w:val="true"/>
        </w:rPr>
        <w:t>אין בית המשפט פטור מחובתו לבחון את אשמת הנאשם על בסיס מכלול הראיות</w:t>
      </w:r>
      <w:r>
        <w:rPr>
          <w:rtl w:val="true"/>
        </w:rPr>
        <w:t xml:space="preserve">. </w:t>
      </w:r>
      <w:r>
        <w:rPr>
          <w:rtl w:val="true"/>
        </w:rPr>
        <w:t>אם עולה מחומר הראיות ספק סביר באשמת הנאשם או בשאלה איזו עבירה עבר</w:t>
      </w:r>
      <w:r>
        <w:rPr>
          <w:rtl w:val="true"/>
        </w:rPr>
        <w:t xml:space="preserve">, </w:t>
      </w:r>
      <w:r>
        <w:rPr>
          <w:rtl w:val="true"/>
        </w:rPr>
        <w:t xml:space="preserve">יש לפסוק בהתאם בלי קשר למהלכי ההגנה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6392/13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קריאף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 </w:t>
      </w:r>
      <w:r>
        <w:rPr>
          <w:rFonts w:cs="Miriam"/>
          <w:spacing w:val="0"/>
          <w:szCs w:val="24"/>
          <w:rtl w:val="true"/>
        </w:rPr>
        <w:t>ניל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הנדל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21.1.2015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6415/11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פולוחין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32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24.12.2012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8704/09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באשה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29</w:t>
      </w:r>
      <w:r>
        <w:rPr>
          <w:rtl w:val="true"/>
        </w:rPr>
        <w:t xml:space="preserve">,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 </w:t>
      </w:r>
      <w:r>
        <w:rPr>
          <w:rFonts w:cs="Miriam"/>
          <w:spacing w:val="0"/>
          <w:szCs w:val="24"/>
          <w:rtl w:val="true"/>
        </w:rPr>
        <w:t>הנדל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11.11.2012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באשה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50/64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נבארי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73</w:t>
      </w:r>
      <w:r>
        <w:rPr>
          <w:rtl w:val="true"/>
        </w:rPr>
        <w:t xml:space="preserve">, </w:t>
      </w:r>
      <w:r>
        <w:rPr/>
        <w:t>80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81</w:t>
      </w:r>
      <w:r>
        <w:rPr>
          <w:rtl w:val="true"/>
        </w:rPr>
        <w:t xml:space="preserve"> (</w:t>
      </w:r>
      <w:r>
        <w:rPr/>
        <w:t>1964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28/49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זרקא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tl w:val="true"/>
        </w:rPr>
        <w:t xml:space="preserve"> </w:t>
      </w:r>
      <w:r>
        <w:rPr/>
        <w:t>504</w:t>
      </w:r>
      <w:r>
        <w:rPr>
          <w:rtl w:val="true"/>
        </w:rPr>
        <w:t xml:space="preserve">, </w:t>
      </w:r>
      <w:r>
        <w:rPr/>
        <w:t>537</w:t>
      </w:r>
      <w:r>
        <w:rPr>
          <w:rtl w:val="true"/>
        </w:rPr>
        <w:t xml:space="preserve"> (</w:t>
      </w:r>
      <w:r>
        <w:rPr/>
        <w:t>1950</w:t>
      </w:r>
      <w:r>
        <w:rPr>
          <w:rtl w:val="true"/>
        </w:rPr>
        <w:t xml:space="preserve">)). </w:t>
      </w:r>
      <w:r>
        <w:rPr>
          <w:rtl w:val="true"/>
        </w:rPr>
        <w:t>משום כך אם נאשם מעלה בערעור קו הגנה שונה מזה שטען לו בערכאה הדיונית</w:t>
      </w:r>
      <w:r>
        <w:rPr>
          <w:rtl w:val="true"/>
        </w:rPr>
        <w:t xml:space="preserve">, </w:t>
      </w:r>
      <w:r>
        <w:rPr>
          <w:rtl w:val="true"/>
        </w:rPr>
        <w:t>ואפילו קווי ההגנה אינם יכולים לעמוד זה לצד זה</w:t>
      </w:r>
      <w:r>
        <w:rPr>
          <w:rtl w:val="true"/>
        </w:rPr>
        <w:t xml:space="preserve">, </w:t>
      </w:r>
      <w:r>
        <w:rPr>
          <w:rtl w:val="true"/>
        </w:rPr>
        <w:t xml:space="preserve">בהיותם מבוססים על מערכי עובדות סותרים </w:t>
      </w:r>
      <w:r>
        <w:rPr>
          <w:rtl w:val="true"/>
        </w:rPr>
        <w:t>–</w:t>
      </w:r>
      <w:r>
        <w:rPr>
          <w:rtl w:val="true"/>
        </w:rPr>
        <w:t xml:space="preserve"> ערכאת הערעור רשאית לדון בקו ההגנה החדש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רשות זו היא חובה</w:t>
      </w:r>
      <w:r>
        <w:rPr>
          <w:rtl w:val="true"/>
        </w:rPr>
        <w:t xml:space="preserve">, </w:t>
      </w:r>
      <w:r>
        <w:rPr>
          <w:rtl w:val="true"/>
        </w:rPr>
        <w:t xml:space="preserve">הנגזרת מחובתו של בית המשפט לוודא היטב שלא ירשיע אדם אם בתום הדיון בעניינו נותר ספק סביר באשמתו </w:t>
      </w:r>
      <w:r>
        <w:rPr>
          <w:rtl w:val="true"/>
        </w:rPr>
        <w:t>(</w:t>
      </w:r>
      <w:r>
        <w:rPr>
          <w:rtl w:val="true"/>
        </w:rPr>
        <w:t xml:space="preserve">למגוון הגישות בסוגיה זו ראו למשל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2336/16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מזראיב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(</w:t>
      </w:r>
      <w:r>
        <w:rPr/>
        <w:t>14.12.2017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מזראיב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קבלאן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 </w:t>
      </w:r>
      <w:r>
        <w:rPr>
          <w:rFonts w:cs="Miriam"/>
          <w:spacing w:val="0"/>
          <w:szCs w:val="24"/>
          <w:rtl w:val="true"/>
        </w:rPr>
        <w:t>שהם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3372/11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קצב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</w:t>
      </w:r>
      <w:r>
        <w:rPr/>
        <w:t>64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1</w:t>
      </w:r>
      <w:r>
        <w:rPr/>
        <w:t>76</w:t>
      </w:r>
      <w:r>
        <w:rPr>
          <w:rtl w:val="true"/>
        </w:rPr>
        <w:t xml:space="preserve"> (</w:t>
      </w:r>
      <w:r>
        <w:rPr/>
        <w:t>10.11.2011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קצב</w:t>
      </w:r>
      <w:r>
        <w:rPr>
          <w:rtl w:val="true"/>
        </w:rPr>
        <w:t xml:space="preserve">);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6952/07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רפאילוב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19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22</w:t>
      </w:r>
      <w:r>
        <w:rPr>
          <w:rtl w:val="true"/>
        </w:rPr>
        <w:t xml:space="preserve"> (</w:t>
      </w:r>
      <w:r>
        <w:rPr/>
        <w:t>28.6.2010</w:t>
      </w:r>
      <w:r>
        <w:rPr>
          <w:rtl w:val="true"/>
        </w:rPr>
        <w:t xml:space="preserve">); </w:t>
      </w:r>
      <w:r>
        <w:rPr>
          <w:rtl w:val="true"/>
        </w:rPr>
        <w:t>והמקורות שנזכרים בהם</w:t>
      </w:r>
      <w:r>
        <w:rPr>
          <w:rtl w:val="true"/>
        </w:rPr>
        <w:t xml:space="preserve">).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r>
        <w:rPr>
          <w:rtl w:val="true"/>
        </w:rPr>
        <w:t>לדעת הכול</w:t>
      </w:r>
      <w:r>
        <w:rPr>
          <w:rtl w:val="true"/>
        </w:rPr>
        <w:t xml:space="preserve">, </w:t>
      </w:r>
      <w:r>
        <w:rPr>
          <w:rtl w:val="true"/>
        </w:rPr>
        <w:t>קו ההגנה החדש יכול להביא לזיכוי רק אם הוא סביר ומעוגן בחומר הראיות שהונח לפני בית המשפט</w:t>
      </w:r>
      <w:r>
        <w:rPr>
          <w:rtl w:val="true"/>
        </w:rPr>
        <w:t xml:space="preserve">. </w:t>
      </w:r>
      <w:r>
        <w:rPr>
          <w:rtl w:val="true"/>
        </w:rPr>
        <w:t>קו הגנה חדש שאין לו בסיס בחומר הראיות</w:t>
      </w:r>
      <w:r>
        <w:rPr>
          <w:rtl w:val="true"/>
        </w:rPr>
        <w:t xml:space="preserve">, </w:t>
      </w:r>
      <w:r>
        <w:rPr>
          <w:rtl w:val="true"/>
        </w:rPr>
        <w:t>הוא בגדר טיעון ספקולטיבי</w:t>
      </w:r>
      <w:r>
        <w:rPr>
          <w:rtl w:val="true"/>
        </w:rPr>
        <w:t xml:space="preserve">, </w:t>
      </w:r>
      <w:r>
        <w:rPr>
          <w:rtl w:val="true"/>
        </w:rPr>
        <w:t xml:space="preserve">ודינו להידחות מיניה וביה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2550/15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שאפא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(</w:t>
      </w:r>
      <w:r>
        <w:rPr>
          <w:rFonts w:cs="Miriam"/>
          <w:spacing w:val="0"/>
          <w:szCs w:val="24"/>
          <w:rtl w:val="true"/>
        </w:rPr>
        <w:t>עבד</w:t>
      </w:r>
      <w:r>
        <w:rPr>
          <w:rFonts w:cs="Miriam"/>
          <w:spacing w:val="0"/>
          <w:szCs w:val="24"/>
          <w:rtl w:val="true"/>
        </w:rPr>
        <w:t xml:space="preserve">)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7.4.2017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שאפא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באשה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 </w:t>
      </w:r>
      <w:r>
        <w:rPr>
          <w:rFonts w:cs="Miriam"/>
          <w:spacing w:val="0"/>
          <w:szCs w:val="24"/>
          <w:rtl w:val="true"/>
        </w:rPr>
        <w:t>יצחק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עמית</w:t>
      </w:r>
      <w:r>
        <w:rPr>
          <w:rtl w:val="true"/>
        </w:rPr>
        <w:t xml:space="preserve"> ובפסקה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 </w:t>
      </w:r>
      <w:r>
        <w:rPr>
          <w:rFonts w:cs="Miriam"/>
          <w:spacing w:val="0"/>
          <w:szCs w:val="24"/>
          <w:rtl w:val="true"/>
        </w:rPr>
        <w:t>סלים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ג</w:t>
      </w:r>
      <w:r>
        <w:rPr>
          <w:rFonts w:cs="Miriam"/>
          <w:spacing w:val="0"/>
          <w:szCs w:val="24"/>
          <w:rtl w:val="true"/>
        </w:rPr>
        <w:t>'</w:t>
      </w:r>
      <w:r>
        <w:rPr>
          <w:rFonts w:cs="Miriam"/>
          <w:spacing w:val="0"/>
          <w:szCs w:val="24"/>
          <w:rtl w:val="true"/>
        </w:rPr>
        <w:t>ובראן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קצב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165</w:t>
      </w:r>
      <w:r>
        <w:rPr>
          <w:rtl w:val="true"/>
        </w:rPr>
        <w:t xml:space="preserve">, </w:t>
      </w:r>
      <w:r>
        <w:rPr/>
        <w:t>17</w:t>
      </w:r>
      <w:r>
        <w:rPr/>
        <w:t>4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1</w:t>
      </w:r>
      <w:r>
        <w:rPr/>
        <w:t>77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נאשם שמעלה קו הגנה חדש בערעור</w:t>
      </w:r>
      <w:r>
        <w:rPr>
          <w:rtl w:val="true"/>
        </w:rPr>
        <w:t xml:space="preserve">, </w:t>
      </w:r>
      <w:r>
        <w:rPr>
          <w:rtl w:val="true"/>
        </w:rPr>
        <w:t xml:space="preserve">ייאלץ ככלל לבסס אותו על הראיות שנשמעו על בסיס קו ההגנה המקורי שנקט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שאפא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14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באשה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 </w:t>
      </w:r>
      <w:r>
        <w:rPr>
          <w:rFonts w:cs="Miriam"/>
          <w:spacing w:val="0"/>
          <w:szCs w:val="24"/>
          <w:rtl w:val="true"/>
        </w:rPr>
        <w:t>עמית</w:t>
      </w:r>
      <w:r>
        <w:rPr>
          <w:rtl w:val="true"/>
        </w:rPr>
        <w:t xml:space="preserve"> ובפסקה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 </w:t>
      </w:r>
      <w:r>
        <w:rPr>
          <w:rFonts w:cs="Miriam"/>
          <w:spacing w:val="0"/>
          <w:szCs w:val="24"/>
          <w:rtl w:val="true"/>
        </w:rPr>
        <w:t>ג</w:t>
      </w:r>
      <w:r>
        <w:rPr>
          <w:rFonts w:cs="Miriam"/>
          <w:spacing w:val="0"/>
          <w:szCs w:val="24"/>
          <w:rtl w:val="true"/>
        </w:rPr>
        <w:t>'</w:t>
      </w:r>
      <w:r>
        <w:rPr>
          <w:rFonts w:cs="Miriam"/>
          <w:spacing w:val="0"/>
          <w:szCs w:val="24"/>
          <w:rtl w:val="true"/>
        </w:rPr>
        <w:t>ובראן</w:t>
      </w:r>
      <w:r>
        <w:rPr>
          <w:rtl w:val="true"/>
        </w:rPr>
        <w:t xml:space="preserve">).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עלול לעלות חשד בנכונות טענה עובדתית חדשה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7477/08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גץ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55</w:t>
      </w:r>
      <w:r>
        <w:rPr>
          <w:rtl w:val="true"/>
        </w:rPr>
        <w:t xml:space="preserve"> (</w:t>
      </w:r>
      <w:r>
        <w:rPr/>
        <w:t>14.11.2011</w:t>
      </w:r>
      <w:r>
        <w:rPr>
          <w:rtl w:val="true"/>
        </w:rPr>
        <w:t xml:space="preserve">)), </w:t>
      </w:r>
      <w:r>
        <w:rPr>
          <w:rtl w:val="true"/>
        </w:rPr>
        <w:t xml:space="preserve">ואפשר שהיא תיחשב לעדות כבושה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מזראיב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לעיתים ברור שאחת לפחות מגרסאות ההגנה היא שקר</w:t>
      </w:r>
      <w:r>
        <w:rPr>
          <w:rtl w:val="true"/>
        </w:rPr>
        <w:t xml:space="preserve">, </w:t>
      </w:r>
      <w:r>
        <w:rPr>
          <w:rtl w:val="true"/>
        </w:rPr>
        <w:t xml:space="preserve">ואף לכך עלול להיות מחיר ראייתי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באשה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 </w:t>
      </w:r>
      <w:r>
        <w:rPr>
          <w:rFonts w:cs="Miriam"/>
          <w:spacing w:val="0"/>
          <w:szCs w:val="24"/>
          <w:rtl w:val="true"/>
        </w:rPr>
        <w:t>עמית</w:t>
      </w:r>
      <w:r>
        <w:rPr>
          <w:rtl w:val="true"/>
        </w:rPr>
        <w:t xml:space="preserve">). </w:t>
      </w:r>
      <w:r>
        <w:rPr>
          <w:rtl w:val="true"/>
        </w:rPr>
        <w:t>מאחר שערכאת הערעור היא שבוחנת את קו ההגנה החדש</w:t>
      </w:r>
      <w:r>
        <w:rPr>
          <w:rtl w:val="true"/>
        </w:rPr>
        <w:t xml:space="preserve">, </w:t>
      </w:r>
      <w:r>
        <w:rPr>
          <w:rtl w:val="true"/>
        </w:rPr>
        <w:t>חלים הכללים הרגילים בדבר פעולת ערכאת הערעור</w:t>
      </w:r>
      <w:r>
        <w:rPr>
          <w:rtl w:val="true"/>
        </w:rPr>
        <w:t xml:space="preserve">, </w:t>
      </w:r>
      <w:r>
        <w:rPr>
          <w:rtl w:val="true"/>
        </w:rPr>
        <w:t>להבדיל מהערכאה הדיונית</w:t>
      </w:r>
      <w:r>
        <w:rPr>
          <w:rtl w:val="true"/>
        </w:rPr>
        <w:t xml:space="preserve">. </w:t>
      </w:r>
      <w:r>
        <w:rPr>
          <w:rtl w:val="true"/>
        </w:rPr>
        <w:t>כל אלה עשויים לפגוע ביכולת הנאשם להוכיח את קו ההגנה החדש</w:t>
      </w:r>
      <w:r>
        <w:rPr>
          <w:rtl w:val="true"/>
        </w:rPr>
        <w:t xml:space="preserve">. </w:t>
      </w:r>
      <w:r>
        <w:rPr>
          <w:rtl w:val="true"/>
        </w:rPr>
        <w:t xml:space="preserve">אולם אין בהם בהכרח כדי להביא לדחייתו </w:t>
      </w:r>
      <w:r>
        <w:rPr>
          <w:rtl w:val="true"/>
        </w:rPr>
        <w:t>–</w:t>
      </w:r>
      <w:r>
        <w:rPr>
          <w:rtl w:val="true"/>
        </w:rPr>
        <w:t xml:space="preserve"> הכול לפי מכלול הראיות בכל מקרה לגופו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קו ההגנה שהעלה המערער לפנינו</w:t>
      </w:r>
      <w:r>
        <w:rPr>
          <w:rtl w:val="true"/>
        </w:rPr>
        <w:t xml:space="preserve">, </w:t>
      </w:r>
      <w:r>
        <w:rPr>
          <w:rtl w:val="true"/>
        </w:rPr>
        <w:t>אשר אינו כופר בעצם עשיית המעשים המיניים על ידיו אך טוען כי נעשו בהסכמת המתלוננת</w:t>
      </w:r>
      <w:r>
        <w:rPr>
          <w:rtl w:val="true"/>
        </w:rPr>
        <w:t xml:space="preserve">, </w:t>
      </w:r>
      <w:r>
        <w:rPr>
          <w:rtl w:val="true"/>
        </w:rPr>
        <w:t>אינו בגדר ספקולציה גרידא</w:t>
      </w:r>
      <w:r>
        <w:rPr>
          <w:rtl w:val="true"/>
        </w:rPr>
        <w:t xml:space="preserve">. </w:t>
      </w:r>
      <w:r>
        <w:rPr>
          <w:rtl w:val="true"/>
        </w:rPr>
        <w:t>לקו הגנה זה יש תימוכין מסוימים בראיות שנשמעו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ולפיכך הוא מחייב בחינה לגופו במטרה לבדוק אם הוא מקים ספק סביר בדבר אשמתו של המערער</w:t>
      </w:r>
      <w:r>
        <w:rPr>
          <w:rtl w:val="true"/>
        </w:rPr>
        <w:t xml:space="preserve">. </w:t>
      </w:r>
      <w:r>
        <w:rPr>
          <w:rtl w:val="true"/>
        </w:rPr>
        <w:t>למלאכה זו אפנה עתה</w:t>
      </w:r>
      <w:r>
        <w:rPr>
          <w:rtl w:val="true"/>
        </w:rPr>
        <w:t xml:space="preserve">. </w:t>
      </w:r>
      <w:r>
        <w:rPr>
          <w:rtl w:val="true"/>
        </w:rPr>
        <w:t>לאורך הדיון חשוב לזכור כי הטיעון האמור הוא אומנם קו הגנה חדש מבחינה זו שהנאשם לא טען לו בערכאה הדיונית</w:t>
      </w:r>
      <w:r>
        <w:rPr>
          <w:rtl w:val="true"/>
        </w:rPr>
        <w:t xml:space="preserve">, </w:t>
      </w:r>
      <w:r>
        <w:rPr>
          <w:rtl w:val="true"/>
        </w:rPr>
        <w:t>אלא נסמך עליו לראשונה לפנינו</w:t>
      </w:r>
      <w:r>
        <w:rPr>
          <w:rtl w:val="true"/>
        </w:rPr>
        <w:t xml:space="preserve">. </w:t>
      </w:r>
      <w:r>
        <w:rPr>
          <w:rtl w:val="true"/>
        </w:rPr>
        <w:t>ואולם הבחינה שנידרש לה בנוגע לקו הגנה זו אינה בחינה שיפוטית ראשונה של טענת ההסכמה</w:t>
      </w:r>
      <w:r>
        <w:rPr>
          <w:rtl w:val="true"/>
        </w:rPr>
        <w:t xml:space="preserve">, </w:t>
      </w:r>
      <w:r>
        <w:rPr>
          <w:rtl w:val="true"/>
        </w:rPr>
        <w:t>שכן היא הועלתה כבר בבית המשפט המחוזי על ידי שופט המיעוט בבית המשפט המחוזי וזכתה להתייחסות שופטי הרוב</w:t>
      </w:r>
      <w:r>
        <w:rPr>
          <w:rtl w:val="true"/>
        </w:rPr>
        <w:t xml:space="preserve">. </w:t>
      </w:r>
      <w:r>
        <w:rPr>
          <w:rtl w:val="true"/>
        </w:rPr>
        <w:t>מלאכתנו אפוא אינה בחינה דה</w:t>
      </w:r>
      <w:r>
        <w:rPr>
          <w:rtl w:val="true"/>
        </w:rPr>
        <w:t>-</w:t>
      </w:r>
      <w:r>
        <w:rPr>
          <w:rtl w:val="true"/>
        </w:rPr>
        <w:t>נובו של קו הגנה שלא נבחן בערכאה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בחינה מנקודת מבט של ערכאת ערעור של קו טיעון שנבחן ונדחה </w:t>
      </w:r>
      <w:r>
        <w:rPr>
          <w:rtl w:val="true"/>
        </w:rPr>
        <w:t>(</w:t>
      </w:r>
      <w:r>
        <w:rPr>
          <w:rtl w:val="true"/>
        </w:rPr>
        <w:t>ברוב דעות</w:t>
      </w:r>
      <w:r>
        <w:rPr>
          <w:rtl w:val="true"/>
        </w:rPr>
        <w:t xml:space="preserve">) </w:t>
      </w:r>
      <w:r>
        <w:rPr>
          <w:rtl w:val="true"/>
        </w:rPr>
        <w:t>על ידי הערכאה הדיונית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התערבות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ומהימנות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מיקד את טענותיו בהיבט העובדתי</w:t>
      </w:r>
      <w:r>
        <w:rPr>
          <w:rtl w:val="true"/>
        </w:rPr>
        <w:t xml:space="preserve">. </w:t>
      </w:r>
      <w:r>
        <w:rPr>
          <w:rtl w:val="true"/>
        </w:rPr>
        <w:t>הוא תוקף ממצאי עובדה ומהימנות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ככלל ערכאת ערעור אינה מתערבת בממצאי עובדה ומהימנות שהערכאה הדיונית קבעה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8415/16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אבו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עסא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3.6.2018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אבו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עסא</w:t>
      </w:r>
      <w:r>
        <w:rPr>
          <w:rtl w:val="true"/>
        </w:rPr>
        <w:t xml:space="preserve">). </w:t>
      </w:r>
      <w:r>
        <w:rPr>
          <w:rtl w:val="true"/>
        </w:rPr>
        <w:t>כלל זה נוהג בעוצמה רבה יותר בנוגע להערכת מהימנות של מתלוננות ומתלוננים בעבירות מין משום שבתיקים אלה ההכרעה העיקרית עניינה איזו גרסה אמינה</w:t>
      </w:r>
      <w:r>
        <w:rPr>
          <w:rtl w:val="true"/>
        </w:rPr>
        <w:t xml:space="preserve">: </w:t>
      </w:r>
      <w:r>
        <w:rPr>
          <w:rtl w:val="true"/>
        </w:rPr>
        <w:t xml:space="preserve">זו של המתלוננת או המתלונן או זו של הנאשם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3958/08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573</w:t>
      </w:r>
      <w:r>
        <w:rPr>
          <w:rtl w:val="true"/>
        </w:rPr>
        <w:t xml:space="preserve">, </w:t>
      </w:r>
      <w:r>
        <w:rPr/>
        <w:t>625</w:t>
      </w:r>
      <w:r>
        <w:rPr>
          <w:rtl w:val="true"/>
        </w:rPr>
        <w:t xml:space="preserve"> (</w:t>
      </w:r>
      <w:r>
        <w:rPr/>
        <w:t>2014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3250/10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470</w:t>
      </w:r>
      <w:r>
        <w:rPr>
          <w:rtl w:val="true"/>
        </w:rPr>
        <w:t xml:space="preserve">, </w:t>
      </w:r>
      <w:r>
        <w:rPr/>
        <w:t>495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496</w:t>
      </w:r>
      <w:r>
        <w:rPr>
          <w:rtl w:val="true"/>
        </w:rPr>
        <w:t xml:space="preserve">, </w:t>
      </w:r>
      <w:r>
        <w:rPr/>
        <w:t>538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ע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פ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</w:rPr>
        <w:t>3250/10</w:t>
      </w:r>
      <w:r>
        <w:rPr>
          <w:rtl w:val="true"/>
        </w:rPr>
        <w:t xml:space="preserve">)). </w:t>
      </w:r>
      <w:r>
        <w:rPr>
          <w:rtl w:val="true"/>
        </w:rPr>
        <w:t>בענייננו דנו השופטים בבית המשפט המחוזי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בעדיפות של אחת משלוש גרסאות</w:t>
      </w:r>
      <w:r>
        <w:rPr>
          <w:rtl w:val="true"/>
        </w:rPr>
        <w:t xml:space="preserve">: </w:t>
      </w:r>
      <w:r>
        <w:rPr>
          <w:rtl w:val="true"/>
        </w:rPr>
        <w:t>גרסת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הגרסה המקורית של המערער וגרסה נוספת </w:t>
      </w:r>
      <w:r>
        <w:rPr>
          <w:rtl w:val="true"/>
        </w:rPr>
        <w:t>(</w:t>
      </w:r>
      <w:r>
        <w:rPr>
          <w:rtl w:val="true"/>
        </w:rPr>
        <w:t>שדעת המיעוט אימצה ושהמערער מצדד בה בערעור</w:t>
      </w:r>
      <w:r>
        <w:rPr>
          <w:rtl w:val="true"/>
        </w:rPr>
        <w:t xml:space="preserve">). </w:t>
      </w:r>
      <w:r>
        <w:rPr>
          <w:rtl w:val="true"/>
        </w:rPr>
        <w:t>מאחר שבית המשפט המחוזי דן בשלושתן וקבע ממצאי מהימנות לגבי כל אחת מהן</w:t>
      </w:r>
      <w:r>
        <w:rPr>
          <w:rtl w:val="true"/>
        </w:rPr>
        <w:t xml:space="preserve">, </w:t>
      </w:r>
      <w:r>
        <w:rPr>
          <w:rtl w:val="true"/>
        </w:rPr>
        <w:t>חל כאן הכלל הרגיל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יש הסוברים שדווקא בעבירות מין אין תחולה אוטומטית לכלל שמצמצם את היקף ההתערבות בממצאי עובדה </w:t>
      </w:r>
      <w:r>
        <w:rPr>
          <w:rtl w:val="true"/>
        </w:rPr>
        <w:t>(</w:t>
      </w:r>
      <w:hyperlink r:id="rId57"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</w:rPr>
          <w:t>3250/10</w:t>
        </w:r>
      </w:hyperlink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540</w:t>
      </w:r>
      <w:r>
        <w:rPr>
          <w:rtl w:val="true"/>
        </w:rPr>
        <w:t xml:space="preserve">. </w:t>
      </w:r>
      <w:r>
        <w:rPr>
          <w:rtl w:val="true"/>
        </w:rPr>
        <w:t xml:space="preserve">לסקירת הגישות הללו וגישת ביניים ביניהן ראו לאחרונה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8050/17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(</w:t>
      </w:r>
      <w:r>
        <w:rPr/>
        <w:t>31.10.2018</w:t>
      </w:r>
      <w:r>
        <w:rPr>
          <w:rtl w:val="true"/>
        </w:rPr>
        <w:t xml:space="preserve">)). </w:t>
      </w:r>
      <w:r>
        <w:rPr>
          <w:rtl w:val="true"/>
        </w:rPr>
        <w:t>בערעור זה הגעתי לאותה מסקנה לפי כל אחת מגישות 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לכלל בדבר אי התערבות בממצאי עובדה ומהימנות יש חריגים</w:t>
      </w:r>
      <w:r>
        <w:rPr>
          <w:rtl w:val="true"/>
        </w:rPr>
        <w:t xml:space="preserve">. </w:t>
      </w:r>
      <w:r>
        <w:rPr>
          <w:rtl w:val="true"/>
        </w:rPr>
        <w:t>שניים מהם נוגעים לערעור זה</w:t>
      </w:r>
      <w:r>
        <w:rPr>
          <w:rtl w:val="true"/>
        </w:rPr>
        <w:t xml:space="preserve">. </w:t>
      </w:r>
      <w:r>
        <w:rPr>
          <w:rtl w:val="true"/>
        </w:rPr>
        <w:t>אחד מהם עניינו הסקת מסקנות מהעדויות ומהראיות</w:t>
      </w:r>
      <w:r>
        <w:rPr>
          <w:rtl w:val="true"/>
        </w:rPr>
        <w:t xml:space="preserve">. </w:t>
      </w:r>
      <w:r>
        <w:rPr>
          <w:rtl w:val="true"/>
        </w:rPr>
        <w:t>השני עניינו ביסוס ממצא על ראיה שערכאת הערעור מסוגלת להתרשם ממנה כפי שהערכאה הדיונית התרשמה ממנה</w:t>
      </w:r>
      <w:r>
        <w:rPr>
          <w:rtl w:val="true"/>
        </w:rPr>
        <w:t xml:space="preserve">, </w:t>
      </w:r>
      <w:r>
        <w:rPr>
          <w:rtl w:val="true"/>
        </w:rPr>
        <w:t xml:space="preserve">והראיה החשובה ממין זה כאן היא תקליטור העימות בין המתלוננת למערער </w:t>
      </w:r>
      <w:r>
        <w:rPr>
          <w:rtl w:val="true"/>
        </w:rPr>
        <w:t>(</w:t>
      </w:r>
      <w:r>
        <w:rPr>
          <w:rtl w:val="true"/>
        </w:rPr>
        <w:t xml:space="preserve">לחריגים לכלל ראו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8146/09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אבשלום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(</w:t>
      </w:r>
      <w:r>
        <w:rPr/>
        <w:t>8.9.2011</w:t>
      </w:r>
      <w:r>
        <w:rPr>
          <w:rtl w:val="true"/>
        </w:rPr>
        <w:t xml:space="preserve">)). </w:t>
      </w:r>
      <w:r>
        <w:rPr>
          <w:rtl w:val="true"/>
        </w:rPr>
        <w:t>במקרים אלו ערכאת הערעור עשויה לבחון את ממצאי הערכאה הראשונה בקפידה רבה יותר מהרגיל</w:t>
      </w:r>
      <w:r>
        <w:rPr>
          <w:rtl w:val="true"/>
        </w:rPr>
        <w:t xml:space="preserve">. </w:t>
      </w:r>
      <w:r>
        <w:rPr>
          <w:rtl w:val="true"/>
        </w:rPr>
        <w:t>כך עשיתי כאן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העובדה שהייתה דעת מיעוט בבית המשפט המחוזי בקשר לממצאי העובדה אינה מלמדת בהכרח על קושי במסקנות דעת הרוב </w:t>
      </w:r>
      <w:r>
        <w:rPr>
          <w:rtl w:val="true"/>
        </w:rPr>
        <w:t>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2478/12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אגבריה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(</w:t>
      </w:r>
      <w:r>
        <w:rPr/>
        <w:t>13.5.2015</w:t>
      </w:r>
      <w:r>
        <w:rPr>
          <w:rtl w:val="true"/>
        </w:rPr>
        <w:t xml:space="preserve">)). </w:t>
      </w:r>
      <w:r>
        <w:rPr>
          <w:rtl w:val="true"/>
        </w:rPr>
        <w:t>יש לבחון את הטענות בה ואת טענות המערער</w:t>
      </w:r>
      <w:r>
        <w:rPr>
          <w:rtl w:val="true"/>
        </w:rPr>
        <w:t xml:space="preserve">, </w:t>
      </w:r>
      <w:r>
        <w:rPr>
          <w:rtl w:val="true"/>
        </w:rPr>
        <w:t>שדומות להן</w:t>
      </w:r>
      <w:r>
        <w:rPr>
          <w:rtl w:val="true"/>
        </w:rPr>
        <w:t xml:space="preserve">, </w:t>
      </w:r>
      <w:r>
        <w:rPr>
          <w:rtl w:val="true"/>
        </w:rPr>
        <w:t>לגופן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: </w:t>
      </w:r>
      <w:r>
        <w:rPr>
          <w:rtl w:val="true"/>
        </w:rPr>
        <w:t>גרסת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ההסכמה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דעת הרוב בבית המשפט המחוזי קבעה על בסיס הראיות שהמתלוננת לא הסכימה למעשיו של המערער</w:t>
      </w:r>
      <w:r>
        <w:rPr>
          <w:rtl w:val="true"/>
        </w:rPr>
        <w:t xml:space="preserve">. </w:t>
      </w:r>
      <w:r>
        <w:rPr>
          <w:rtl w:val="true"/>
        </w:rPr>
        <w:t>הקביעות של בית המשפט המחוזי בנוגע להעדר הסכמה של המתלוננת היו חלק מהקביעות הכלליות על מהימנות הגרסה של המתלוננת</w:t>
      </w:r>
      <w:r>
        <w:rPr>
          <w:rtl w:val="true"/>
        </w:rPr>
        <w:t xml:space="preserve">. </w:t>
      </w:r>
      <w:r>
        <w:rPr>
          <w:rtl w:val="true"/>
        </w:rPr>
        <w:t>לא עמדה מולן גרסה של המערער שלפיה בין המתלוננת למערער התקיימו יחסים בהסכמה</w:t>
      </w:r>
      <w:r>
        <w:rPr>
          <w:rtl w:val="true"/>
        </w:rPr>
        <w:t xml:space="preserve">. </w:t>
      </w:r>
      <w:r>
        <w:rPr>
          <w:rtl w:val="true"/>
        </w:rPr>
        <w:t>גרסה כזו עומדת לפנינו כעת</w:t>
      </w:r>
      <w:r>
        <w:rPr>
          <w:rtl w:val="true"/>
        </w:rPr>
        <w:t xml:space="preserve">. </w:t>
      </w:r>
      <w:r>
        <w:rPr>
          <w:rtl w:val="true"/>
        </w:rPr>
        <w:t>אם היא תתקבל</w:t>
      </w:r>
      <w:r>
        <w:rPr>
          <w:rtl w:val="true"/>
        </w:rPr>
        <w:t xml:space="preserve">, </w:t>
      </w:r>
      <w:r>
        <w:rPr>
          <w:rtl w:val="true"/>
        </w:rPr>
        <w:t>יש בכוחה להביא להקלה בדין</w:t>
      </w:r>
      <w:r>
        <w:rPr>
          <w:rtl w:val="true"/>
        </w:rPr>
        <w:t xml:space="preserve">. </w:t>
      </w:r>
      <w:r>
        <w:rPr>
          <w:rtl w:val="true"/>
        </w:rPr>
        <w:t>על כן יש לבחון אם קם ספק סביר בהתרחשותה</w:t>
      </w:r>
      <w:r>
        <w:rPr>
          <w:rtl w:val="true"/>
        </w:rPr>
        <w:t xml:space="preserve">. </w:t>
      </w:r>
      <w:r>
        <w:rPr>
          <w:rtl w:val="true"/>
        </w:rPr>
        <w:t xml:space="preserve">תחילה </w:t>
      </w:r>
      <w:r>
        <w:rPr>
          <w:rtl w:val="true"/>
        </w:rPr>
        <w:t>–</w:t>
      </w:r>
      <w:r>
        <w:rPr>
          <w:rtl w:val="true"/>
        </w:rPr>
        <w:t xml:space="preserve"> לשאלה אם יש די ראיות לבסס העדר הסכמה</w:t>
      </w:r>
      <w:r>
        <w:rPr>
          <w:rtl w:val="true"/>
        </w:rPr>
        <w:t xml:space="preserve">, </w:t>
      </w:r>
      <w:r>
        <w:rPr>
          <w:rtl w:val="true"/>
        </w:rPr>
        <w:t>שהרי בהעדרן אין צורך לבחון הסכמה</w:t>
      </w:r>
      <w:r>
        <w:rPr>
          <w:rtl w:val="true"/>
        </w:rPr>
        <w:t>.</w:t>
      </w:r>
    </w:p>
    <w:p>
      <w:pPr>
        <w:pStyle w:val="Heading3"/>
        <w:ind w:hanging="0" w:start="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נלמד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הראיות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השופטים בדעת הרוב בבית המשפט המחוזי הסכימו שהמתלוננת הייתה מהימנה</w:t>
      </w:r>
      <w:r>
        <w:rPr>
          <w:rtl w:val="true"/>
        </w:rPr>
        <w:t xml:space="preserve">. </w:t>
      </w:r>
      <w:r>
        <w:rPr>
          <w:rtl w:val="true"/>
        </w:rPr>
        <w:t xml:space="preserve">כל אחד מהם תמך מסקנה זו בהתרשמות ישירה מעדותה ובראיות נוספות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; </w:t>
      </w:r>
      <w:r>
        <w:rPr>
          <w:rtl w:val="true"/>
        </w:rPr>
        <w:t xml:space="preserve">השופט </w:t>
      </w:r>
      <w:r>
        <w:rPr>
          <w:rFonts w:cs="Miriam"/>
          <w:spacing w:val="0"/>
          <w:szCs w:val="24"/>
          <w:rtl w:val="true"/>
        </w:rPr>
        <w:t>אינפלד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77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 xml:space="preserve">בעל דעת המיעוט קיבל את עדותה בסוגיות שהיו בלב המחלוקת בבית המשפט המחוזי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>אך מצא בה תהיות למול גרסה אפשרית שתיטיב עם המערער</w:t>
      </w:r>
      <w:r>
        <w:rPr>
          <w:rtl w:val="true"/>
        </w:rPr>
        <w:t xml:space="preserve">. </w:t>
      </w:r>
      <w:r>
        <w:rPr>
          <w:rtl w:val="true"/>
        </w:rPr>
        <w:t>לאחר שבחנתי את הראיות</w:t>
      </w:r>
      <w:r>
        <w:rPr>
          <w:rtl w:val="true"/>
        </w:rPr>
        <w:t xml:space="preserve">, </w:t>
      </w:r>
      <w:r>
        <w:rPr>
          <w:rtl w:val="true"/>
        </w:rPr>
        <w:t>לא מצאתי להתערב בממצאי המהימנות של דעת הרוב</w:t>
      </w:r>
      <w:r>
        <w:rPr>
          <w:rtl w:val="true"/>
        </w:rPr>
        <w:t xml:space="preserve">. </w:t>
      </w:r>
      <w:r>
        <w:rPr>
          <w:rtl w:val="true"/>
        </w:rPr>
        <w:t>המתלוננת חזרה על עיקרי גרסתה שוב ושוב</w:t>
      </w:r>
      <w:r>
        <w:rPr>
          <w:rtl w:val="true"/>
        </w:rPr>
        <w:t xml:space="preserve">. </w:t>
      </w:r>
      <w:r>
        <w:rPr>
          <w:rtl w:val="true"/>
        </w:rPr>
        <w:t>היא נזהרה מלייחס למערער דברים שלא עשה</w:t>
      </w:r>
      <w:r>
        <w:rPr>
          <w:rtl w:val="true"/>
        </w:rPr>
        <w:t xml:space="preserve">. </w:t>
      </w:r>
      <w:r>
        <w:rPr>
          <w:rtl w:val="true"/>
        </w:rPr>
        <w:t>מאחר שהעימות ביניהם צולם</w:t>
      </w:r>
      <w:r>
        <w:rPr>
          <w:rtl w:val="true"/>
        </w:rPr>
        <w:t xml:space="preserve">, </w:t>
      </w:r>
      <w:r>
        <w:rPr>
          <w:rtl w:val="true"/>
        </w:rPr>
        <w:t xml:space="preserve">יכולתי להתרשם במישרין מהתנהגות המתלוננת בו </w:t>
      </w:r>
      <w:r>
        <w:rPr>
          <w:rtl w:val="true"/>
        </w:rPr>
        <w:t>(</w:t>
      </w:r>
      <w:hyperlink r:id="rId61"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</w:rPr>
          <w:t>3250/10</w:t>
        </w:r>
      </w:hyperlink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497</w:t>
      </w:r>
      <w:r>
        <w:rPr>
          <w:rtl w:val="true"/>
        </w:rPr>
        <w:t xml:space="preserve">). </w:t>
      </w:r>
      <w:r>
        <w:rPr>
          <w:rtl w:val="true"/>
        </w:rPr>
        <w:t xml:space="preserve">אומנם את תגובות המערער אין רואים </w:t>
      </w:r>
      <w:r>
        <w:rPr>
          <w:rtl w:val="true"/>
        </w:rPr>
        <w:t>(</w:t>
      </w:r>
      <w:r>
        <w:rPr>
          <w:rtl w:val="true"/>
        </w:rPr>
        <w:t>אף ששומעים</w:t>
      </w:r>
      <w:r>
        <w:rPr>
          <w:rtl w:val="true"/>
        </w:rPr>
        <w:t xml:space="preserve">), </w:t>
      </w:r>
      <w:r>
        <w:rPr>
          <w:rtl w:val="true"/>
        </w:rPr>
        <w:t>אולם בשלב זה אני בוחן את ההתרשמות מהמתלוננת בלבד</w:t>
      </w:r>
      <w:r>
        <w:rPr>
          <w:rtl w:val="true"/>
        </w:rPr>
        <w:t xml:space="preserve">. </w:t>
      </w:r>
      <w:r>
        <w:rPr>
          <w:rtl w:val="true"/>
        </w:rPr>
        <w:t>ניכר שהמעמד היה קשה עליה</w:t>
      </w:r>
      <w:r>
        <w:rPr>
          <w:rtl w:val="true"/>
        </w:rPr>
        <w:t xml:space="preserve">. </w:t>
      </w:r>
      <w:r>
        <w:rPr>
          <w:rtl w:val="true"/>
        </w:rPr>
        <w:t>היא בכתה</w:t>
      </w:r>
      <w:r>
        <w:rPr>
          <w:rtl w:val="true"/>
        </w:rPr>
        <w:t xml:space="preserve">. </w:t>
      </w:r>
      <w:r>
        <w:rPr>
          <w:rtl w:val="true"/>
        </w:rPr>
        <w:t>רגלה רעדה</w:t>
      </w:r>
      <w:r>
        <w:rPr>
          <w:rtl w:val="true"/>
        </w:rPr>
        <w:t xml:space="preserve">. </w:t>
      </w:r>
      <w:r>
        <w:rPr>
          <w:rtl w:val="true"/>
        </w:rPr>
        <w:t xml:space="preserve">כשהמערער אמר דברים שהיא ראתה בהם שקרים </w:t>
      </w:r>
      <w:r>
        <w:rPr>
          <w:rtl w:val="true"/>
        </w:rPr>
        <w:t>–</w:t>
      </w:r>
      <w:r>
        <w:rPr>
          <w:rtl w:val="true"/>
        </w:rPr>
        <w:t xml:space="preserve"> דברים שהיום גם המערער אינו טוען שהם אמת </w:t>
      </w:r>
      <w:r>
        <w:rPr>
          <w:rtl w:val="true"/>
        </w:rPr>
        <w:t>–</w:t>
      </w:r>
      <w:r>
        <w:rPr>
          <w:rtl w:val="true"/>
        </w:rPr>
        <w:t xml:space="preserve"> היא הגיבה בחוסר אמון</w:t>
      </w:r>
      <w:r>
        <w:rPr>
          <w:rtl w:val="true"/>
        </w:rPr>
        <w:t xml:space="preserve">, </w:t>
      </w:r>
      <w:r>
        <w:rPr>
          <w:rtl w:val="true"/>
        </w:rPr>
        <w:t>בכעס</w:t>
      </w:r>
      <w:r>
        <w:rPr>
          <w:rtl w:val="true"/>
        </w:rPr>
        <w:t xml:space="preserve">, </w:t>
      </w:r>
      <w:r>
        <w:rPr>
          <w:rtl w:val="true"/>
        </w:rPr>
        <w:t>בתסכול</w:t>
      </w:r>
      <w:r>
        <w:rPr>
          <w:rtl w:val="true"/>
        </w:rPr>
        <w:t xml:space="preserve">. </w:t>
      </w:r>
      <w:r>
        <w:rPr>
          <w:rtl w:val="true"/>
        </w:rPr>
        <w:t>היא תיקנה אותו ועימתה אותו עם גרסתה</w:t>
      </w:r>
      <w:r>
        <w:rPr>
          <w:rtl w:val="true"/>
        </w:rPr>
        <w:t xml:space="preserve">. </w:t>
      </w:r>
      <w:r>
        <w:rPr>
          <w:rtl w:val="true"/>
        </w:rPr>
        <w:t>היא עמדה בהתרגשות רבה על שלה</w:t>
      </w:r>
      <w:r>
        <w:rPr>
          <w:rtl w:val="true"/>
        </w:rPr>
        <w:t xml:space="preserve">. </w:t>
      </w:r>
      <w:r>
        <w:rPr>
          <w:rtl w:val="true"/>
        </w:rPr>
        <w:t>כל אלה יוצרים רושם של אמון רב בדבריה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לפני שאדון בממצאים על התנגדות המתלוננת</w:t>
      </w:r>
      <w:r>
        <w:rPr>
          <w:rtl w:val="true"/>
        </w:rPr>
        <w:t xml:space="preserve">, </w:t>
      </w:r>
      <w:r>
        <w:rPr>
          <w:rtl w:val="true"/>
        </w:rPr>
        <w:t>אציין התרשמות נוספת שעולה מחומר הראיות ושיש לה השפעה על המשך הדיון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את ההתנהגות של נפגעות ונפגעי עבירת מין יש לבחון לפי נסיבותיהם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tl w:val="true"/>
        </w:rPr>
        <w:t xml:space="preserve">, </w:t>
      </w:r>
      <w:r>
        <w:rPr>
          <w:rtl w:val="true"/>
        </w:rPr>
        <w:t>ניסיון חייהם</w:t>
      </w:r>
      <w:r>
        <w:rPr>
          <w:rtl w:val="true"/>
        </w:rPr>
        <w:t xml:space="preserve">, </w:t>
      </w:r>
      <w:r>
        <w:rPr>
          <w:rtl w:val="true"/>
        </w:rPr>
        <w:t>תפיסת עולמם</w:t>
      </w:r>
      <w:r>
        <w:rPr>
          <w:rtl w:val="true"/>
        </w:rPr>
        <w:t xml:space="preserve">, </w:t>
      </w:r>
      <w:r>
        <w:rPr>
          <w:rtl w:val="true"/>
        </w:rPr>
        <w:t>אישיותם וכדומה</w:t>
      </w:r>
      <w:r>
        <w:rPr>
          <w:rtl w:val="true"/>
        </w:rPr>
        <w:t xml:space="preserve">, </w:t>
      </w:r>
      <w:r>
        <w:rPr>
          <w:rtl w:val="true"/>
        </w:rPr>
        <w:t xml:space="preserve">ולא לפי קנה מידה של </w:t>
      </w:r>
      <w:r>
        <w:rPr>
          <w:rtl w:val="true"/>
        </w:rPr>
        <w:t>"</w:t>
      </w:r>
      <w:r>
        <w:rPr>
          <w:rtl w:val="true"/>
        </w:rPr>
        <w:t>נפגעת או נפגע סבירים</w:t>
      </w:r>
      <w:r>
        <w:rPr>
          <w:rtl w:val="true"/>
        </w:rPr>
        <w:t>" (</w:t>
      </w:r>
      <w:r>
        <w:rPr>
          <w:rtl w:val="true"/>
        </w:rPr>
        <w:t xml:space="preserve">למשל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6773/17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זליג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(</w:t>
      </w:r>
      <w:r>
        <w:rPr/>
        <w:t>3.4.2019</w:t>
      </w:r>
      <w:r>
        <w:rPr>
          <w:rtl w:val="true"/>
        </w:rPr>
        <w:t xml:space="preserve">);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7082/09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10.3.2011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64"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</w:rPr>
          <w:t>7082/09</w:t>
        </w:r>
      </w:hyperlink>
      <w:r>
        <w:rPr>
          <w:rtl w:val="true"/>
        </w:rPr>
        <w:t xml:space="preserve">). </w:t>
      </w:r>
      <w:r>
        <w:rPr>
          <w:rtl w:val="true"/>
        </w:rPr>
        <w:t>המערער הוא אדם מבוגר</w:t>
      </w:r>
      <w:r>
        <w:rPr>
          <w:rtl w:val="true"/>
        </w:rPr>
        <w:t xml:space="preserve">. </w:t>
      </w:r>
      <w:r>
        <w:rPr>
          <w:rtl w:val="true"/>
        </w:rPr>
        <w:t>המתלוננת הייתה נערה בת 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 בעת המעשים</w:t>
      </w:r>
      <w:r>
        <w:rPr>
          <w:rtl w:val="true"/>
        </w:rPr>
        <w:t xml:space="preserve">. </w:t>
      </w:r>
      <w:r>
        <w:rPr>
          <w:rtl w:val="true"/>
        </w:rPr>
        <w:t>בני משפחתה של המתלוננת הכירו את המערער</w:t>
      </w:r>
      <w:r>
        <w:rPr>
          <w:rtl w:val="true"/>
        </w:rPr>
        <w:t xml:space="preserve">, </w:t>
      </w:r>
      <w:r>
        <w:rPr>
          <w:rtl w:val="true"/>
        </w:rPr>
        <w:t>שהפעיל את החנות השכונתית</w:t>
      </w:r>
      <w:r>
        <w:rPr>
          <w:rtl w:val="true"/>
        </w:rPr>
        <w:t xml:space="preserve">, </w:t>
      </w:r>
      <w:r>
        <w:rPr>
          <w:rtl w:val="true"/>
        </w:rPr>
        <w:t>ונהגו לרכוש ממנו מצרכים לעיתים מזומנות</w:t>
      </w:r>
      <w:r>
        <w:rPr>
          <w:rtl w:val="true"/>
        </w:rPr>
        <w:t xml:space="preserve">. </w:t>
      </w:r>
      <w:r>
        <w:rPr>
          <w:rtl w:val="true"/>
        </w:rPr>
        <w:t>גם המתלוננת נהגה לפקוד תדיר את חנותו</w:t>
      </w:r>
      <w:r>
        <w:rPr>
          <w:rtl w:val="true"/>
        </w:rPr>
        <w:t xml:space="preserve">, </w:t>
      </w:r>
      <w:r>
        <w:rPr>
          <w:rtl w:val="true"/>
        </w:rPr>
        <w:t>ואף נשלחה באופן תדיר לבצע קניות בחנות על ידי הוריה</w:t>
      </w:r>
      <w:r>
        <w:rPr>
          <w:rtl w:val="true"/>
        </w:rPr>
        <w:t xml:space="preserve">. </w:t>
      </w:r>
      <w:r>
        <w:rPr>
          <w:rtl w:val="true"/>
        </w:rPr>
        <w:t>בשל אופייה וחששה מאביה</w:t>
      </w:r>
      <w:r>
        <w:rPr>
          <w:rtl w:val="true"/>
        </w:rPr>
        <w:t xml:space="preserve">, </w:t>
      </w:r>
      <w:r>
        <w:rPr>
          <w:rtl w:val="true"/>
        </w:rPr>
        <w:t>כמו גם בשל איומי המערער</w:t>
      </w:r>
      <w:r>
        <w:rPr>
          <w:rtl w:val="true"/>
        </w:rPr>
        <w:t xml:space="preserve">, </w:t>
      </w:r>
      <w:r>
        <w:rPr>
          <w:rtl w:val="true"/>
        </w:rPr>
        <w:t>ביקשה המתלוננת לשמור את המעשים בסוד מפני בני משפחתה</w:t>
      </w:r>
      <w:r>
        <w:rPr>
          <w:rtl w:val="true"/>
        </w:rPr>
        <w:t xml:space="preserve">, </w:t>
      </w:r>
      <w:r>
        <w:rPr>
          <w:rtl w:val="true"/>
        </w:rPr>
        <w:t>ולא סיפרה להם עליהם במשך חודשים ארוכים</w:t>
      </w:r>
      <w:r>
        <w:rPr>
          <w:rtl w:val="true"/>
        </w:rPr>
        <w:t xml:space="preserve">. </w:t>
      </w:r>
      <w:r>
        <w:rPr>
          <w:rtl w:val="true"/>
        </w:rPr>
        <w:t>מצרף עובדות זה יש בו כדי להבהיר מדוע המשיכה המתלוננת לפקוד את החנות גם לאחר שנפלה קורבן למעשי המערער</w:t>
      </w:r>
      <w:r>
        <w:rPr>
          <w:rtl w:val="true"/>
        </w:rPr>
        <w:t xml:space="preserve">, </w:t>
      </w:r>
      <w:r>
        <w:rPr>
          <w:rtl w:val="true"/>
        </w:rPr>
        <w:t>ולא הדירה רגליה ממקום הפגיעה</w:t>
      </w:r>
      <w:r>
        <w:rPr>
          <w:rtl w:val="true"/>
        </w:rPr>
        <w:t xml:space="preserve">. </w:t>
      </w:r>
      <w:r>
        <w:rPr>
          <w:rtl w:val="true"/>
        </w:rPr>
        <w:t>שינוי בדפוסי התנהגותה</w:t>
      </w:r>
      <w:r>
        <w:rPr>
          <w:rtl w:val="true"/>
        </w:rPr>
        <w:t xml:space="preserve">, </w:t>
      </w:r>
      <w:r>
        <w:rPr>
          <w:rtl w:val="true"/>
        </w:rPr>
        <w:t>על דרך של סירוב ללכת לחנות</w:t>
      </w:r>
      <w:r>
        <w:rPr>
          <w:rtl w:val="true"/>
        </w:rPr>
        <w:t xml:space="preserve">, </w:t>
      </w:r>
      <w:r>
        <w:rPr>
          <w:rtl w:val="true"/>
        </w:rPr>
        <w:t>עלול היה לעורר סימני שאלה</w:t>
      </w:r>
      <w:r>
        <w:rPr>
          <w:rtl w:val="true"/>
        </w:rPr>
        <w:t xml:space="preserve">, </w:t>
      </w:r>
      <w:r>
        <w:rPr>
          <w:rtl w:val="true"/>
        </w:rPr>
        <w:t>והיא הייתה נדרשת לספק הסברים</w:t>
      </w:r>
      <w:r>
        <w:rPr>
          <w:rtl w:val="true"/>
        </w:rPr>
        <w:t xml:space="preserve">. </w:t>
      </w:r>
      <w:r>
        <w:rPr>
          <w:rtl w:val="true"/>
        </w:rPr>
        <w:t>כדי להימנע מכך</w:t>
      </w:r>
      <w:r>
        <w:rPr>
          <w:rtl w:val="true"/>
        </w:rPr>
        <w:t xml:space="preserve">, </w:t>
      </w:r>
      <w:r>
        <w:rPr>
          <w:rtl w:val="true"/>
        </w:rPr>
        <w:t>העדיפה המתלוננת להמשיך להתנהג כדרכה</w:t>
      </w:r>
      <w:r>
        <w:rPr>
          <w:rtl w:val="true"/>
        </w:rPr>
        <w:t xml:space="preserve">, </w:t>
      </w:r>
      <w:r>
        <w:rPr>
          <w:rtl w:val="true"/>
        </w:rPr>
        <w:t>ואף הייתה נכונה לסבול קשר עם התוקף</w:t>
      </w:r>
      <w:r>
        <w:rPr>
          <w:rtl w:val="true"/>
        </w:rPr>
        <w:t xml:space="preserve">, </w:t>
      </w:r>
      <w:r>
        <w:rPr>
          <w:rtl w:val="true"/>
        </w:rPr>
        <w:t>ובלבד שלא לעורר תהיות אצל בני המשפחה</w:t>
      </w:r>
      <w:r>
        <w:rPr>
          <w:rtl w:val="true"/>
        </w:rPr>
        <w:t xml:space="preserve">. </w:t>
      </w:r>
      <w:r>
        <w:rPr>
          <w:rtl w:val="true"/>
        </w:rPr>
        <w:t>דעת הרוב בבית המשפט המחוזי התרשמה התרשמות דומה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בחוות הדעת של השופטת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 יש כמה ביטויים להתנגדות המתלוננת</w:t>
      </w:r>
      <w:r>
        <w:rPr>
          <w:rtl w:val="true"/>
        </w:rPr>
        <w:t xml:space="preserve">: </w:t>
      </w:r>
      <w:r>
        <w:rPr>
          <w:rtl w:val="true"/>
        </w:rPr>
        <w:t xml:space="preserve">בשעת האונס היא בעטה במערער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 ראתה בזאת חיזוק לאמינות המתלוננת שכן היא הסתפקה בכך ולא העצימה את תיאורי ההתנגדות הגופנית</w:t>
      </w:r>
      <w:r>
        <w:rPr>
          <w:rtl w:val="true"/>
        </w:rPr>
        <w:t xml:space="preserve">) </w:t>
      </w:r>
      <w:r>
        <w:rPr>
          <w:rtl w:val="true"/>
        </w:rPr>
        <w:t>וביקשה ממנו להפסיק</w:t>
      </w:r>
      <w:r>
        <w:rPr>
          <w:rtl w:val="true"/>
        </w:rPr>
        <w:t xml:space="preserve">; </w:t>
      </w:r>
      <w:r>
        <w:rPr>
          <w:rtl w:val="true"/>
        </w:rPr>
        <w:t>לאחר האונס הציע המערער למתלוננת לשכב בהסכמה</w:t>
      </w:r>
      <w:r>
        <w:rPr>
          <w:rtl w:val="true"/>
        </w:rPr>
        <w:t xml:space="preserve">, </w:t>
      </w:r>
      <w:r>
        <w:rPr>
          <w:rtl w:val="true"/>
        </w:rPr>
        <w:t xml:space="preserve">עדות לכך שבאונס לא הייתה הסכמה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39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4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 xml:space="preserve">השופטת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 מצאה תמיכה למהימנות המתלוננת בכך שהיא סיפרה פרטים שעלולים לפגוע בגרסתה</w:t>
      </w:r>
      <w:r>
        <w:rPr>
          <w:rtl w:val="true"/>
        </w:rPr>
        <w:t xml:space="preserve">: </w:t>
      </w:r>
      <w:r>
        <w:rPr>
          <w:rtl w:val="true"/>
        </w:rPr>
        <w:t>המערער השאיר את מפתח החנות במנעול</w:t>
      </w:r>
      <w:r>
        <w:rPr>
          <w:rtl w:val="true"/>
        </w:rPr>
        <w:t xml:space="preserve">, </w:t>
      </w:r>
      <w:r>
        <w:rPr>
          <w:rtl w:val="true"/>
        </w:rPr>
        <w:t>והמתלוננת ביקשה מהמערער לעזור לה לפתוח עטיפת ארטיק תשעה חודשים לאחר האונס</w:t>
      </w:r>
      <w:r>
        <w:rPr>
          <w:rtl w:val="true"/>
        </w:rPr>
        <w:t xml:space="preserve">, </w:t>
      </w:r>
      <w:r>
        <w:rPr>
          <w:rtl w:val="true"/>
        </w:rPr>
        <w:t xml:space="preserve">וימים ספורים לפני חשיפתו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 xml:space="preserve">השופט </w:t>
      </w:r>
      <w:r>
        <w:rPr>
          <w:rFonts w:cs="Miriam"/>
          <w:spacing w:val="0"/>
          <w:szCs w:val="24"/>
          <w:rtl w:val="true"/>
        </w:rPr>
        <w:t>אינפלד</w:t>
      </w:r>
      <w:r>
        <w:rPr>
          <w:rtl w:val="true"/>
        </w:rPr>
        <w:t xml:space="preserve"> התמקד בחוות דעתו בסתירת הטענה שהמתלוננת והמערער קיימו יחסים בהסכמה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 xml:space="preserve">עדות המתלוננת </w:t>
      </w:r>
      <w:r>
        <w:rPr>
          <w:rtl w:val="true"/>
        </w:rPr>
        <w:t>–</w:t>
      </w:r>
      <w:r>
        <w:rPr>
          <w:rtl w:val="true"/>
        </w:rPr>
        <w:t xml:space="preserve"> שכלולה בה גרסת העדר ההסכמה </w:t>
      </w:r>
      <w:r>
        <w:rPr>
          <w:rtl w:val="true"/>
        </w:rPr>
        <w:t>–</w:t>
      </w:r>
      <w:r>
        <w:rPr>
          <w:rtl w:val="true"/>
        </w:rPr>
        <w:t xml:space="preserve"> משכנעת מעל לספק סביר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שעיינתי בראיות ובחנתי אותן גם למול הגרסה החדשה</w:t>
      </w:r>
      <w:r>
        <w:rPr>
          <w:rtl w:val="true"/>
        </w:rPr>
        <w:t xml:space="preserve">, </w:t>
      </w:r>
      <w:r>
        <w:rPr>
          <w:rtl w:val="true"/>
        </w:rPr>
        <w:t>לא ראיתי עילה להתערב במסקנות של דעת הרוב בבית המשפט המחוזי</w:t>
      </w:r>
      <w:r>
        <w:rPr>
          <w:rtl w:val="true"/>
        </w:rPr>
        <w:t xml:space="preserve">. </w:t>
      </w:r>
      <w:r>
        <w:rPr>
          <w:rtl w:val="true"/>
        </w:rPr>
        <w:t xml:space="preserve">אני מסכים לנימוקים של השופטת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. </w:t>
      </w:r>
      <w:r>
        <w:rPr>
          <w:rtl w:val="true"/>
        </w:rPr>
        <w:t xml:space="preserve">עליהם אוסיף את ההתרשמות מהמתלוננת בעת העימות בינה למערער </w:t>
      </w:r>
      <w:r>
        <w:rPr>
          <w:rtl w:val="true"/>
        </w:rPr>
        <w:t>(</w:t>
      </w:r>
      <w:r>
        <w:rPr>
          <w:rtl w:val="true"/>
        </w:rPr>
        <w:t>כאמור לעיל</w:t>
      </w:r>
      <w:r>
        <w:rPr>
          <w:rtl w:val="true"/>
        </w:rPr>
        <w:t xml:space="preserve">). </w:t>
      </w:r>
      <w:r>
        <w:rPr>
          <w:rtl w:val="true"/>
        </w:rPr>
        <w:t>היא סיפרה על מעשים שהעידו בבירור על חוסר הסכמה</w:t>
      </w:r>
      <w:r>
        <w:rPr>
          <w:rtl w:val="true"/>
        </w:rPr>
        <w:t xml:space="preserve">. </w:t>
      </w:r>
      <w:r>
        <w:rPr>
          <w:rtl w:val="true"/>
        </w:rPr>
        <w:t>בציטוט הראשון שאביא היא דיברה על אירוע האונס</w:t>
      </w:r>
      <w:r>
        <w:rPr>
          <w:rtl w:val="true"/>
        </w:rPr>
        <w:t xml:space="preserve">, </w:t>
      </w:r>
      <w:r>
        <w:rPr>
          <w:rtl w:val="true"/>
        </w:rPr>
        <w:t xml:space="preserve">ובשני </w:t>
      </w:r>
      <w:r>
        <w:rPr>
          <w:rtl w:val="true"/>
        </w:rPr>
        <w:t>–</w:t>
      </w:r>
      <w:r>
        <w:rPr>
          <w:rtl w:val="true"/>
        </w:rPr>
        <w:t xml:space="preserve"> על מקרה של הטרדה מינית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שתפסיק</w:t>
      </w:r>
      <w:r>
        <w:rPr>
          <w:rtl w:val="true"/>
        </w:rPr>
        <w:t xml:space="preserve">, </w:t>
      </w:r>
      <w:r>
        <w:rPr>
          <w:rtl w:val="true"/>
        </w:rPr>
        <w:t>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]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/>
        <w:t>30:17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30:25</w:t>
      </w:r>
      <w:r>
        <w:rPr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35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3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לתכתוב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וקניתי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אחרונה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>? (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/>
        <w:t>32:18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32:29</w:t>
      </w:r>
      <w:r>
        <w:rPr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37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לתכתוב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 העידה גם בבית המשפט על העדר ההסכמה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hanging="1701" w:start="3345" w:end="1282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מרוז</w:t>
      </w:r>
      <w:r>
        <w:rPr>
          <w:rtl w:val="true"/>
        </w:rPr>
        <w:t>: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?</w:t>
      </w:r>
    </w:p>
    <w:p>
      <w:pPr>
        <w:pStyle w:val="Ruller5"/>
        <w:ind w:hanging="1701" w:start="3345" w:end="1282"/>
        <w:jc w:val="both"/>
        <w:rPr/>
      </w:pP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':</w:t>
        <w:tab/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...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>.</w:t>
      </w:r>
    </w:p>
    <w:p>
      <w:pPr>
        <w:pStyle w:val="Ruller5"/>
        <w:ind w:hanging="1701" w:start="3345" w:end="1282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מרוז</w:t>
      </w:r>
      <w:r>
        <w:rPr>
          <w:rtl w:val="true"/>
        </w:rPr>
        <w:t>:</w:t>
        <w:tab/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Ruller5"/>
        <w:ind w:hanging="1701" w:start="3345" w:end="1282"/>
        <w:jc w:val="both"/>
        <w:rPr/>
      </w:pP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':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הסכמתי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נהניתי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>.</w:t>
      </w:r>
    </w:p>
    <w:p>
      <w:pPr>
        <w:pStyle w:val="Ruller5"/>
        <w:ind w:hanging="1701" w:start="3345" w:end="1282"/>
        <w:jc w:val="both"/>
        <w:rPr/>
      </w:pPr>
      <w:r>
        <w:rPr>
          <w:rtl w:val="true"/>
        </w:rPr>
        <w:t>...</w:t>
      </w:r>
    </w:p>
    <w:p>
      <w:pPr>
        <w:pStyle w:val="Ruller5"/>
        <w:ind w:hanging="1701" w:start="3345" w:end="1282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מרוז</w:t>
      </w:r>
      <w:r>
        <w:rPr>
          <w:rtl w:val="true"/>
        </w:rPr>
        <w:t>:</w:t>
        <w:tab/>
      </w:r>
      <w:r>
        <w:rPr>
          <w:rtl w:val="true"/>
        </w:rPr>
        <w:t>..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תפסיק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עליך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מנוול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לרוחך</w:t>
      </w:r>
      <w:r>
        <w:rPr>
          <w:rtl w:val="true"/>
        </w:rPr>
        <w:t>?</w:t>
      </w:r>
    </w:p>
    <w:p>
      <w:pPr>
        <w:pStyle w:val="Ruller5"/>
        <w:ind w:hanging="1701" w:start="3345" w:end="1282"/>
        <w:jc w:val="both"/>
        <w:rPr/>
      </w:pP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':</w:t>
        <w:tab/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להתרחק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>.</w:t>
      </w:r>
    </w:p>
    <w:p>
      <w:pPr>
        <w:pStyle w:val="Ruller5"/>
        <w:ind w:hanging="1701" w:start="3345" w:end="1282"/>
        <w:jc w:val="both"/>
        <w:rPr/>
      </w:pPr>
      <w:r>
        <w:rPr>
          <w:rtl w:val="true"/>
        </w:rPr>
        <w:t>...</w:t>
      </w:r>
    </w:p>
    <w:p>
      <w:pPr>
        <w:pStyle w:val="Ruller5"/>
        <w:ind w:hanging="1701" w:start="3345" w:end="1282"/>
        <w:jc w:val="both"/>
        <w:rPr/>
      </w:pP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':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שהתנגדתי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נהניתי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לעמ</w:t>
      </w:r>
      <w:r>
        <w:rPr>
          <w:rtl w:val="true"/>
        </w:rPr>
        <w:t xml:space="preserve">' </w:t>
      </w:r>
      <w:r>
        <w:rPr/>
        <w:t>126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לעמ</w:t>
      </w:r>
      <w:r>
        <w:rPr>
          <w:rtl w:val="true"/>
        </w:rPr>
        <w:t xml:space="preserve">' </w:t>
      </w:r>
      <w:r>
        <w:rPr/>
        <w:t>369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לעמ</w:t>
      </w:r>
      <w:r>
        <w:rPr>
          <w:rtl w:val="true"/>
        </w:rPr>
        <w:t xml:space="preserve">' </w:t>
      </w:r>
      <w:r>
        <w:rPr/>
        <w:t>376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132/10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טוואצאו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5.9.2011</w:t>
      </w:r>
      <w:r>
        <w:rPr>
          <w:rtl w:val="true"/>
        </w:rPr>
        <w:t xml:space="preserve">);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5938/00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אזולאי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873</w:t>
      </w:r>
      <w:r>
        <w:rPr>
          <w:rtl w:val="true"/>
        </w:rPr>
        <w:t xml:space="preserve">, </w:t>
      </w:r>
      <w:r>
        <w:rPr/>
        <w:t>888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)),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",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, </w:t>
      </w:r>
      <w:r>
        <w:rPr>
          <w:rtl w:val="true"/>
        </w:rPr>
        <w:t>בעיטה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הסוף</w:t>
      </w:r>
      <w:r>
        <w:rPr>
          <w:rtl w:val="true"/>
        </w:rPr>
        <w:t xml:space="preserve">", </w:t>
      </w:r>
      <w:r>
        <w:rPr>
          <w:rtl w:val="true"/>
        </w:rPr>
        <w:t>ובאמירות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בהסכמתי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מזלזלת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ומשפילה</w:t>
      </w:r>
      <w:r>
        <w:rPr>
          <w:rtl w:val="true"/>
        </w:rPr>
        <w:t xml:space="preserve">, </w:t>
      </w:r>
      <w:r>
        <w:rPr>
          <w:rtl w:val="true"/>
        </w:rPr>
        <w:t>המתעלמת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משגרסת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, </w:t>
      </w:r>
      <w:r>
        <w:rPr>
          <w:rtl w:val="true"/>
        </w:rPr>
        <w:t>ובהצטרף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Heading3"/>
        <w:ind w:hanging="0" w:start="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העלאת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: </w:t>
      </w:r>
      <w:r>
        <w:rPr>
          <w:rtl w:val="true"/>
        </w:rPr>
        <w:t>כיצד</w:t>
      </w:r>
      <w:r>
        <w:rPr>
          <w:rtl w:val="true"/>
        </w:rPr>
        <w:t>?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מכל האמור עד כה עולה כי התביעה עמדה בנטל המוטל עליה להוכיח כי המערער עשה במתלוננת עבירות מין שלא בהסכמתה</w:t>
      </w:r>
      <w:r>
        <w:rPr>
          <w:rtl w:val="true"/>
        </w:rPr>
        <w:t xml:space="preserve">. </w:t>
      </w:r>
      <w:r>
        <w:rPr>
          <w:rtl w:val="true"/>
        </w:rPr>
        <w:t>אולם המערער טוען שחלק מהראיות מתיישבות גם עם האפשרות שהמתלוננת הסכימה למעשים</w:t>
      </w:r>
      <w:r>
        <w:rPr>
          <w:rtl w:val="true"/>
        </w:rPr>
        <w:t xml:space="preserve">, </w:t>
      </w:r>
      <w:r>
        <w:rPr>
          <w:rtl w:val="true"/>
        </w:rPr>
        <w:t>ולכן קם לשיטתו ספק סביר בעניין זה</w:t>
      </w:r>
      <w:r>
        <w:rPr>
          <w:rtl w:val="true"/>
        </w:rPr>
        <w:t xml:space="preserve">. </w:t>
      </w:r>
      <w:r>
        <w:rPr>
          <w:rtl w:val="true"/>
        </w:rPr>
        <w:t>הראיות בענייננו ישירות ולא נסיבתיות</w:t>
      </w:r>
      <w:r>
        <w:rPr>
          <w:rtl w:val="true"/>
        </w:rPr>
        <w:t xml:space="preserve">. </w:t>
      </w:r>
      <w:r>
        <w:rPr>
          <w:rtl w:val="true"/>
        </w:rPr>
        <w:t>כאן הספק הסביר</w:t>
      </w:r>
      <w:r>
        <w:rPr>
          <w:rtl w:val="true"/>
        </w:rPr>
        <w:t xml:space="preserve">, </w:t>
      </w:r>
      <w:r>
        <w:rPr>
          <w:rtl w:val="true"/>
        </w:rPr>
        <w:t>להבדיל מספק סתם</w:t>
      </w:r>
      <w:r>
        <w:rPr>
          <w:rtl w:val="true"/>
        </w:rPr>
        <w:t xml:space="preserve">, </w:t>
      </w:r>
      <w:r>
        <w:rPr>
          <w:rtl w:val="true"/>
        </w:rPr>
        <w:t>דורש עיגון של ממש במכלול חומר הראיות</w:t>
      </w:r>
      <w:r>
        <w:rPr>
          <w:rtl w:val="true"/>
        </w:rPr>
        <w:t xml:space="preserve">, </w:t>
      </w:r>
      <w:r>
        <w:rPr>
          <w:rtl w:val="true"/>
        </w:rPr>
        <w:t>באופן שמערער את מערך הראיות לחובת הנאשם</w:t>
      </w:r>
      <w:r>
        <w:rPr>
          <w:rtl w:val="true"/>
        </w:rPr>
        <w:t xml:space="preserve">, </w:t>
      </w:r>
      <w:r>
        <w:rPr>
          <w:rtl w:val="true"/>
        </w:rPr>
        <w:t xml:space="preserve">עד שקם ספק סביר שמא המעשים נעשו בדרך שההגנה טוענת לה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אבו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עסא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7</w:t>
      </w:r>
      <w:r>
        <w:rPr>
          <w:rtl w:val="true"/>
        </w:rPr>
        <w:t xml:space="preserve">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6890/04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בלאוסוב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13.9.2005</w:t>
      </w:r>
      <w:r>
        <w:rPr>
          <w:rtl w:val="true"/>
        </w:rPr>
        <w:t xml:space="preserve">)). </w:t>
      </w:r>
      <w:r>
        <w:rPr>
          <w:rtl w:val="true"/>
        </w:rPr>
        <w:t>על כן אין די בכך שראיות מסוימות מתאימות גם לתרחיש עובדתי אחר</w:t>
      </w:r>
      <w:r>
        <w:rPr>
          <w:rtl w:val="true"/>
        </w:rPr>
        <w:t xml:space="preserve">. </w:t>
      </w:r>
      <w:r>
        <w:rPr>
          <w:rtl w:val="true"/>
        </w:rPr>
        <w:t>יש לבחון את שאלת ההסכמה על רקע מערך הראיות כולו</w:t>
      </w:r>
      <w:r>
        <w:rPr>
          <w:rtl w:val="true"/>
        </w:rPr>
        <w:t xml:space="preserve">, </w:t>
      </w:r>
      <w:r>
        <w:rPr>
          <w:rtl w:val="true"/>
        </w:rPr>
        <w:t>ולהכריע אם האפשרות כי המעשים נעשו בהסכמה היא בגדר אפשרות סבירה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דעת המיעוט בבית המשפט המחוזי תמכה בכמה טענות את הגרסה שלפיה הסכימה המתלוננת למעשי המערער</w:t>
      </w:r>
      <w:r>
        <w:rPr>
          <w:rtl w:val="true"/>
        </w:rPr>
        <w:t xml:space="preserve">. </w:t>
      </w:r>
      <w:r>
        <w:rPr>
          <w:rtl w:val="true"/>
        </w:rPr>
        <w:t>המערער הוסיף עליהן בערעורו</w:t>
      </w:r>
      <w:r>
        <w:rPr>
          <w:rtl w:val="true"/>
        </w:rPr>
        <w:t xml:space="preserve">. </w:t>
      </w:r>
      <w:r>
        <w:rPr>
          <w:rtl w:val="true"/>
        </w:rPr>
        <w:t>אדון תחילה בכל טענה לעצמה</w:t>
      </w:r>
      <w:r>
        <w:rPr>
          <w:rtl w:val="true"/>
        </w:rPr>
        <w:t xml:space="preserve">. </w:t>
      </w:r>
      <w:r>
        <w:rPr>
          <w:rtl w:val="true"/>
        </w:rPr>
        <w:t>לבסוף אבחן אם הן מערערות את המסקנה המרשיעה שעולה מהראיות האחרות</w:t>
      </w:r>
      <w:r>
        <w:rPr>
          <w:rtl w:val="true"/>
        </w:rPr>
        <w:t>.</w:t>
      </w:r>
    </w:p>
    <w:p>
      <w:pPr>
        <w:pStyle w:val="Heading3"/>
        <w:ind w:hanging="0" w:start="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הטענות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הסכמה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סוגיה ראשונה היא סוגיית המסרונים</w:t>
      </w:r>
      <w:r>
        <w:rPr>
          <w:rtl w:val="true"/>
        </w:rPr>
        <w:t xml:space="preserve">. </w:t>
      </w:r>
      <w:r>
        <w:rPr>
          <w:rtl w:val="true"/>
        </w:rPr>
        <w:t xml:space="preserve">גם השופט </w:t>
      </w:r>
      <w:r>
        <w:rPr>
          <w:rFonts w:cs="Miriam"/>
          <w:spacing w:val="0"/>
          <w:szCs w:val="24"/>
          <w:rtl w:val="true"/>
        </w:rPr>
        <w:t>אינפלד</w:t>
      </w:r>
      <w:r>
        <w:rPr>
          <w:rtl w:val="true"/>
        </w:rPr>
        <w:t xml:space="preserve"> ציין שזו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התמיהה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היחידה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שיש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משקל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ממש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התמיהות בעניין זה נחלקות לשניים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לא ברור מדוע המתלוננת הכחישה ששלחה למערער מאות מסרונים</w:t>
      </w:r>
      <w:r>
        <w:rPr>
          <w:rtl w:val="true"/>
        </w:rPr>
        <w:t xml:space="preserve">, </w:t>
      </w:r>
      <w:r>
        <w:rPr>
          <w:rtl w:val="true"/>
        </w:rPr>
        <w:t>להבדיל משיחות טלפון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המתלוננת המשיכה לשלוח למערער מסרונים גם לאחר שלא נדרשה עוד להיות עימו בקשר משהופרך חששה בקשר לקבלת וסת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 סבר כי כל אחת מהתמיהות הללו עשויה להצביע על כך שהמתלוננת ביקשה להסתיר ראיות לטיב יחסיה עם המערער</w:t>
      </w:r>
      <w:r>
        <w:rPr>
          <w:rtl w:val="true"/>
        </w:rPr>
        <w:t xml:space="preserve">, </w:t>
      </w:r>
      <w:r>
        <w:rPr>
          <w:rtl w:val="true"/>
        </w:rPr>
        <w:t>כלומר לכך שהיחסים המיניים ביניהם היו בהסכמה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את סוגיית המסרונים יש לבחון על רקע הראיות והנסיבות כולן ובשים לב לכלל שהתנהגות של נפגעת עבירת מין אינה בהכרח זו שצופה מן הצד מצפה לה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3217/14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שמיים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(</w:t>
      </w:r>
      <w:r>
        <w:rPr/>
        <w:t>31.7.2016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שמיים</w:t>
      </w:r>
      <w:r>
        <w:rPr>
          <w:rtl w:val="true"/>
        </w:rPr>
        <w:t xml:space="preserve">)). </w:t>
      </w:r>
      <w:r>
        <w:rPr>
          <w:rtl w:val="true"/>
        </w:rPr>
        <w:t>לאחר בחינה יסודית של עניין זה מצאתי שאין בכוחן של התהיות שהועלו בעניין המסרונים כדי להקים ספק סביר באשמת המערער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 הצביעה על כך שהמתלוננת הבחינה בין שיחות שניהלה עם חברים למסרונים עם אחרים </w:t>
      </w:r>
      <w:r>
        <w:rPr>
          <w:rtl w:val="true"/>
        </w:rPr>
        <w:t>(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מיוזמתי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לשלוח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לו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הודעות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כמו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עם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חברים</w:t>
      </w:r>
      <w:r>
        <w:rPr>
          <w:rFonts w:cs="Miriam"/>
          <w:spacing w:val="0"/>
          <w:szCs w:val="24"/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זה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לא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יכול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להיות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בחיים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כמובא לעיל</w:t>
      </w:r>
      <w:r>
        <w:rPr>
          <w:rtl w:val="true"/>
        </w:rPr>
        <w:t xml:space="preserve">), </w:t>
      </w:r>
      <w:r>
        <w:rPr>
          <w:rtl w:val="true"/>
        </w:rPr>
        <w:t>וטענה שלא יזמה שיחות מהסוג הראשון דווקא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המתלוננת אישרה שהיו שיחות בינה למערער ולא הכחישה לחלוטין קשר ביניהם</w:t>
      </w:r>
      <w:r>
        <w:rPr>
          <w:rtl w:val="true"/>
        </w:rPr>
        <w:t xml:space="preserve">. </w:t>
      </w:r>
      <w:r>
        <w:rPr>
          <w:rtl w:val="true"/>
        </w:rPr>
        <w:t xml:space="preserve">היא אף אמרה במפורש בעימות שהיא מקווה שהחוקרים הוציאו את פירוט השיחות שלה עם המערער </w:t>
      </w:r>
      <w:r>
        <w:rPr>
          <w:rtl w:val="true"/>
        </w:rPr>
        <w:t>(</w:t>
      </w:r>
      <w:r>
        <w:rPr>
          <w:rtl w:val="true"/>
        </w:rPr>
        <w:t>ראו עמ</w:t>
      </w:r>
      <w:r>
        <w:rPr>
          <w:rtl w:val="true"/>
        </w:rPr>
        <w:t xml:space="preserve">'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. </w:t>
      </w:r>
      <w:r>
        <w:rPr>
          <w:rtl w:val="true"/>
        </w:rPr>
        <w:t xml:space="preserve">כמו השופטת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, </w:t>
      </w:r>
      <w:r>
        <w:rPr>
          <w:rtl w:val="true"/>
        </w:rPr>
        <w:t>אני סבור שמילים אלו נשמעות בהקלטה</w:t>
      </w:r>
      <w:r>
        <w:rPr>
          <w:rtl w:val="true"/>
        </w:rPr>
        <w:t xml:space="preserve">). </w:t>
      </w:r>
      <w:r>
        <w:rPr>
          <w:rtl w:val="true"/>
        </w:rPr>
        <w:t>משמע</w:t>
      </w:r>
      <w:r>
        <w:rPr>
          <w:rtl w:val="true"/>
        </w:rPr>
        <w:t xml:space="preserve">: </w:t>
      </w:r>
      <w:r>
        <w:rPr>
          <w:rtl w:val="true"/>
        </w:rPr>
        <w:t>המתלוננת הודתה שהייתה תקשורת בינה למערער וידעה שיתגלו ראיות לכך</w:t>
      </w:r>
      <w:r>
        <w:rPr>
          <w:rtl w:val="true"/>
        </w:rPr>
        <w:t xml:space="preserve">. </w:t>
      </w:r>
      <w:r>
        <w:rPr>
          <w:rtl w:val="true"/>
        </w:rPr>
        <w:t>היא לא הסתירה את עצם התקשורת</w:t>
      </w:r>
      <w:r>
        <w:rPr>
          <w:rtl w:val="true"/>
        </w:rPr>
        <w:t xml:space="preserve">, </w:t>
      </w:r>
      <w:r>
        <w:rPr>
          <w:rtl w:val="true"/>
        </w:rPr>
        <w:t>והמינוח המדויק אינו מעלה ואינו מוריד</w:t>
      </w:r>
      <w:r>
        <w:rPr>
          <w:rtl w:val="true"/>
        </w:rPr>
        <w:t>;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 xml:space="preserve">כפי שהראו השופטים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 ו</w:t>
      </w:r>
      <w:r>
        <w:rPr>
          <w:rFonts w:cs="Miriam"/>
          <w:spacing w:val="0"/>
          <w:szCs w:val="24"/>
          <w:rtl w:val="true"/>
        </w:rPr>
        <w:t>אינפלד</w:t>
      </w:r>
      <w:r>
        <w:rPr>
          <w:rtl w:val="true"/>
        </w:rPr>
        <w:t xml:space="preserve">, </w:t>
      </w:r>
      <w:r>
        <w:rPr>
          <w:rtl w:val="true"/>
        </w:rPr>
        <w:t>עיון בתאריכי המסרונים מעלה שדפוס ההתכתבות בין הצדדים השתנה</w:t>
      </w:r>
      <w:r>
        <w:rPr>
          <w:rtl w:val="true"/>
        </w:rPr>
        <w:t xml:space="preserve">. </w:t>
      </w:r>
      <w:r>
        <w:rPr>
          <w:rtl w:val="true"/>
        </w:rPr>
        <w:t>תחילה המתלוננת יזמה את עיקר המסרונים</w:t>
      </w:r>
      <w:r>
        <w:rPr>
          <w:rtl w:val="true"/>
        </w:rPr>
        <w:t xml:space="preserve">, </w:t>
      </w:r>
      <w:r>
        <w:rPr>
          <w:rtl w:val="true"/>
        </w:rPr>
        <w:t>ואחר כך המערער היה היוזם</w:t>
      </w:r>
      <w:r>
        <w:rPr>
          <w:rtl w:val="true"/>
        </w:rPr>
        <w:t xml:space="preserve">. </w:t>
      </w:r>
      <w:r>
        <w:rPr>
          <w:rtl w:val="true"/>
        </w:rPr>
        <w:t>מועד השינוי עולה בקנה אחד דווקא עם הגרסה שלפיה המתלוננת יזמה תקשורת בעניין החשש שנכנסה להיריון</w:t>
      </w:r>
      <w:r>
        <w:rPr>
          <w:rtl w:val="true"/>
        </w:rPr>
        <w:t xml:space="preserve">, </w:t>
      </w:r>
      <w:r>
        <w:rPr>
          <w:rtl w:val="true"/>
        </w:rPr>
        <w:t>והמערער יזם שיחות לאחר שוך החשש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כפי שכבר נזכר</w:t>
      </w:r>
      <w:r>
        <w:rPr>
          <w:rtl w:val="true"/>
        </w:rPr>
        <w:t xml:space="preserve">, </w:t>
      </w:r>
      <w:r>
        <w:rPr>
          <w:rtl w:val="true"/>
        </w:rPr>
        <w:t>המתלוננת ביקשה לשמור בסוד את שעשה לה המערער</w:t>
      </w:r>
      <w:r>
        <w:rPr>
          <w:rtl w:val="true"/>
        </w:rPr>
        <w:t xml:space="preserve">, </w:t>
      </w:r>
      <w:r>
        <w:rPr>
          <w:rtl w:val="true"/>
        </w:rPr>
        <w:t>ועל כן לא ניתקה באופן מוחלט כל קשר עם המערער</w:t>
      </w:r>
      <w:r>
        <w:rPr>
          <w:rtl w:val="true"/>
        </w:rPr>
        <w:t xml:space="preserve">. </w:t>
      </w:r>
      <w:r>
        <w:rPr>
          <w:rtl w:val="true"/>
        </w:rPr>
        <w:t>משבחרה בדרך זו</w:t>
      </w:r>
      <w:r>
        <w:rPr>
          <w:rtl w:val="true"/>
        </w:rPr>
        <w:t xml:space="preserve">, </w:t>
      </w:r>
      <w:r>
        <w:rPr>
          <w:rtl w:val="true"/>
        </w:rPr>
        <w:t xml:space="preserve">ממילא לא ניתן ללמוד דבר מעצם העובדה שהמשיכה לענות גם למסרונים ממנו </w:t>
      </w:r>
      <w:r>
        <w:rPr>
          <w:rtl w:val="true"/>
        </w:rPr>
        <w:t>(</w:t>
      </w:r>
      <w:r>
        <w:rPr>
          <w:rtl w:val="true"/>
        </w:rPr>
        <w:t>כמובהר</w:t>
      </w:r>
      <w:r>
        <w:rPr>
          <w:rtl w:val="true"/>
        </w:rPr>
        <w:t xml:space="preserve">, </w:t>
      </w:r>
      <w:r>
        <w:rPr>
          <w:rtl w:val="true"/>
        </w:rPr>
        <w:t>את תוכן המסרונים לא היה ניתן לאחזר</w:t>
      </w:r>
      <w:r>
        <w:rPr>
          <w:rtl w:val="true"/>
        </w:rPr>
        <w:t xml:space="preserve">, </w:t>
      </w:r>
      <w:r>
        <w:rPr>
          <w:rtl w:val="true"/>
        </w:rPr>
        <w:t xml:space="preserve">ועל כן יש לפנינו ראיות רק לעצם קיומו של קשר מסרונים </w:t>
      </w:r>
      <w:r>
        <w:rPr>
          <w:rtl w:val="true"/>
        </w:rPr>
        <w:t>–</w:t>
      </w:r>
      <w:r>
        <w:rPr>
          <w:rtl w:val="true"/>
        </w:rPr>
        <w:t xml:space="preserve"> לא לתוכנו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סוגיה נוספת עניינה התנהגות המתלוננת לאחר המעשים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 ציין שהיא שבה לחנות פעמים רבות לאחר עבירות המין</w:t>
      </w:r>
      <w:r>
        <w:rPr>
          <w:rtl w:val="true"/>
        </w:rPr>
        <w:t xml:space="preserve">. </w:t>
      </w:r>
      <w:r>
        <w:rPr>
          <w:rtl w:val="true"/>
        </w:rPr>
        <w:t>המערער הוסיף שהיא ביקשה ממנו סיוע בפרשות הכספומט והארטיק</w:t>
      </w:r>
      <w:r>
        <w:rPr>
          <w:rtl w:val="true"/>
        </w:rPr>
        <w:t xml:space="preserve">. </w:t>
      </w:r>
      <w:r>
        <w:rPr>
          <w:rtl w:val="true"/>
        </w:rPr>
        <w:t>פעולות אלו עשויות להצביע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על שהיא הסכימה למעשי המערער</w:t>
      </w:r>
      <w:r>
        <w:rPr>
          <w:rtl w:val="true"/>
        </w:rPr>
        <w:t xml:space="preserve">, </w:t>
      </w:r>
      <w:r>
        <w:rPr>
          <w:rtl w:val="true"/>
        </w:rPr>
        <w:t>שאחרת הייתה נמנעת מקשר עימו</w:t>
      </w:r>
      <w:r>
        <w:rPr>
          <w:rtl w:val="true"/>
        </w:rPr>
        <w:t xml:space="preserve">. </w:t>
      </w:r>
      <w:r>
        <w:rPr>
          <w:rtl w:val="true"/>
        </w:rPr>
        <w:t>אף טענות אלו יש לבחון על בסיס המאפיינים של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החנות של המערער הייתה קרובה לבית של המתלוננת </w:t>
      </w:r>
      <w:r>
        <w:rPr>
          <w:rtl w:val="true"/>
        </w:rPr>
        <w:t>(</w:t>
      </w:r>
      <w:r>
        <w:rPr>
          <w:rtl w:val="true"/>
        </w:rPr>
        <w:t>ההגנה העלתה אפשרות לרכוש בחנות שקרובה לבית הספר של המתלוננת</w:t>
      </w:r>
      <w:r>
        <w:rPr>
          <w:rtl w:val="true"/>
        </w:rPr>
        <w:t xml:space="preserve">, </w:t>
      </w:r>
      <w:r>
        <w:rPr>
          <w:rtl w:val="true"/>
        </w:rPr>
        <w:t>אולם היא רחוקה ואינה במסלול ההליכה של המתלוננת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76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המתלוננת ובני משפחתה נהגו לרכוש מוצרים בחנות של המערער</w:t>
      </w:r>
      <w:r>
        <w:rPr>
          <w:rtl w:val="true"/>
        </w:rPr>
        <w:t xml:space="preserve">. </w:t>
      </w:r>
      <w:r>
        <w:rPr>
          <w:rtl w:val="true"/>
        </w:rPr>
        <w:t>כפי שכבר צוין</w:t>
      </w:r>
      <w:r>
        <w:rPr>
          <w:rtl w:val="true"/>
        </w:rPr>
        <w:t xml:space="preserve">, </w:t>
      </w:r>
      <w:r>
        <w:rPr>
          <w:rtl w:val="true"/>
        </w:rPr>
        <w:t>אילו הייתה המתלוננת משנה ממנהגה</w:t>
      </w:r>
      <w:r>
        <w:rPr>
          <w:rtl w:val="true"/>
        </w:rPr>
        <w:t xml:space="preserve">, </w:t>
      </w:r>
      <w:r>
        <w:rPr>
          <w:rtl w:val="true"/>
        </w:rPr>
        <w:t>הקניות היו אורכות זמן רב יותר</w:t>
      </w:r>
      <w:r>
        <w:rPr>
          <w:rtl w:val="true"/>
        </w:rPr>
        <w:t xml:space="preserve">. </w:t>
      </w:r>
      <w:r>
        <w:rPr>
          <w:rtl w:val="true"/>
        </w:rPr>
        <w:t xml:space="preserve">היא הייתה מעוררת בהם חשד שמשהו אירע </w:t>
      </w:r>
      <w:r>
        <w:rPr>
          <w:rtl w:val="true"/>
        </w:rPr>
        <w:t>–</w:t>
      </w:r>
      <w:r>
        <w:rPr>
          <w:rtl w:val="true"/>
        </w:rPr>
        <w:t xml:space="preserve"> אותו חשד שהיא ביקשה להימנע ממנו </w:t>
      </w:r>
      <w:r>
        <w:rPr>
          <w:rtl w:val="true"/>
        </w:rPr>
        <w:t>(</w:t>
      </w:r>
      <w:r>
        <w:rPr>
          <w:rtl w:val="true"/>
        </w:rPr>
        <w:t>ראו למשל ש</w:t>
      </w:r>
      <w:r>
        <w:rPr>
          <w:rtl w:val="true"/>
        </w:rPr>
        <w:t xml:space="preserve">' </w:t>
      </w:r>
      <w:r>
        <w:rPr/>
        <w:t>16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 xml:space="preserve">אין זהו ההליך הפלילי הראשון שבמהלכו עולה כי נפגעות ונפגעי עבירת מין שבים ונפגשים עם מי שפגע בהם </w:t>
      </w:r>
      <w:r>
        <w:rPr>
          <w:rtl w:val="true"/>
        </w:rPr>
        <w:t>(</w:t>
      </w:r>
      <w:r>
        <w:rPr>
          <w:rtl w:val="true"/>
        </w:rPr>
        <w:t>השוו למשל ל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1647/17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43</w:t>
      </w:r>
      <w:r>
        <w:rPr>
          <w:rtl w:val="true"/>
        </w:rPr>
        <w:t xml:space="preserve"> (</w:t>
      </w:r>
      <w:r>
        <w:rPr/>
        <w:t>9.1.2019</w:t>
      </w:r>
      <w:r>
        <w:rPr>
          <w:rtl w:val="true"/>
        </w:rPr>
        <w:t xml:space="preserve">)) </w:t>
      </w:r>
      <w:r>
        <w:rPr>
          <w:rtl w:val="true"/>
        </w:rPr>
        <w:t xml:space="preserve">או ממשיכים לבקר בחנות שלו </w:t>
      </w:r>
      <w:r>
        <w:rPr>
          <w:rtl w:val="true"/>
        </w:rPr>
        <w:t>(</w:t>
      </w:r>
      <w:hyperlink r:id="rId70"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</w:rPr>
          <w:t>7082/09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משהייתה בחנות של המערער ונזקקה לסיוע בפרשות הכספומט והארטיק</w:t>
      </w:r>
      <w:r>
        <w:rPr>
          <w:rtl w:val="true"/>
        </w:rPr>
        <w:t xml:space="preserve">, </w:t>
      </w:r>
      <w:r>
        <w:rPr>
          <w:rtl w:val="true"/>
        </w:rPr>
        <w:t xml:space="preserve">טבעי שתבקש סיוע מהאדם היחיד שנמצא במקום </w:t>
      </w:r>
      <w:r>
        <w:rPr>
          <w:rtl w:val="true"/>
        </w:rPr>
        <w:t>(</w:t>
      </w:r>
      <w:r>
        <w:rPr>
          <w:rtl w:val="true"/>
        </w:rPr>
        <w:t>בפרשת הכספומט</w:t>
      </w:r>
      <w:r>
        <w:rPr>
          <w:rtl w:val="true"/>
        </w:rPr>
        <w:t xml:space="preserve">) </w:t>
      </w:r>
      <w:r>
        <w:rPr>
          <w:rtl w:val="true"/>
        </w:rPr>
        <w:t xml:space="preserve">או מנותן השירות העיקרי במקום </w:t>
      </w:r>
      <w:r>
        <w:rPr>
          <w:rtl w:val="true"/>
        </w:rPr>
        <w:t>(</w:t>
      </w:r>
      <w:r>
        <w:rPr>
          <w:rtl w:val="true"/>
        </w:rPr>
        <w:t>בפרשת הארטיק</w:t>
      </w:r>
      <w:r>
        <w:rPr>
          <w:rtl w:val="true"/>
        </w:rPr>
        <w:t xml:space="preserve">). </w:t>
      </w:r>
      <w:r>
        <w:rPr>
          <w:rtl w:val="true"/>
        </w:rPr>
        <w:t>באלה</w:t>
      </w:r>
      <w:r>
        <w:rPr>
          <w:rtl w:val="true"/>
        </w:rPr>
        <w:t xml:space="preserve">,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אין כדי ללמד על כך שנתנה הסכמתה ליחסים בעלי אופי מיני עם נותן השירות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שתי הטענות הבאות שהעלה השופט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 הן טענה בסיסית וטענה שנבנית על גביה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המתלוננת טענה שבמקרים הרבים של מעשים מגונים נגע המערער באיבר מינה וביקש שתבדוק אם בא לקוח</w:t>
      </w:r>
      <w:r>
        <w:rPr>
          <w:rtl w:val="true"/>
        </w:rPr>
        <w:t xml:space="preserve">. </w:t>
      </w:r>
      <w:r>
        <w:rPr>
          <w:rtl w:val="true"/>
        </w:rPr>
        <w:t>יכול להיות שאם היו מקרים רבים כאלו</w:t>
      </w:r>
      <w:r>
        <w:rPr>
          <w:rtl w:val="true"/>
        </w:rPr>
        <w:t xml:space="preserve">, </w:t>
      </w:r>
      <w:r>
        <w:rPr>
          <w:rtl w:val="true"/>
        </w:rPr>
        <w:t>היא הסכימה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אם ההטרדות היו בהסכמה</w:t>
      </w:r>
      <w:r>
        <w:rPr>
          <w:rtl w:val="true"/>
        </w:rPr>
        <w:t xml:space="preserve">, </w:t>
      </w:r>
      <w:r>
        <w:rPr>
          <w:rtl w:val="true"/>
        </w:rPr>
        <w:t xml:space="preserve">אפשר שגם האונס </w:t>
      </w:r>
      <w:r>
        <w:rPr>
          <w:rtl w:val="true"/>
        </w:rPr>
        <w:t>(</w:t>
      </w:r>
      <w:r>
        <w:rPr>
          <w:rtl w:val="true"/>
        </w:rPr>
        <w:t>שהמתלוננת תיארה כהתפתחות לאחר ההטרדות והמעשים המגונים</w:t>
      </w:r>
      <w:r>
        <w:rPr>
          <w:rtl w:val="true"/>
        </w:rPr>
        <w:t xml:space="preserve">) </w:t>
      </w:r>
      <w:r>
        <w:rPr>
          <w:rtl w:val="true"/>
        </w:rPr>
        <w:t>היה בהסכמה</w:t>
      </w:r>
      <w:r>
        <w:rPr>
          <w:rtl w:val="true"/>
        </w:rPr>
        <w:t xml:space="preserve">. </w:t>
      </w:r>
      <w:r>
        <w:rPr>
          <w:rtl w:val="true"/>
        </w:rPr>
        <w:t>הינה כי כן</w:t>
      </w:r>
      <w:r>
        <w:rPr>
          <w:rtl w:val="true"/>
        </w:rPr>
        <w:t xml:space="preserve">, </w:t>
      </w:r>
      <w:r>
        <w:rPr>
          <w:rtl w:val="true"/>
        </w:rPr>
        <w:t>לפי הטענה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ריבוי המעשים וריבוי </w:t>
      </w:r>
      <w:r>
        <w:rPr>
          <w:rtl w:val="true"/>
        </w:rPr>
        <w:t>"</w:t>
      </w:r>
      <w:r>
        <w:rPr>
          <w:rtl w:val="true"/>
        </w:rPr>
        <w:t>שיתופי הפעולה</w:t>
      </w:r>
      <w:r>
        <w:rPr>
          <w:rtl w:val="true"/>
        </w:rPr>
        <w:t xml:space="preserve">" </w:t>
      </w:r>
      <w:r>
        <w:rPr>
          <w:rtl w:val="true"/>
        </w:rPr>
        <w:t>של המתלוננת עם המערער בכך שווידאה שאין רואים אותם</w:t>
      </w:r>
      <w:r>
        <w:rPr>
          <w:rtl w:val="true"/>
        </w:rPr>
        <w:t xml:space="preserve">, </w:t>
      </w:r>
      <w:r>
        <w:rPr>
          <w:rtl w:val="true"/>
        </w:rPr>
        <w:t>עשויים להעיד על הסכמה</w:t>
      </w:r>
      <w:r>
        <w:rPr>
          <w:rtl w:val="true"/>
        </w:rPr>
        <w:t xml:space="preserve">. </w:t>
      </w:r>
      <w:r>
        <w:rPr>
          <w:rtl w:val="true"/>
        </w:rPr>
        <w:t xml:space="preserve">כפי שהסביר השופט </w:t>
      </w:r>
      <w:r>
        <w:rPr>
          <w:rFonts w:cs="Miriam"/>
          <w:spacing w:val="0"/>
          <w:szCs w:val="24"/>
          <w:rtl w:val="true"/>
        </w:rPr>
        <w:t>אינפלד</w:t>
      </w:r>
      <w:r>
        <w:rPr>
          <w:rtl w:val="true"/>
        </w:rPr>
        <w:t xml:space="preserve">, </w:t>
      </w:r>
      <w:r>
        <w:rPr>
          <w:rtl w:val="true"/>
        </w:rPr>
        <w:t>ההפך הוא הנכון</w:t>
      </w:r>
      <w:r>
        <w:rPr>
          <w:rtl w:val="true"/>
        </w:rPr>
        <w:t xml:space="preserve">.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המתלוננת לא הייתה מעוניינת במעשי המערער</w:t>
      </w:r>
      <w:r>
        <w:rPr>
          <w:rtl w:val="true"/>
        </w:rPr>
        <w:t xml:space="preserve">, </w:t>
      </w:r>
      <w:r>
        <w:rPr>
          <w:rtl w:val="true"/>
        </w:rPr>
        <w:t>כפי שלמדים מעדותה</w:t>
      </w:r>
      <w:r>
        <w:rPr>
          <w:rtl w:val="true"/>
        </w:rPr>
        <w:t xml:space="preserve">.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היא גם לא הייתה מעוניינת בחשיפת המעשים הללו</w:t>
      </w:r>
      <w:r>
        <w:rPr>
          <w:rtl w:val="true"/>
        </w:rPr>
        <w:t xml:space="preserve">, </w:t>
      </w:r>
      <w:r>
        <w:rPr>
          <w:rtl w:val="true"/>
        </w:rPr>
        <w:t>וחששה כי עצם גילויים יטיל עליה אור שלילי</w:t>
      </w:r>
      <w:r>
        <w:rPr>
          <w:rtl w:val="true"/>
        </w:rPr>
        <w:t xml:space="preserve">. </w:t>
      </w:r>
      <w:r>
        <w:rPr>
          <w:rtl w:val="true"/>
        </w:rPr>
        <w:t>המערער ניצל זאת כדי שתסייע לו בהסתרת המעשים</w:t>
      </w:r>
      <w:r>
        <w:rPr>
          <w:rtl w:val="true"/>
        </w:rPr>
        <w:t xml:space="preserve">. </w:t>
      </w:r>
      <w:r>
        <w:rPr>
          <w:rtl w:val="true"/>
        </w:rPr>
        <w:t>לא שיתוף פעולה והסכמה יש כאן</w:t>
      </w:r>
      <w:r>
        <w:rPr>
          <w:rtl w:val="true"/>
        </w:rPr>
        <w:t xml:space="preserve">, </w:t>
      </w:r>
      <w:r>
        <w:rPr>
          <w:rtl w:val="true"/>
        </w:rPr>
        <w:t>אלא ניצול וכפייה</w:t>
      </w:r>
      <w:r>
        <w:rPr>
          <w:rtl w:val="true"/>
        </w:rPr>
        <w:t xml:space="preserve">. </w:t>
      </w:r>
      <w:r>
        <w:rPr>
          <w:rtl w:val="true"/>
        </w:rPr>
        <w:t>כך נשמט הבסיס גם מתחת לטענה השנייה</w:t>
      </w:r>
      <w:r>
        <w:rPr>
          <w:rtl w:val="true"/>
        </w:rPr>
        <w:t>. "</w:t>
      </w:r>
      <w:r>
        <w:rPr>
          <w:rtl w:val="true"/>
        </w:rPr>
        <w:t>שיתוף הפעולה</w:t>
      </w:r>
      <w:r>
        <w:rPr>
          <w:rtl w:val="true"/>
        </w:rPr>
        <w:t xml:space="preserve">" </w:t>
      </w:r>
      <w:r>
        <w:rPr>
          <w:rtl w:val="true"/>
        </w:rPr>
        <w:t>בהסתרת ההטרדות המיניות בוודאי אינו מלמד על הסכמה לקיום יחסי מין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שתי טענות נוספות של השופט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 קשורות זו לזו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המתלוננת מסרה לנשים שונות מקומות שונים שבהם התרחש האונס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המתלוננת תיארה תחילה שבמהלך האונס ישב המערער על כיסא</w:t>
      </w:r>
      <w:r>
        <w:rPr>
          <w:rtl w:val="true"/>
        </w:rPr>
        <w:t xml:space="preserve">, </w:t>
      </w:r>
      <w:r>
        <w:rPr>
          <w:rtl w:val="true"/>
        </w:rPr>
        <w:t>ולאחר מכן הכחישה פרט זה</w:t>
      </w:r>
      <w:r>
        <w:rPr>
          <w:rtl w:val="true"/>
        </w:rPr>
        <w:t xml:space="preserve">. </w:t>
      </w:r>
      <w:r>
        <w:rPr>
          <w:rtl w:val="true"/>
        </w:rPr>
        <w:t xml:space="preserve">לדעת השופט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, </w:t>
      </w:r>
      <w:r>
        <w:rPr>
          <w:rtl w:val="true"/>
        </w:rPr>
        <w:t>ההבדלים בתיאורים מצביעים על האפשרות שהמתלוננת והמערער קיימו יחסי מין כמה פעמים</w:t>
      </w:r>
      <w:r>
        <w:rPr>
          <w:rtl w:val="true"/>
        </w:rPr>
        <w:t xml:space="preserve">, </w:t>
      </w:r>
      <w:r>
        <w:rPr>
          <w:rtl w:val="true"/>
        </w:rPr>
        <w:t>והיא תיארה לאחר מכן לכל אחת מבנות שיחה ובשלבים שונים מקרה אחר של קיום יחסי מין</w:t>
      </w:r>
      <w:r>
        <w:rPr>
          <w:rtl w:val="true"/>
        </w:rPr>
        <w:t xml:space="preserve">. </w:t>
      </w:r>
      <w:r>
        <w:rPr>
          <w:rtl w:val="true"/>
        </w:rPr>
        <w:t>ריבוי המקרים מצביע גם כן</w:t>
      </w:r>
      <w:r>
        <w:rPr>
          <w:rtl w:val="true"/>
        </w:rPr>
        <w:t xml:space="preserve">, </w:t>
      </w:r>
      <w:r>
        <w:rPr>
          <w:rtl w:val="true"/>
        </w:rPr>
        <w:t>לפי הטענה</w:t>
      </w:r>
      <w:r>
        <w:rPr>
          <w:rtl w:val="true"/>
        </w:rPr>
        <w:t xml:space="preserve">, </w:t>
      </w:r>
      <w:r>
        <w:rPr>
          <w:rtl w:val="true"/>
        </w:rPr>
        <w:t>על הסכמה שלה למעשים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אין לייחס להבדלים בגרסאות המתלוננת את שמבקש הטוען ללמוד מהם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המתלוננת נזהרה שלא לייחס למערער דברים שלא אירעו</w:t>
      </w:r>
      <w:r>
        <w:rPr>
          <w:rtl w:val="true"/>
        </w:rPr>
        <w:t xml:space="preserve">. </w:t>
      </w:r>
      <w:r>
        <w:rPr>
          <w:rtl w:val="true"/>
        </w:rPr>
        <w:t>קשה ליישב זאת עם טענה סתמית שהיא הסתירה מקרים של יחסי מין בהסכמה</w:t>
      </w:r>
      <w:r>
        <w:rPr>
          <w:rtl w:val="true"/>
        </w:rPr>
        <w:t xml:space="preserve">. </w:t>
      </w:r>
      <w:r>
        <w:rPr>
          <w:rtl w:val="true"/>
        </w:rPr>
        <w:t>לבד מכך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cs="Miriam"/>
          <w:spacing w:val="0"/>
          <w:szCs w:val="24"/>
          <w:rtl w:val="true"/>
        </w:rPr>
        <w:t>סלוטקי</w:t>
      </w:r>
      <w:r>
        <w:rPr>
          <w:rtl w:val="true"/>
        </w:rPr>
        <w:t xml:space="preserve"> והשופט </w:t>
      </w:r>
      <w:r>
        <w:rPr>
          <w:rFonts w:cs="Miriam"/>
          <w:spacing w:val="0"/>
          <w:szCs w:val="24"/>
          <w:rtl w:val="true"/>
        </w:rPr>
        <w:t>אינפלד</w:t>
      </w:r>
      <w:r>
        <w:rPr>
          <w:rtl w:val="true"/>
        </w:rPr>
        <w:t xml:space="preserve"> תירצו היטב את ההבדלים שתוארו</w:t>
      </w:r>
      <w:r>
        <w:rPr>
          <w:rtl w:val="true"/>
        </w:rPr>
        <w:t xml:space="preserve">. </w:t>
      </w:r>
      <w:r>
        <w:rPr>
          <w:rtl w:val="true"/>
        </w:rPr>
        <w:t>השוני בתיאורי מקום האונס מקורו בפרשנויות שונות של העדות למה שאמרה להן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סוגיית הכיסא </w:t>
      </w:r>
      <w:r>
        <w:rPr>
          <w:rtl w:val="true"/>
        </w:rPr>
        <w:t>–</w:t>
      </w:r>
      <w:r>
        <w:rPr>
          <w:rtl w:val="true"/>
        </w:rPr>
        <w:t xml:space="preserve"> שבניגוד לסברת השופט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, </w:t>
      </w:r>
      <w:r>
        <w:rPr>
          <w:rtl w:val="true"/>
        </w:rPr>
        <w:t xml:space="preserve">אינו פרט </w:t>
      </w:r>
      <w:r>
        <w:rPr>
          <w:rtl w:val="true"/>
        </w:rPr>
        <w:t>"</w:t>
      </w:r>
      <w:r>
        <w:rPr>
          <w:rtl w:val="true"/>
        </w:rPr>
        <w:t>אינסטרומנטלי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מדגימה שעדים עשויים להתקשות לזכור פרטים מסוימים בעדותם</w:t>
      </w:r>
      <w:r>
        <w:rPr>
          <w:rtl w:val="true"/>
        </w:rPr>
        <w:t xml:space="preserve">. </w:t>
      </w:r>
      <w:r>
        <w:rPr>
          <w:rtl w:val="true"/>
        </w:rPr>
        <w:t>על כל פנים</w:t>
      </w:r>
      <w:r>
        <w:rPr>
          <w:rtl w:val="true"/>
        </w:rPr>
        <w:t xml:space="preserve">, </w:t>
      </w:r>
      <w:r>
        <w:rPr>
          <w:rtl w:val="true"/>
        </w:rPr>
        <w:t>היא ממחישה שהמתלוננת ידעה להתעקש בעדותה לא להוסיף פרטים שלא זכרה באותה 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שאלת ריבוי המעשים מובילה לטענה אחרת</w:t>
      </w:r>
      <w:r>
        <w:rPr>
          <w:rtl w:val="true"/>
        </w:rPr>
        <w:t xml:space="preserve">. </w:t>
      </w:r>
      <w:r>
        <w:rPr>
          <w:rtl w:val="true"/>
        </w:rPr>
        <w:t>המתלוננת התלוננה במשטרה על שני מעשים מגונים</w:t>
      </w:r>
      <w:r>
        <w:rPr>
          <w:rtl w:val="true"/>
        </w:rPr>
        <w:t xml:space="preserve">, </w:t>
      </w:r>
      <w:r>
        <w:rPr>
          <w:rtl w:val="true"/>
        </w:rPr>
        <w:t>ובבית המשפט טענה שהיו מעשים מגונים רבים</w:t>
      </w:r>
      <w:r>
        <w:rPr>
          <w:rtl w:val="true"/>
        </w:rPr>
        <w:t xml:space="preserve">. </w:t>
      </w:r>
      <w:r>
        <w:rPr>
          <w:rtl w:val="true"/>
        </w:rPr>
        <w:t>המתלוננת תירצה זאת בכך שבחקירתה במשטרה היא חששה פן דבריה לא יישמעו אמינים</w:t>
      </w:r>
      <w:r>
        <w:rPr>
          <w:rtl w:val="true"/>
        </w:rPr>
        <w:t xml:space="preserve">. </w:t>
      </w:r>
      <w:r>
        <w:rPr>
          <w:rtl w:val="true"/>
        </w:rPr>
        <w:t xml:space="preserve">לדעת השופט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, </w:t>
      </w:r>
      <w:r>
        <w:rPr>
          <w:rtl w:val="true"/>
        </w:rPr>
        <w:t>יש חשש שגם במקרים אחרים השמיטה המתלוננת פרטים</w:t>
      </w:r>
      <w:r>
        <w:rPr>
          <w:rtl w:val="true"/>
        </w:rPr>
        <w:t xml:space="preserve">. </w:t>
      </w:r>
      <w:r>
        <w:rPr>
          <w:rtl w:val="true"/>
        </w:rPr>
        <w:t>הואיל ודחיתי לגופן טענות אחרות להשמטת פרטים</w:t>
      </w:r>
      <w:r>
        <w:rPr>
          <w:rtl w:val="true"/>
        </w:rPr>
        <w:t xml:space="preserve">, </w:t>
      </w:r>
      <w:r>
        <w:rPr>
          <w:rtl w:val="true"/>
        </w:rPr>
        <w:t>איני מוצא כוח משכנע בטענה זו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שופטי הרוב הבהירו את דברי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היא חששה לסתור את עצמה בחקירה במשטרה שכן ניהל אותה חוקר </w:t>
      </w:r>
      <w:r>
        <w:rPr>
          <w:rtl w:val="true"/>
        </w:rPr>
        <w:t>"</w:t>
      </w:r>
      <w:r>
        <w:rPr>
          <w:rtl w:val="true"/>
        </w:rPr>
        <w:t>קשה</w:t>
      </w:r>
      <w:r>
        <w:rPr>
          <w:rtl w:val="true"/>
        </w:rPr>
        <w:t xml:space="preserve">" </w:t>
      </w:r>
      <w:r>
        <w:rPr>
          <w:rtl w:val="true"/>
        </w:rPr>
        <w:t>להתרשמותה</w:t>
      </w:r>
      <w:r>
        <w:rPr>
          <w:rtl w:val="true"/>
        </w:rPr>
        <w:t xml:space="preserve">, </w:t>
      </w:r>
      <w:r>
        <w:rPr>
          <w:rtl w:val="true"/>
        </w:rPr>
        <w:t>שלא כתב דברים שאמרה</w:t>
      </w:r>
      <w:r>
        <w:rPr>
          <w:rtl w:val="true"/>
        </w:rPr>
        <w:t xml:space="preserve">, </w:t>
      </w:r>
      <w:r>
        <w:rPr>
          <w:rtl w:val="true"/>
        </w:rPr>
        <w:t>וממילא בחקירה מאוחרת טענה לפני אותו חוקר שהשמיט חלקים מדבריה</w:t>
      </w:r>
      <w:r>
        <w:rPr>
          <w:rtl w:val="true"/>
        </w:rPr>
        <w:t xml:space="preserve">. </w:t>
      </w:r>
      <w:r>
        <w:rPr>
          <w:rtl w:val="true"/>
        </w:rPr>
        <w:t>יותר מהדרוש ובחריגה מעובדות המקרה שבו עסקינן</w:t>
      </w:r>
      <w:r>
        <w:rPr>
          <w:rtl w:val="true"/>
        </w:rPr>
        <w:t xml:space="preserve">, </w:t>
      </w:r>
      <w:r>
        <w:rPr>
          <w:rtl w:val="true"/>
        </w:rPr>
        <w:t>אוסיף את הברור מאליו</w:t>
      </w:r>
      <w:r>
        <w:rPr>
          <w:rtl w:val="true"/>
        </w:rPr>
        <w:t xml:space="preserve">: </w:t>
      </w:r>
      <w:r>
        <w:rPr>
          <w:rtl w:val="true"/>
        </w:rPr>
        <w:t>גם אם שניים מקיימים יחסי מין כמה פעמים</w:t>
      </w:r>
      <w:r>
        <w:rPr>
          <w:rtl w:val="true"/>
        </w:rPr>
        <w:t xml:space="preserve">, </w:t>
      </w:r>
      <w:r>
        <w:rPr>
          <w:rtl w:val="true"/>
        </w:rPr>
        <w:t>אין זו ראיה מכרעת לכך שבכל אחת מהן הייתה הסכמה של שניהם לקיום המעשים</w:t>
      </w:r>
      <w:r>
        <w:rPr>
          <w:rtl w:val="true"/>
        </w:rPr>
        <w:t xml:space="preserve">. </w:t>
      </w:r>
      <w:r>
        <w:rPr>
          <w:rtl w:val="true"/>
        </w:rPr>
        <w:t>יש לבחון כל מקרה לגופו</w:t>
      </w:r>
      <w:r>
        <w:rPr>
          <w:rtl w:val="true"/>
        </w:rPr>
        <w:t xml:space="preserve">, </w:t>
      </w:r>
      <w:r>
        <w:rPr>
          <w:rtl w:val="true"/>
        </w:rPr>
        <w:t xml:space="preserve">כאמור לעיל </w:t>
      </w:r>
      <w:r>
        <w:rPr>
          <w:rtl w:val="true"/>
        </w:rPr>
        <w:t>(</w:t>
      </w:r>
      <w:r>
        <w:rPr>
          <w:rtl w:val="true"/>
        </w:rPr>
        <w:t xml:space="preserve">למשל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1933/14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11.2.2015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העלה קושי אחר בעדות המתלוננת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היבטים מסוימים בתיאור האונס עולים בקנה אחד עם קיום יחסי מין בהסכמה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אין מדובר בקושי של ממש</w:t>
      </w:r>
      <w:r>
        <w:rPr>
          <w:rtl w:val="true"/>
        </w:rPr>
        <w:t xml:space="preserve">. </w:t>
      </w:r>
      <w:r>
        <w:rPr>
          <w:rtl w:val="true"/>
        </w:rPr>
        <w:t>אפרט בנפרד כל אחד מההיבטים האמורים ואת התייחסותי אליו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397" w:start="397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לפני האונס שם המערער שלט </w:t>
      </w:r>
      <w:r>
        <w:rPr>
          <w:rtl w:val="true"/>
        </w:rPr>
        <w:t>"</w:t>
      </w:r>
      <w:r>
        <w:rPr>
          <w:rtl w:val="true"/>
        </w:rPr>
        <w:t>לא להפריע</w:t>
      </w:r>
      <w:r>
        <w:rPr>
          <w:rtl w:val="true"/>
        </w:rPr>
        <w:t xml:space="preserve">" </w:t>
      </w:r>
      <w:r>
        <w:rPr>
          <w:rtl w:val="true"/>
        </w:rPr>
        <w:t xml:space="preserve">על הדלת </w:t>
      </w:r>
      <w:r>
        <w:rPr>
          <w:rtl w:val="true"/>
        </w:rPr>
        <w:t>–</w:t>
      </w:r>
      <w:r>
        <w:rPr>
          <w:rtl w:val="true"/>
        </w:rPr>
        <w:t xml:space="preserve"> ואולם בין שהמערער קיים יחסי מין עם המתלוננת בהסכמה ובין שבכפייה</w:t>
      </w:r>
      <w:r>
        <w:rPr>
          <w:rtl w:val="true"/>
        </w:rPr>
        <w:t xml:space="preserve">, </w:t>
      </w:r>
      <w:r>
        <w:rPr>
          <w:rtl w:val="true"/>
        </w:rPr>
        <w:t>אין פלא שביקש למנוע מאחרים להיכנס לחנות בזמן מעשה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397" w:start="397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397" w:start="397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המערער נעל את החנות אך השאיר את המפתח במנעול </w:t>
      </w:r>
      <w:r>
        <w:rPr>
          <w:rtl w:val="true"/>
        </w:rPr>
        <w:t>–</w:t>
      </w:r>
      <w:r>
        <w:rPr>
          <w:rtl w:val="true"/>
        </w:rPr>
        <w:t xml:space="preserve"> לכאורה</w:t>
      </w:r>
      <w:r>
        <w:rPr>
          <w:rtl w:val="true"/>
        </w:rPr>
        <w:t xml:space="preserve">, </w:t>
      </w:r>
      <w:r>
        <w:rPr>
          <w:rtl w:val="true"/>
        </w:rPr>
        <w:t>הותרת המפתח בדלת תקל על המתלוננת לפתוח אותה ולהימלט אם אינה מעוניינת להישאר במקום</w:t>
      </w:r>
      <w:r>
        <w:rPr>
          <w:rtl w:val="true"/>
        </w:rPr>
        <w:t xml:space="preserve">. </w:t>
      </w:r>
      <w:r>
        <w:rPr>
          <w:rtl w:val="true"/>
        </w:rPr>
        <w:t xml:space="preserve">אלא שהמערער הפעיל על המתלוננת כוח גופני </w:t>
      </w:r>
      <w:r>
        <w:rPr>
          <w:rtl w:val="true"/>
        </w:rPr>
        <w:t>(</w:t>
      </w:r>
      <w:r>
        <w:rPr>
          <w:rtl w:val="true"/>
        </w:rPr>
        <w:t>משך אותה לאחורי החנות</w:t>
      </w:r>
      <w:r>
        <w:rPr>
          <w:rtl w:val="true"/>
        </w:rPr>
        <w:t xml:space="preserve">, </w:t>
      </w:r>
      <w:r>
        <w:rPr>
          <w:rtl w:val="true"/>
        </w:rPr>
        <w:t>תפס אותה והחזיק את ידה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27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 xml:space="preserve">והשפעה לא גופנית </w:t>
      </w:r>
      <w:r>
        <w:rPr>
          <w:rtl w:val="true"/>
        </w:rPr>
        <w:t>(</w:t>
      </w:r>
      <w:r>
        <w:rPr>
          <w:rtl w:val="true"/>
        </w:rPr>
        <w:t>לנוכח פער הגילים ביניהם והיחסים החברתיים שברקע היכרותם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). </w:t>
      </w:r>
      <w:r>
        <w:rPr>
          <w:rtl w:val="true"/>
        </w:rPr>
        <w:t xml:space="preserve">זמינות המפתח </w:t>
      </w:r>
      <w:r>
        <w:rPr>
          <w:rtl w:val="true"/>
        </w:rPr>
        <w:t>–</w:t>
      </w:r>
      <w:r>
        <w:rPr>
          <w:rtl w:val="true"/>
        </w:rPr>
        <w:t xml:space="preserve"> עד שהמתלוננת תגיע אליו מהחלק האחורי של החנות </w:t>
      </w:r>
      <w:r>
        <w:rPr>
          <w:rtl w:val="true"/>
        </w:rPr>
        <w:t>–</w:t>
      </w:r>
      <w:r>
        <w:rPr>
          <w:rtl w:val="true"/>
        </w:rPr>
        <w:t xml:space="preserve"> לא הייתה אמורה לעמוד לרועץ למערער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397" w:start="397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397" w:start="397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לדברי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האירוע היה עשוי להיראות לצופה כאילו שניים מקיימים יחסי מין </w:t>
      </w:r>
      <w:r>
        <w:rPr>
          <w:rFonts w:ascii="Times New Roman;Times New Roman" w:hAnsi="Times New Roman;Times New Roman" w:cs="Times New Roman;Times New Roman"/>
          <w:rtl w:val="true"/>
        </w:rPr>
        <w:t>–</w:t>
      </w:r>
      <w:r>
        <w:rPr>
          <w:rtl w:val="true"/>
        </w:rPr>
        <w:t xml:space="preserve"> ואולם חשש זה של המתלוננת הוא רק ביטוי אחר לרתיעתה מפני חשיפת המעשים</w:t>
      </w:r>
      <w:r>
        <w:rPr>
          <w:rtl w:val="true"/>
        </w:rPr>
        <w:t xml:space="preserve">, </w:t>
      </w:r>
      <w:r>
        <w:rPr>
          <w:rtl w:val="true"/>
        </w:rPr>
        <w:t>ומפני הדרך שבה הם עלולים להתפרש על ידי הסביבה</w:t>
      </w:r>
      <w:r>
        <w:rPr>
          <w:rtl w:val="true"/>
        </w:rPr>
        <w:t xml:space="preserve">, </w:t>
      </w:r>
      <w:r>
        <w:rPr>
          <w:rtl w:val="true"/>
        </w:rPr>
        <w:t>ואין בו כדי ללמד שהם נעשו הלכה למעשה בהסכמה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397" w:start="397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שלושת ההיבטים שציין המערער הם נייטרלים בשאלת ההסכמה</w:t>
      </w:r>
      <w:r>
        <w:rPr>
          <w:rtl w:val="true"/>
        </w:rPr>
        <w:t xml:space="preserve">. </w:t>
      </w:r>
      <w:r>
        <w:rPr>
          <w:rtl w:val="true"/>
        </w:rPr>
        <w:t>אין בהם כדי לשנות את ההתרשמות הברורה מראיות אחרות שהמתלוננת לא הסכימה למעשי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טענה אחרונה נוגעת בטעם אפשרי לכך שהמתלוננת טפלה עלילה על המערער</w:t>
      </w:r>
      <w:r>
        <w:rPr>
          <w:rtl w:val="true"/>
        </w:rPr>
        <w:t xml:space="preserve">. </w:t>
      </w:r>
      <w:r>
        <w:rPr>
          <w:rtl w:val="true"/>
        </w:rPr>
        <w:t>המתלוננת ואביה העידו כל אחד שהאב ראה שהמתלוננת מתעכבת לחזור מביקוריה בחנות ורצה לעקוב אחריה</w:t>
      </w:r>
      <w:r>
        <w:rPr>
          <w:rtl w:val="true"/>
        </w:rPr>
        <w:t xml:space="preserve">. </w:t>
      </w:r>
      <w:r>
        <w:rPr>
          <w:rtl w:val="true"/>
        </w:rPr>
        <w:t xml:space="preserve">האב הוסיף שהוא שמע שהיא לא קיבלה וסת </w:t>
      </w:r>
      <w:r>
        <w:rPr>
          <w:rtl w:val="true"/>
        </w:rPr>
        <w:t>(</w:t>
      </w:r>
      <w:r>
        <w:rPr>
          <w:rtl w:val="true"/>
        </w:rPr>
        <w:t>אפשר שלא האיחור שתואר בכתב האישום</w:t>
      </w:r>
      <w:r>
        <w:rPr>
          <w:rtl w:val="true"/>
        </w:rPr>
        <w:t xml:space="preserve">), </w:t>
      </w:r>
      <w:r>
        <w:rPr>
          <w:rtl w:val="true"/>
        </w:rPr>
        <w:t>וחשד</w:t>
      </w:r>
      <w:r>
        <w:rPr>
          <w:rtl w:val="true"/>
        </w:rPr>
        <w:t xml:space="preserve">. </w:t>
      </w:r>
      <w:r>
        <w:rPr>
          <w:rtl w:val="true"/>
        </w:rPr>
        <w:t xml:space="preserve">לדעת השופט </w:t>
      </w:r>
      <w:r>
        <w:rPr>
          <w:rFonts w:cs="Miriam"/>
          <w:spacing w:val="0"/>
          <w:szCs w:val="24"/>
          <w:rtl w:val="true"/>
        </w:rPr>
        <w:t>חזק</w:t>
      </w:r>
      <w:r>
        <w:rPr>
          <w:rtl w:val="true"/>
        </w:rPr>
        <w:t xml:space="preserve">, </w:t>
      </w:r>
      <w:r>
        <w:rPr>
          <w:rtl w:val="true"/>
        </w:rPr>
        <w:t>יכול להיות שהמתלוננת לא רצתה שאביה יכעס על שקיימה יחסי מין עם המערער בהסכמה</w:t>
      </w:r>
      <w:r>
        <w:rPr>
          <w:rtl w:val="true"/>
        </w:rPr>
        <w:t xml:space="preserve">, </w:t>
      </w:r>
      <w:r>
        <w:rPr>
          <w:rtl w:val="true"/>
        </w:rPr>
        <w:t>ולכן התלוננה על עבירות מין בכפייה</w:t>
      </w:r>
      <w:r>
        <w:rPr>
          <w:rtl w:val="true"/>
        </w:rPr>
        <w:t xml:space="preserve">. </w:t>
      </w:r>
      <w:r>
        <w:rPr>
          <w:rtl w:val="true"/>
        </w:rPr>
        <w:t>אף בטענה זו אין כדי לשכנע כי יש להטיל ספק בגרסת המתלוננת כי המעשים נעשו שלא בהסכמתה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האב הבהיר בעדותו שלא חשד שמתנהל קשר בהסכמה בין המתלוננת למערער</w:t>
      </w:r>
      <w:r>
        <w:rPr>
          <w:rtl w:val="true"/>
        </w:rPr>
        <w:t xml:space="preserve">. </w:t>
      </w:r>
      <w:r>
        <w:rPr>
          <w:rtl w:val="true"/>
        </w:rPr>
        <w:t xml:space="preserve">הוא חשד 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שיש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משהו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מסריח</w:t>
      </w:r>
      <w:r>
        <w:rPr>
          <w:rFonts w:cs="Miriam"/>
          <w:spacing w:val="0"/>
          <w:szCs w:val="24"/>
          <w:rtl w:val="true"/>
        </w:rPr>
        <w:t xml:space="preserve">... </w:t>
      </w:r>
      <w:r>
        <w:rPr>
          <w:rFonts w:cs="Miriam"/>
          <w:spacing w:val="0"/>
          <w:szCs w:val="24"/>
          <w:rtl w:val="true"/>
        </w:rPr>
        <w:t>מעשים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מגונים</w:t>
      </w:r>
      <w:r>
        <w:rPr>
          <w:rFonts w:cs="Miriam"/>
          <w:spacing w:val="0"/>
          <w:szCs w:val="24"/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דיבורים</w:t>
      </w:r>
      <w:r>
        <w:rPr>
          <w:rFonts w:cs="Miriam"/>
          <w:spacing w:val="0"/>
          <w:szCs w:val="24"/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אני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לא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יודע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בדיוק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אונס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לא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יודע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בדיוק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לעמ</w:t>
      </w:r>
      <w:r>
        <w:rPr>
          <w:rtl w:val="true"/>
        </w:rPr>
        <w:t xml:space="preserve">' </w:t>
      </w:r>
      <w:r>
        <w:rPr/>
        <w:t>213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גם אם הטענה היא שהמתלוננת לא ידעה שאביה חשד או במה חשד</w:t>
      </w:r>
      <w:r>
        <w:rPr>
          <w:rtl w:val="true"/>
        </w:rPr>
        <w:t xml:space="preserve">, </w:t>
      </w:r>
      <w:r>
        <w:rPr>
          <w:rtl w:val="true"/>
        </w:rPr>
        <w:t xml:space="preserve">והיא חששה חשש כללי שיֵּדע על קשר בהסכמה </w:t>
      </w:r>
      <w:r>
        <w:rPr>
          <w:rtl w:val="true"/>
        </w:rPr>
        <w:t>–</w:t>
      </w:r>
      <w:r>
        <w:rPr>
          <w:rtl w:val="true"/>
        </w:rPr>
        <w:t xml:space="preserve"> טענה זו אינה מתיישבת עם התנהלות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המתלוננת חשפה את המעשים לאחרים כעבור זמן רב בלי שכפו זאת עליה </w:t>
      </w:r>
      <w:r>
        <w:rPr>
          <w:rtl w:val="true"/>
        </w:rPr>
        <w:t>(</w:t>
      </w:r>
      <w:r>
        <w:rPr>
          <w:rtl w:val="true"/>
        </w:rPr>
        <w:t>האב או אדם אחר</w:t>
      </w:r>
      <w:r>
        <w:rPr>
          <w:rtl w:val="true"/>
        </w:rPr>
        <w:t xml:space="preserve">). </w:t>
      </w:r>
      <w:r>
        <w:rPr>
          <w:rtl w:val="true"/>
        </w:rPr>
        <w:t xml:space="preserve">היא יכלה לשמור לעצמה את הקשר </w:t>
      </w:r>
      <w:r>
        <w:rPr>
          <w:rtl w:val="true"/>
        </w:rPr>
        <w:t>(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לפי הטענה</w:t>
      </w:r>
      <w:r>
        <w:rPr>
          <w:rtl w:val="true"/>
        </w:rPr>
        <w:t xml:space="preserve">) </w:t>
      </w:r>
      <w:r>
        <w:rPr>
          <w:rtl w:val="true"/>
        </w:rPr>
        <w:t>שלה עם המערער</w:t>
      </w:r>
      <w:r>
        <w:rPr>
          <w:rtl w:val="true"/>
        </w:rPr>
        <w:t xml:space="preserve">. </w:t>
      </w:r>
      <w:r>
        <w:rPr>
          <w:rtl w:val="true"/>
        </w:rPr>
        <w:t>עצם החשיפה ואופן החשיפה סותרים את טענת החשש מגילוי קשר מוסכם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לסיכום פרק זה</w:t>
      </w:r>
      <w:r>
        <w:rPr>
          <w:rtl w:val="true"/>
        </w:rPr>
        <w:t xml:space="preserve">: </w:t>
      </w:r>
      <w:r>
        <w:rPr>
          <w:rtl w:val="true"/>
        </w:rPr>
        <w:t>המערער הציג טענות שונות לתמיכה בגרסתו שהמתלוננת הסכימה למעשים</w:t>
      </w:r>
      <w:r>
        <w:rPr>
          <w:rtl w:val="true"/>
        </w:rPr>
        <w:t xml:space="preserve">. </w:t>
      </w:r>
      <w:r>
        <w:rPr>
          <w:rtl w:val="true"/>
        </w:rPr>
        <w:t>בחנתי בפירוט את טענותיו בהקשרן הראוי ועל בסיס מארג הראיות הכולל</w:t>
      </w:r>
      <w:r>
        <w:rPr>
          <w:rtl w:val="true"/>
        </w:rPr>
        <w:t xml:space="preserve">. </w:t>
      </w:r>
      <w:r>
        <w:rPr>
          <w:rtl w:val="true"/>
        </w:rPr>
        <w:t xml:space="preserve">בחינה זו העלתה כי חלק מטענות המערער אינן מבוססות בחומר הראיות </w:t>
      </w:r>
      <w:r>
        <w:rPr>
          <w:rtl w:val="true"/>
        </w:rPr>
        <w:t>(</w:t>
      </w:r>
      <w:r>
        <w:rPr>
          <w:rtl w:val="true"/>
        </w:rPr>
        <w:t>כך בנוגע להשערה בדבר ריבוי מקרים של יחסי מין ולחשש לטפילת עלילה על ידי המתלוננת</w:t>
      </w:r>
      <w:r>
        <w:rPr>
          <w:rtl w:val="true"/>
        </w:rPr>
        <w:t xml:space="preserve">). </w:t>
      </w:r>
      <w:r>
        <w:rPr>
          <w:rtl w:val="true"/>
        </w:rPr>
        <w:t>אחרות נסמכות על עובדות הנתמכות בראיות</w:t>
      </w:r>
      <w:r>
        <w:rPr>
          <w:rtl w:val="true"/>
        </w:rPr>
        <w:t xml:space="preserve">, </w:t>
      </w:r>
      <w:r>
        <w:rPr>
          <w:rtl w:val="true"/>
        </w:rPr>
        <w:t>אולם העובדות הללו אינן סותרות את גרסת המתלוננת</w:t>
      </w:r>
      <w:r>
        <w:rPr>
          <w:rtl w:val="true"/>
        </w:rPr>
        <w:t xml:space="preserve">, </w:t>
      </w:r>
      <w:r>
        <w:rPr>
          <w:rtl w:val="true"/>
        </w:rPr>
        <w:t>ואינן מלמדות על הסכמה מצידה</w:t>
      </w:r>
      <w:r>
        <w:rPr>
          <w:rtl w:val="true"/>
        </w:rPr>
        <w:t xml:space="preserve">, </w:t>
      </w:r>
      <w:r>
        <w:rPr>
          <w:rtl w:val="true"/>
        </w:rPr>
        <w:t>שכן ניתן ליישב אותן היטב עם האפשרות שהמעשים נעשו בניגוד לדעתה</w:t>
      </w:r>
      <w:r>
        <w:rPr>
          <w:rtl w:val="true"/>
        </w:rPr>
        <w:t xml:space="preserve">, </w:t>
      </w:r>
      <w:r>
        <w:rPr>
          <w:rtl w:val="true"/>
        </w:rPr>
        <w:t xml:space="preserve">ולמעשה אפשרות זו היא שמסבירה אותן בנסיבות העניין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בנוגע לסוגיית המסרונים</w:t>
      </w:r>
      <w:r>
        <w:rPr>
          <w:rtl w:val="true"/>
        </w:rPr>
        <w:t xml:space="preserve">, </w:t>
      </w:r>
      <w:r>
        <w:rPr>
          <w:rtl w:val="true"/>
        </w:rPr>
        <w:t>התנהגות המתלוננת לאחר המעשים</w:t>
      </w:r>
      <w:r>
        <w:rPr>
          <w:rtl w:val="true"/>
        </w:rPr>
        <w:t xml:space="preserve">, </w:t>
      </w:r>
      <w:r>
        <w:rPr>
          <w:rtl w:val="true"/>
        </w:rPr>
        <w:t>שיתוף הפעולה בהסתרת המעשים ותיאור מעשה האונס על ידי המערערת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שקלתי גם את הצטברות הטענות כולן למול הראיות</w:t>
      </w:r>
      <w:r>
        <w:rPr>
          <w:rtl w:val="true"/>
        </w:rPr>
        <w:t xml:space="preserve">. </w:t>
      </w:r>
      <w:r>
        <w:rPr>
          <w:rtl w:val="true"/>
        </w:rPr>
        <w:t>גם כעת לא מצאתי שיש בהצטברות כדי להקים ספק סביר</w:t>
      </w:r>
      <w:r>
        <w:rPr>
          <w:rtl w:val="true"/>
        </w:rPr>
        <w:t xml:space="preserve">, </w:t>
      </w:r>
      <w:r>
        <w:rPr>
          <w:rtl w:val="true"/>
        </w:rPr>
        <w:t>להבדיל מאפשרות בלתי סבירה</w:t>
      </w:r>
      <w:r>
        <w:rPr>
          <w:rtl w:val="true"/>
        </w:rPr>
        <w:t xml:space="preserve">, </w:t>
      </w:r>
      <w:r>
        <w:rPr>
          <w:rtl w:val="true"/>
        </w:rPr>
        <w:t>שלפיו המתלוננת הסכימה לקיום יחסי מין עם המערער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את סבירות האפשרות כי המערערת הסכימה למעשי המערער יש להעריך על רקע מכלול הנסיבות והראיות</w:t>
      </w:r>
      <w:r>
        <w:rPr>
          <w:rtl w:val="true"/>
        </w:rPr>
        <w:t xml:space="preserve">, </w:t>
      </w:r>
      <w:r>
        <w:rPr>
          <w:rtl w:val="true"/>
        </w:rPr>
        <w:t>ובהם פערי הגילים העצומים שבין הצדדים</w:t>
      </w:r>
      <w:r>
        <w:rPr>
          <w:rtl w:val="true"/>
        </w:rPr>
        <w:t xml:space="preserve">, </w:t>
      </w:r>
      <w:r>
        <w:rPr>
          <w:rtl w:val="true"/>
        </w:rPr>
        <w:t>עמדתה העקבית של המתלוננת כי המעשים נעשו בניגוד לרצונה</w:t>
      </w:r>
      <w:r>
        <w:rPr>
          <w:rtl w:val="true"/>
        </w:rPr>
        <w:t xml:space="preserve">, </w:t>
      </w:r>
      <w:r>
        <w:rPr>
          <w:rtl w:val="true"/>
        </w:rPr>
        <w:t>אמינות המתלוננת לעומת חוסר אמינות המערער</w:t>
      </w:r>
      <w:r>
        <w:rPr>
          <w:rtl w:val="true"/>
        </w:rPr>
        <w:t xml:space="preserve">, </w:t>
      </w:r>
      <w:r>
        <w:rPr>
          <w:rtl w:val="true"/>
        </w:rPr>
        <w:t>נסיבות חשיפת המעשים והעדר כל מניע למתלוננת לטפול עלילה במערער</w:t>
      </w:r>
      <w:r>
        <w:rPr>
          <w:rtl w:val="true"/>
        </w:rPr>
        <w:t xml:space="preserve">. </w:t>
      </w:r>
      <w:r>
        <w:rPr>
          <w:rtl w:val="true"/>
        </w:rPr>
        <w:t>בשים לב לכל אלה</w:t>
      </w:r>
      <w:r>
        <w:rPr>
          <w:rtl w:val="true"/>
        </w:rPr>
        <w:t xml:space="preserve">, </w:t>
      </w:r>
      <w:r>
        <w:rPr>
          <w:rtl w:val="true"/>
        </w:rPr>
        <w:t>גם אם נניח כי קיימת אפשרות שהמעשים נעשו בהסכמה</w:t>
      </w:r>
      <w:r>
        <w:rPr>
          <w:rtl w:val="true"/>
        </w:rPr>
        <w:t xml:space="preserve">, </w:t>
      </w:r>
      <w:r>
        <w:rPr>
          <w:rtl w:val="true"/>
        </w:rPr>
        <w:t>הרי שהשתכנעתי כי זו אפשרות קלושה ובלתי סבירה</w:t>
      </w:r>
      <w:r>
        <w:rPr>
          <w:rtl w:val="true"/>
        </w:rPr>
        <w:t xml:space="preserve">, </w:t>
      </w:r>
      <w:r>
        <w:rPr>
          <w:rtl w:val="true"/>
        </w:rPr>
        <w:t>שאינה מקימה ספק סביר המצדיק את קבלת קו ההגנה החדש שנקט המערער בערעור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אינה נוטה להתערב בעונש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שנפלה בהם טעות מהותית בגזר הדין או סטייה קיצונית ממדיניות הענישה המקובלת </w:t>
      </w:r>
      <w:r>
        <w:rPr>
          <w:rtl w:val="true"/>
        </w:rPr>
        <w:t>(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3473/17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(</w:t>
      </w:r>
      <w:r>
        <w:rPr/>
        <w:t>8.4.2019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73"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</w:rPr>
          <w:t>3473/17</w:t>
        </w:r>
      </w:hyperlink>
      <w:r>
        <w:rPr>
          <w:rtl w:val="true"/>
        </w:rPr>
        <w:t xml:space="preserve">);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4813/17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6.6.2018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75"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</w:rPr>
          <w:t>4813/17</w:t>
        </w:r>
      </w:hyperlink>
      <w:r>
        <w:rPr>
          <w:rtl w:val="true"/>
        </w:rPr>
        <w:t xml:space="preserve">)). </w:t>
      </w:r>
      <w:r>
        <w:rPr>
          <w:rtl w:val="true"/>
        </w:rPr>
        <w:t>אשר לטענות בדבר מתחם העונש הנכון</w:t>
      </w:r>
      <w:r>
        <w:rPr>
          <w:rtl w:val="true"/>
        </w:rPr>
        <w:t xml:space="preserve">, </w:t>
      </w:r>
      <w:r>
        <w:rPr>
          <w:rtl w:val="true"/>
        </w:rPr>
        <w:t>יש לערכאה הדיונית מרחב גמישות בבחינת המתחם</w:t>
      </w:r>
      <w:r>
        <w:rPr>
          <w:rtl w:val="true"/>
        </w:rPr>
        <w:t xml:space="preserve">, </w:t>
      </w:r>
      <w:r>
        <w:rPr>
          <w:rtl w:val="true"/>
        </w:rPr>
        <w:t xml:space="preserve">בעיקר אם העונש הסופי לא חרג מהראוי </w:t>
      </w:r>
      <w:r>
        <w:rPr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1299/17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דוויאת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13.1.2019</w:t>
      </w:r>
      <w:r>
        <w:rPr>
          <w:rtl w:val="true"/>
        </w:rPr>
        <w:t xml:space="preserve">);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ג</w:t>
      </w:r>
      <w:r>
        <w:rPr>
          <w:rFonts w:cs="Miriam"/>
          <w:spacing w:val="0"/>
          <w:szCs w:val="24"/>
          <w:rtl w:val="true"/>
        </w:rPr>
        <w:t>'</w:t>
      </w:r>
      <w:r>
        <w:rPr>
          <w:rFonts w:cs="Miriam"/>
          <w:spacing w:val="0"/>
          <w:szCs w:val="24"/>
          <w:rtl w:val="true"/>
        </w:rPr>
        <w:t>באלי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17.11.2016</w:t>
      </w:r>
      <w:r>
        <w:rPr>
          <w:rtl w:val="true"/>
        </w:rPr>
        <w:t xml:space="preserve">)). </w:t>
      </w:r>
      <w:r>
        <w:rPr>
          <w:rtl w:val="true"/>
        </w:rPr>
        <w:t>עניינו של המערער אינו נמנה עם המקרים החריגים שמוצדקת בהם התערבות בעונש או במתחם הענישה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עבר עבירות חמורות ורבות</w:t>
      </w:r>
      <w:r>
        <w:rPr>
          <w:rtl w:val="true"/>
        </w:rPr>
        <w:t xml:space="preserve">. </w:t>
      </w:r>
      <w:r>
        <w:rPr>
          <w:rtl w:val="true"/>
        </w:rPr>
        <w:t>הוא כפה את גחמותיו על נערה צעירה במשך תקופה לא קצרה</w:t>
      </w:r>
      <w:r>
        <w:rPr>
          <w:rtl w:val="true"/>
        </w:rPr>
        <w:t xml:space="preserve">. </w:t>
      </w:r>
      <w:r>
        <w:rPr>
          <w:rtl w:val="true"/>
        </w:rPr>
        <w:t>הוא ניצל את חולשותיה</w:t>
      </w:r>
      <w:r>
        <w:rPr>
          <w:rtl w:val="true"/>
        </w:rPr>
        <w:t xml:space="preserve">, </w:t>
      </w:r>
      <w:r>
        <w:rPr>
          <w:rtl w:val="true"/>
        </w:rPr>
        <w:t>את תמימותה ואת פער הגילים העצום ביניהם</w:t>
      </w:r>
      <w:r>
        <w:rPr>
          <w:rtl w:val="true"/>
        </w:rPr>
        <w:t xml:space="preserve">. </w:t>
      </w:r>
      <w:r>
        <w:rPr>
          <w:rtl w:val="true"/>
        </w:rPr>
        <w:t>הוא לא שעה לסירובה</w:t>
      </w:r>
      <w:r>
        <w:rPr>
          <w:rtl w:val="true"/>
        </w:rPr>
        <w:t xml:space="preserve">. </w:t>
      </w:r>
      <w:r>
        <w:rPr>
          <w:rtl w:val="true"/>
        </w:rPr>
        <w:t>כפי שציין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הוא פגע בגופה ובנפשה</w:t>
      </w:r>
      <w:r>
        <w:rPr>
          <w:rtl w:val="true"/>
        </w:rPr>
        <w:t xml:space="preserve">. </w:t>
      </w:r>
      <w:r>
        <w:rPr>
          <w:rtl w:val="true"/>
        </w:rPr>
        <w:t>בעבירות מין נוהגת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 xml:space="preserve">מדיניות ענישה מחמירה </w:t>
      </w:r>
      <w:r>
        <w:rPr>
          <w:rtl w:val="true"/>
        </w:rPr>
        <w:t>(</w:t>
      </w:r>
      <w:hyperlink r:id="rId78"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</w:rPr>
          <w:t>4813/17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 xml:space="preserve">לעיתים נקבעו על אינוס קטינות מתחמי ענישה מחמירים אף יותר מזה שנקבע למערער </w:t>
      </w:r>
      <w:r>
        <w:rPr>
          <w:rtl w:val="true"/>
        </w:rPr>
        <w:t>(</w:t>
      </w:r>
      <w:hyperlink r:id="rId79"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Cs w:val="24"/>
            <w:u w:val="single"/>
          </w:rPr>
          <w:t>3473/17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30</w:t>
      </w:r>
      <w:r>
        <w:rPr>
          <w:rtl w:val="true"/>
        </w:rPr>
        <w:t xml:space="preserve">). </w:t>
      </w:r>
      <w:r>
        <w:rPr>
          <w:rtl w:val="true"/>
        </w:rPr>
        <w:t>על רקע כל אלה ועל רקע פסקי הדין שהביא בית המשפט המחוזי בגזר דינו</w:t>
      </w:r>
      <w:r>
        <w:rPr>
          <w:rtl w:val="true"/>
        </w:rPr>
        <w:t xml:space="preserve">, </w:t>
      </w:r>
      <w:r>
        <w:rPr>
          <w:rtl w:val="true"/>
        </w:rPr>
        <w:t>לא מצאתי עילה להתערב במתחם הענישה שנקבע</w:t>
      </w:r>
      <w:r>
        <w:rPr>
          <w:rtl w:val="true"/>
        </w:rPr>
        <w:t xml:space="preserve">. </w:t>
      </w:r>
      <w:r>
        <w:rPr>
          <w:rtl w:val="true"/>
        </w:rPr>
        <w:t>בית המשפט המחוזי סקר את כל הנסיבות המחמירות והמקילות</w:t>
      </w:r>
      <w:r>
        <w:rPr>
          <w:rtl w:val="true"/>
        </w:rPr>
        <w:t xml:space="preserve">. </w:t>
      </w:r>
      <w:r>
        <w:rPr>
          <w:rtl w:val="true"/>
        </w:rPr>
        <w:t>הוא נתן משקל לנסיבות האישיות של המשיב</w:t>
      </w:r>
      <w:r>
        <w:rPr>
          <w:rtl w:val="true"/>
        </w:rPr>
        <w:t xml:space="preserve">, </w:t>
      </w:r>
      <w:r>
        <w:rPr>
          <w:rtl w:val="true"/>
        </w:rPr>
        <w:t>כגון גילו ועברו הנקי</w:t>
      </w:r>
      <w:r>
        <w:rPr>
          <w:rtl w:val="true"/>
        </w:rPr>
        <w:t xml:space="preserve">, </w:t>
      </w:r>
      <w:r>
        <w:rPr>
          <w:rtl w:val="true"/>
        </w:rPr>
        <w:t>ולנזקים שנגרמו לו ולמשפחתו</w:t>
      </w:r>
      <w:r>
        <w:rPr>
          <w:rtl w:val="true"/>
        </w:rPr>
        <w:t xml:space="preserve">. </w:t>
      </w:r>
      <w:r>
        <w:rPr>
          <w:rtl w:val="true"/>
        </w:rPr>
        <w:t>מטעמי צנעת הפרט לא ארחיב את תיאורם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 לא קיבל על עצמו אחריות למעשיו</w:t>
      </w:r>
      <w:r>
        <w:rPr>
          <w:rtl w:val="true"/>
        </w:rPr>
        <w:t xml:space="preserve">. </w:t>
      </w:r>
      <w:r>
        <w:rPr>
          <w:rtl w:val="true"/>
        </w:rPr>
        <w:t>גרסאותיו מתחילת החקירה ועד לשלב המתקדם של הערעור התפתחו בהתאם להערכתו איזו גרסה תועיל לו בשלב זה בהתאם לתמונה הראייתית שהלכה ונגלתה לו</w:t>
      </w:r>
      <w:r>
        <w:rPr>
          <w:rtl w:val="true"/>
        </w:rPr>
        <w:t xml:space="preserve">. </w:t>
      </w:r>
      <w:r>
        <w:rPr>
          <w:rtl w:val="true"/>
        </w:rPr>
        <w:t>בסיכום הכולל העונש שנקבע למערער אינו חמור</w:t>
      </w:r>
      <w:r>
        <w:rPr>
          <w:rtl w:val="true"/>
        </w:rPr>
        <w:t xml:space="preserve">, </w:t>
      </w:r>
      <w:r>
        <w:rPr>
          <w:rtl w:val="true"/>
        </w:rPr>
        <w:t>ודאי לא במידה שמצדיקה התערבות של ערכאת ערעור</w:t>
      </w:r>
      <w:r>
        <w:rPr>
          <w:rtl w:val="true"/>
        </w:rPr>
        <w:t xml:space="preserve">. </w:t>
      </w:r>
      <w:r>
        <w:rPr>
          <w:rtl w:val="true"/>
        </w:rPr>
        <w:t>גם את הערעור על גזר הדין יש לדחות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הערות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החקירה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עבירת מין פוגעת בנימי הנפש של הנפגע או הנפגעת</w:t>
      </w:r>
      <w:r>
        <w:rPr>
          <w:rtl w:val="true"/>
        </w:rPr>
        <w:t xml:space="preserve">. </w:t>
      </w:r>
      <w:r>
        <w:rPr>
          <w:rtl w:val="true"/>
        </w:rPr>
        <w:t>היא חודרת למרחב הפרטי ביותר של הווייתם</w:t>
      </w:r>
      <w:r>
        <w:rPr>
          <w:rtl w:val="true"/>
        </w:rPr>
        <w:t xml:space="preserve">. </w:t>
      </w:r>
      <w:r>
        <w:rPr>
          <w:rtl w:val="true"/>
        </w:rPr>
        <w:t>הפגיעה בנפגעי עבירה קטינים עלולה להיות חמורה יותר</w:t>
      </w:r>
      <w:r>
        <w:rPr>
          <w:rtl w:val="true"/>
        </w:rPr>
        <w:t xml:space="preserve">. </w:t>
      </w:r>
      <w:r>
        <w:rPr>
          <w:rtl w:val="true"/>
        </w:rPr>
        <w:t xml:space="preserve">כך לדוגמה גיל ההתבגרות הוא שלב שברירי בהתפתחות האישית שבו מתעצבת האישיות </w:t>
      </w:r>
      <w:r>
        <w:rPr>
          <w:rtl w:val="true"/>
        </w:rPr>
        <w:t>(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5090/18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18.11.2018</w:t>
      </w:r>
      <w:r>
        <w:rPr>
          <w:rtl w:val="true"/>
        </w:rPr>
        <w:t xml:space="preserve">);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3792/18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11.11.2018</w:t>
      </w:r>
      <w:r>
        <w:rPr>
          <w:rtl w:val="true"/>
        </w:rPr>
        <w:t xml:space="preserve">)). </w:t>
      </w:r>
      <w:r>
        <w:rPr>
          <w:rtl w:val="true"/>
        </w:rPr>
        <w:t>משום כך נדרשת רגישות גבוהה בחקירת עבירות מין</w:t>
      </w:r>
      <w:r>
        <w:rPr>
          <w:rtl w:val="true"/>
        </w:rPr>
        <w:t xml:space="preserve">, </w:t>
      </w:r>
      <w:r>
        <w:rPr>
          <w:rtl w:val="true"/>
        </w:rPr>
        <w:t>בעיקר אם הנפגעים הם בגיל ההתבגרות או בגיל צעיר יותר</w:t>
      </w:r>
      <w:r>
        <w:rPr>
          <w:rtl w:val="true"/>
        </w:rPr>
        <w:t xml:space="preserve">.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בהיבטים מסוימים לא כך התנהלה החקירה בענייננו</w:t>
      </w:r>
      <w:r>
        <w:rPr>
          <w:rtl w:val="true"/>
        </w:rPr>
        <w:t xml:space="preserve">. </w:t>
      </w:r>
      <w:r>
        <w:rPr>
          <w:rtl w:val="true"/>
        </w:rPr>
        <w:t>קשיים אלו לא פגעו בהגנת המערער</w:t>
      </w:r>
      <w:r>
        <w:rPr>
          <w:rtl w:val="true"/>
        </w:rPr>
        <w:t xml:space="preserve">, </w:t>
      </w:r>
      <w:r>
        <w:rPr>
          <w:rtl w:val="true"/>
        </w:rPr>
        <w:t>אולם יש מקום להעיר עליהם לבל יישנו להבא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החקירה הראשונה של המתלוננת התקיימה בבואה להגיש תלונה</w:t>
      </w:r>
      <w:r>
        <w:rPr>
          <w:rtl w:val="true"/>
        </w:rPr>
        <w:t xml:space="preserve">. </w:t>
      </w:r>
      <w:r>
        <w:rPr>
          <w:rtl w:val="true"/>
        </w:rPr>
        <w:t>זמן קצר לפני כן נחשפו המעשים לפני בני משפחתה</w:t>
      </w:r>
      <w:r>
        <w:rPr>
          <w:rtl w:val="true"/>
        </w:rPr>
        <w:t xml:space="preserve">, </w:t>
      </w:r>
      <w:r>
        <w:rPr>
          <w:rtl w:val="true"/>
        </w:rPr>
        <w:t>ולכן המתלוננת הייתה בלחץ</w:t>
      </w:r>
      <w:r>
        <w:rPr>
          <w:rtl w:val="true"/>
        </w:rPr>
        <w:t xml:space="preserve">. </w:t>
      </w:r>
      <w:r>
        <w:rPr>
          <w:rtl w:val="true"/>
        </w:rPr>
        <w:t>היא נדרשה למסור פרטים אינטימיים על מה שנעשה לה</w:t>
      </w:r>
      <w:r>
        <w:rPr>
          <w:rtl w:val="true"/>
        </w:rPr>
        <w:t xml:space="preserve">. </w:t>
      </w:r>
      <w:r>
        <w:rPr>
          <w:rtl w:val="true"/>
        </w:rPr>
        <w:t>על אף הרגישות שנדרשה בחקירה זו</w:t>
      </w:r>
      <w:r>
        <w:rPr>
          <w:rtl w:val="true"/>
        </w:rPr>
        <w:t xml:space="preserve">, </w:t>
      </w:r>
      <w:r>
        <w:rPr>
          <w:rtl w:val="true"/>
        </w:rPr>
        <w:t>היא התקיימה באופן לקוי</w:t>
      </w:r>
      <w:r>
        <w:rPr>
          <w:rtl w:val="true"/>
        </w:rPr>
        <w:t xml:space="preserve">, </w:t>
      </w:r>
      <w:r>
        <w:rPr>
          <w:rtl w:val="true"/>
        </w:rPr>
        <w:t>הן מבחינה אנושית והן מבחינה מקצועית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החוקר הקליד את דברי המתלוננת</w:t>
      </w:r>
      <w:r>
        <w:rPr>
          <w:rtl w:val="true"/>
        </w:rPr>
        <w:t xml:space="preserve">. </w:t>
      </w:r>
      <w:r>
        <w:rPr>
          <w:rtl w:val="true"/>
        </w:rPr>
        <w:t>אם היא דיברה במהירות הוא לא הספיק להקליד את דבריה</w:t>
      </w:r>
      <w:r>
        <w:rPr>
          <w:rtl w:val="true"/>
        </w:rPr>
        <w:t xml:space="preserve">. </w:t>
      </w:r>
      <w:r>
        <w:rPr>
          <w:rtl w:val="true"/>
        </w:rPr>
        <w:t>פרטים שונים נשמטו</w:t>
      </w:r>
      <w:r>
        <w:rPr>
          <w:rtl w:val="true"/>
        </w:rPr>
        <w:t xml:space="preserve">. </w:t>
      </w:r>
      <w:r>
        <w:rPr>
          <w:rtl w:val="true"/>
        </w:rPr>
        <w:t>לאחר מכן נשאלו שאלות על השמטת פרטים או על התפתחות עדותה אף שהיא מסרה את הדברים כבר בתחילת החקירה</w:t>
      </w:r>
      <w:r>
        <w:rPr>
          <w:rtl w:val="true"/>
        </w:rPr>
        <w:t xml:space="preserve">. </w:t>
      </w:r>
      <w:r>
        <w:rPr>
          <w:rtl w:val="true"/>
        </w:rPr>
        <w:t>לא ברור מדוע חקירה זו לא הוקלטה באמצעי וידאו</w:t>
      </w:r>
      <w:r>
        <w:rPr>
          <w:rtl w:val="true"/>
        </w:rPr>
        <w:t xml:space="preserve">, </w:t>
      </w:r>
      <w:r>
        <w:rPr>
          <w:rtl w:val="true"/>
        </w:rPr>
        <w:t>ולמצער אודיו</w:t>
      </w:r>
      <w:r>
        <w:rPr>
          <w:rtl w:val="true"/>
        </w:rPr>
        <w:t xml:space="preserve">, </w:t>
      </w:r>
      <w:r>
        <w:rPr>
          <w:rtl w:val="true"/>
        </w:rPr>
        <w:t>כדי שגביית העדות הראשונה</w:t>
      </w:r>
      <w:r>
        <w:rPr>
          <w:rtl w:val="true"/>
        </w:rPr>
        <w:t xml:space="preserve">, </w:t>
      </w:r>
      <w:r>
        <w:rPr>
          <w:rtl w:val="true"/>
        </w:rPr>
        <w:t>שחשיבותה כידוע רבה</w:t>
      </w:r>
      <w:r>
        <w:rPr>
          <w:rtl w:val="true"/>
        </w:rPr>
        <w:t xml:space="preserve">, </w:t>
      </w:r>
      <w:r>
        <w:rPr>
          <w:rtl w:val="true"/>
        </w:rPr>
        <w:t>תהיה שוטפת וחופשית</w:t>
      </w:r>
      <w:r>
        <w:rPr>
          <w:rtl w:val="true"/>
        </w:rPr>
        <w:t xml:space="preserve">, </w:t>
      </w:r>
      <w:r>
        <w:rPr>
          <w:rtl w:val="true"/>
        </w:rPr>
        <w:t>ועל מנת שניתן יהיה לתעד את הדברים הנאמרים כהלכה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הגיעה לתחנת המשטרה בשעת לילה מאוחרת </w:t>
      </w:r>
      <w:r>
        <w:rPr>
          <w:rtl w:val="true"/>
        </w:rPr>
        <w:t>(</w:t>
      </w:r>
      <w:r>
        <w:rPr>
          <w:rtl w:val="true"/>
        </w:rPr>
        <w:t xml:space="preserve">סביב </w:t>
      </w:r>
      <w:r>
        <w:rPr/>
        <w:t>23:00</w:t>
      </w:r>
      <w:r>
        <w:rPr>
          <w:rtl w:val="true"/>
        </w:rPr>
        <w:t xml:space="preserve">). </w:t>
      </w:r>
      <w:r>
        <w:rPr>
          <w:rtl w:val="true"/>
        </w:rPr>
        <w:t>היא נחקרה במשך שעות ארוכות</w:t>
      </w:r>
      <w:r>
        <w:rPr>
          <w:rtl w:val="true"/>
        </w:rPr>
        <w:t xml:space="preserve">. </w:t>
      </w:r>
      <w:r>
        <w:rPr>
          <w:rtl w:val="true"/>
        </w:rPr>
        <w:t>יש חשיבות בחקירה מיידית של תלונה</w:t>
      </w:r>
      <w:r>
        <w:rPr>
          <w:rtl w:val="true"/>
        </w:rPr>
        <w:t xml:space="preserve">. </w:t>
      </w:r>
      <w:r>
        <w:rPr>
          <w:rtl w:val="true"/>
        </w:rPr>
        <w:t>אולם חקירה ארוכה של מתלונן צעיר באישון לילה עלולה להתיש אותו</w:t>
      </w:r>
      <w:r>
        <w:rPr>
          <w:rtl w:val="true"/>
        </w:rPr>
        <w:t xml:space="preserve">, </w:t>
      </w:r>
      <w:r>
        <w:rPr>
          <w:rtl w:val="true"/>
        </w:rPr>
        <w:t>לגרום לו תחושת אי נוחות ולפגום ביכולתו למסור תיאור מלא של האירועים</w:t>
      </w:r>
      <w:r>
        <w:rPr>
          <w:rtl w:val="true"/>
        </w:rPr>
        <w:t xml:space="preserve">. </w:t>
      </w:r>
      <w:r>
        <w:rPr>
          <w:rtl w:val="true"/>
        </w:rPr>
        <w:t>במקרים מתאימים שאין בהם בהילות</w:t>
      </w:r>
      <w:r>
        <w:rPr>
          <w:rtl w:val="true"/>
        </w:rPr>
        <w:t xml:space="preserve">, </w:t>
      </w:r>
      <w:r>
        <w:rPr>
          <w:rtl w:val="true"/>
        </w:rPr>
        <w:t>אפשר לשקול חקירה ראשונית של עיקרי האירוע והצעה לשוב ביום הבא להמשך חקירה מקיפה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אין ליצור אצל המתלונן רושם שמזלזלים בעדותו או שדוחים אותו בקש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אם בחקירה הראשונה נפלו פגמים</w:t>
      </w:r>
      <w:r>
        <w:rPr>
          <w:rtl w:val="true"/>
        </w:rPr>
        <w:t xml:space="preserve">, </w:t>
      </w:r>
      <w:r>
        <w:rPr>
          <w:rtl w:val="true"/>
        </w:rPr>
        <w:t>הרי שהעימות נוהל באופן לקוי מיסודו</w:t>
      </w:r>
      <w:r>
        <w:rPr>
          <w:rtl w:val="true"/>
        </w:rPr>
        <w:t xml:space="preserve">. </w:t>
      </w:r>
      <w:r>
        <w:rPr>
          <w:rtl w:val="true"/>
        </w:rPr>
        <w:t>צפייה בו מעוררת תחושות קשות</w:t>
      </w:r>
      <w:r>
        <w:rPr>
          <w:rtl w:val="true"/>
        </w:rPr>
        <w:t xml:space="preserve">. </w:t>
      </w:r>
      <w:r>
        <w:rPr>
          <w:rtl w:val="true"/>
        </w:rPr>
        <w:t>הוא נראה כסרטון הדרכה כיצד אין לקיים עימות</w:t>
      </w:r>
      <w:r>
        <w:rPr>
          <w:rtl w:val="true"/>
        </w:rPr>
        <w:t xml:space="preserve">. </w:t>
      </w:r>
      <w:r>
        <w:rPr>
          <w:rtl w:val="true"/>
        </w:rPr>
        <w:t>המדובר בעימות בין גבר מבוגר לקטינה</w:t>
      </w:r>
      <w:r>
        <w:rPr>
          <w:rtl w:val="true"/>
        </w:rPr>
        <w:t xml:space="preserve">, </w:t>
      </w:r>
      <w:r>
        <w:rPr>
          <w:rtl w:val="true"/>
        </w:rPr>
        <w:t xml:space="preserve">שטרם מלאו לה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המתלוננת נגדו על עבירות מין</w:t>
      </w:r>
      <w:r>
        <w:rPr>
          <w:rtl w:val="true"/>
        </w:rPr>
        <w:t xml:space="preserve">. </w:t>
      </w:r>
      <w:r>
        <w:rPr>
          <w:rtl w:val="true"/>
        </w:rPr>
        <w:t>בחדר נוכחים</w:t>
      </w:r>
      <w:r>
        <w:rPr>
          <w:rtl w:val="true"/>
        </w:rPr>
        <w:t xml:space="preserve">, </w:t>
      </w:r>
      <w:r>
        <w:rPr>
          <w:rtl w:val="true"/>
        </w:rPr>
        <w:t>פרט למתלוננת ולנאשם</w:t>
      </w:r>
      <w:r>
        <w:rPr>
          <w:rtl w:val="true"/>
        </w:rPr>
        <w:t xml:space="preserve">, </w:t>
      </w:r>
      <w:r>
        <w:rPr>
          <w:rtl w:val="true"/>
        </w:rPr>
        <w:t>חוקרים גברים בלבד</w:t>
      </w:r>
      <w:r>
        <w:rPr>
          <w:rtl w:val="true"/>
        </w:rPr>
        <w:t xml:space="preserve">. </w:t>
      </w:r>
      <w:r>
        <w:rPr>
          <w:rtl w:val="true"/>
        </w:rPr>
        <w:t>חלקם אינם קשורים כלל לפרשה</w:t>
      </w:r>
      <w:r>
        <w:rPr>
          <w:rtl w:val="true"/>
        </w:rPr>
        <w:t xml:space="preserve">, </w:t>
      </w:r>
      <w:r>
        <w:rPr>
          <w:rtl w:val="true"/>
        </w:rPr>
        <w:t>והללו נראים עסוקים בענייניהם</w:t>
      </w:r>
      <w:r>
        <w:rPr>
          <w:rtl w:val="true"/>
        </w:rPr>
        <w:t xml:space="preserve">. </w:t>
      </w:r>
      <w:r>
        <w:rPr>
          <w:rtl w:val="true"/>
        </w:rPr>
        <w:t xml:space="preserve">אנשים </w:t>
      </w:r>
      <w:r>
        <w:rPr>
          <w:rtl w:val="true"/>
        </w:rPr>
        <w:t>(</w:t>
      </w:r>
      <w:r>
        <w:rPr>
          <w:rtl w:val="true"/>
        </w:rPr>
        <w:t>ככל הנראה שוטרים וחוקרים אחרים</w:t>
      </w:r>
      <w:r>
        <w:rPr>
          <w:rtl w:val="true"/>
        </w:rPr>
        <w:t xml:space="preserve">) </w:t>
      </w:r>
      <w:r>
        <w:rPr>
          <w:rtl w:val="true"/>
        </w:rPr>
        <w:t>נכנסים ויוצאים מהחדר במהלך העימות ללא הפסקה</w:t>
      </w:r>
      <w:r>
        <w:rPr>
          <w:rtl w:val="true"/>
        </w:rPr>
        <w:t xml:space="preserve">, </w:t>
      </w:r>
      <w:r>
        <w:rPr>
          <w:rtl w:val="true"/>
        </w:rPr>
        <w:t>מפריעים לעריכתו ולעיתים קוטעים אותו</w:t>
      </w:r>
      <w:r>
        <w:rPr>
          <w:rtl w:val="true"/>
        </w:rPr>
        <w:t xml:space="preserve">. </w:t>
      </w:r>
      <w:r>
        <w:rPr>
          <w:rtl w:val="true"/>
        </w:rPr>
        <w:t>ברקע נשמעות שיחות טלפון של החוקרים האחרים שאינן קשורות לעימות</w:t>
      </w:r>
      <w:r>
        <w:rPr>
          <w:rtl w:val="true"/>
        </w:rPr>
        <w:t xml:space="preserve">, </w:t>
      </w:r>
      <w:r>
        <w:rPr>
          <w:rtl w:val="true"/>
        </w:rPr>
        <w:t>ומדי פעם נשמעים קולות צחוק שאינם שייכים רק למערער</w:t>
      </w:r>
      <w:r>
        <w:rPr>
          <w:rtl w:val="true"/>
        </w:rPr>
        <w:t xml:space="preserve">, </w:t>
      </w:r>
      <w:r>
        <w:rPr>
          <w:rtl w:val="true"/>
        </w:rPr>
        <w:t xml:space="preserve">אלא ככל הנראה לחוקרים אחרים הנוכחים בחדר </w:t>
      </w:r>
      <w:r>
        <w:rPr>
          <w:rtl w:val="true"/>
        </w:rPr>
        <w:t>(</w:t>
      </w:r>
      <w:r>
        <w:rPr>
          <w:rtl w:val="true"/>
        </w:rPr>
        <w:t>אשר דמויותיהם לא צולמו</w:t>
      </w:r>
      <w:r>
        <w:rPr>
          <w:rtl w:val="true"/>
        </w:rPr>
        <w:t xml:space="preserve">). </w:t>
      </w:r>
      <w:r>
        <w:rPr>
          <w:rtl w:val="true"/>
        </w:rPr>
        <w:t>כל אלה יוצרים תחושות של אי סדר</w:t>
      </w:r>
      <w:r>
        <w:rPr>
          <w:rtl w:val="true"/>
        </w:rPr>
        <w:t xml:space="preserve">, </w:t>
      </w:r>
      <w:r>
        <w:rPr>
          <w:rtl w:val="true"/>
        </w:rPr>
        <w:t>חוסר רצינות</w:t>
      </w:r>
      <w:r>
        <w:rPr>
          <w:rtl w:val="true"/>
        </w:rPr>
        <w:t xml:space="preserve">, </w:t>
      </w:r>
      <w:r>
        <w:rPr>
          <w:rtl w:val="true"/>
        </w:rPr>
        <w:t>ומעל לכול חוסר רגישות</w:t>
      </w:r>
      <w:r>
        <w:rPr>
          <w:rtl w:val="true"/>
        </w:rPr>
        <w:t xml:space="preserve">, </w:t>
      </w:r>
      <w:r>
        <w:rPr>
          <w:rtl w:val="true"/>
        </w:rPr>
        <w:t>כלפי מעמד העימות</w:t>
      </w:r>
      <w:r>
        <w:rPr>
          <w:rtl w:val="true"/>
        </w:rPr>
        <w:t xml:space="preserve">. </w:t>
      </w:r>
      <w:r>
        <w:rPr>
          <w:rtl w:val="true"/>
        </w:rPr>
        <w:t>עימות מתלוננת עם חשוד בעבירות מין הוא מצב רגיש וקשה</w:t>
      </w:r>
      <w:r>
        <w:rPr>
          <w:rtl w:val="true"/>
        </w:rPr>
        <w:t xml:space="preserve">, </w:t>
      </w:r>
      <w:r>
        <w:rPr>
          <w:rtl w:val="true"/>
        </w:rPr>
        <w:t>ונדרשות במהלכו רצינות ורגישות רבה</w:t>
      </w:r>
      <w:r>
        <w:rPr>
          <w:rtl w:val="true"/>
        </w:rPr>
        <w:t xml:space="preserve">. </w:t>
      </w:r>
      <w:r>
        <w:rPr>
          <w:rtl w:val="true"/>
        </w:rPr>
        <w:t>הדברים נכונים ביתר שאת עת מדובר במתלוננת קטינה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המצלמה המנציחה את העימות אינה מתעדת כלל את המערער</w:t>
      </w:r>
      <w:r>
        <w:rPr>
          <w:rtl w:val="true"/>
        </w:rPr>
        <w:t xml:space="preserve">, </w:t>
      </w:r>
      <w:r>
        <w:rPr>
          <w:rtl w:val="true"/>
        </w:rPr>
        <w:t>אלא מצלמת בעיקר את המתלוננת</w:t>
      </w:r>
      <w:r>
        <w:rPr>
          <w:rtl w:val="true"/>
        </w:rPr>
        <w:t xml:space="preserve">. </w:t>
      </w:r>
      <w:r>
        <w:rPr>
          <w:rtl w:val="true"/>
        </w:rPr>
        <w:t>איכות ההקלטה ירודה במידה חריגה</w:t>
      </w:r>
      <w:r>
        <w:rPr>
          <w:rtl w:val="true"/>
        </w:rPr>
        <w:t xml:space="preserve">. </w:t>
      </w:r>
      <w:r>
        <w:rPr>
          <w:rtl w:val="true"/>
        </w:rPr>
        <w:t>השמע עמוס ברעשי רקע ואינו ברור</w:t>
      </w:r>
      <w:r>
        <w:rPr>
          <w:rtl w:val="true"/>
        </w:rPr>
        <w:t xml:space="preserve">. </w:t>
      </w:r>
      <w:r>
        <w:rPr>
          <w:rtl w:val="true"/>
        </w:rPr>
        <w:t>יש פערים רבים בין הדוח הסופי של העימות להקלטת השמע ותכתוּב התקליטור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עימותים בין מתלוננת בעבירת מין לחשוד צריכים להתנהל התנהלות שונה לחלוטין</w:t>
      </w:r>
      <w:r>
        <w:rPr>
          <w:rtl w:val="true"/>
        </w:rPr>
        <w:t xml:space="preserve">. </w:t>
      </w:r>
      <w:r>
        <w:rPr>
          <w:rtl w:val="true"/>
        </w:rPr>
        <w:t>יש לקיים את העימות בחדר נפרד ושקט יחסית</w:t>
      </w:r>
      <w:r>
        <w:rPr>
          <w:rtl w:val="true"/>
        </w:rPr>
        <w:t xml:space="preserve">, </w:t>
      </w:r>
      <w:r>
        <w:rPr>
          <w:rtl w:val="true"/>
        </w:rPr>
        <w:t>המבודד מפעילות משטרתית נוספת</w:t>
      </w:r>
      <w:r>
        <w:rPr>
          <w:rtl w:val="true"/>
        </w:rPr>
        <w:t xml:space="preserve">; </w:t>
      </w:r>
      <w:r>
        <w:rPr>
          <w:rtl w:val="true"/>
        </w:rPr>
        <w:t>במהלך העימות צריכים להיות נוכחים במקום הגורמים הרלוונטיים לחקירה בלבד</w:t>
      </w:r>
      <w:r>
        <w:rPr>
          <w:rtl w:val="true"/>
        </w:rPr>
        <w:t xml:space="preserve">, </w:t>
      </w:r>
      <w:r>
        <w:rPr>
          <w:rtl w:val="true"/>
        </w:rPr>
        <w:t>ועליהם לוודא כי העימות יתקיים ללא הפרעות מיותרות</w:t>
      </w:r>
      <w:r>
        <w:rPr>
          <w:rtl w:val="true"/>
        </w:rPr>
        <w:t xml:space="preserve">; </w:t>
      </w:r>
      <w:r>
        <w:rPr>
          <w:rtl w:val="true"/>
        </w:rPr>
        <w:t>יש להקפיד על התנהלות רגישה</w:t>
      </w:r>
      <w:r>
        <w:rPr>
          <w:rtl w:val="true"/>
        </w:rPr>
        <w:t xml:space="preserve">, </w:t>
      </w:r>
      <w:r>
        <w:rPr>
          <w:rtl w:val="true"/>
        </w:rPr>
        <w:t>המכבדת את המתלוננת ומתחשבת בפרטיותה וברגשותיה</w:t>
      </w:r>
      <w:r>
        <w:rPr>
          <w:rtl w:val="true"/>
        </w:rPr>
        <w:t xml:space="preserve">; </w:t>
      </w:r>
      <w:r>
        <w:rPr>
          <w:rtl w:val="true"/>
        </w:rPr>
        <w:t>כאשר המתלוננת היא אישה רצוי כי תהיה נוכחת בחדר אישה נוספת במעמד העימות</w:t>
      </w:r>
      <w:r>
        <w:rPr>
          <w:rtl w:val="true"/>
        </w:rPr>
        <w:t xml:space="preserve">, </w:t>
      </w:r>
      <w:r>
        <w:rPr>
          <w:rtl w:val="true"/>
        </w:rPr>
        <w:t>וכאשר מדובר בקטין או בקטינה</w:t>
      </w:r>
      <w:r>
        <w:rPr>
          <w:rtl w:val="true"/>
        </w:rPr>
        <w:t xml:space="preserve">, </w:t>
      </w:r>
      <w:r>
        <w:rPr>
          <w:rtl w:val="true"/>
        </w:rPr>
        <w:t>במידת האפשר בן משפחה לפי בחירתם</w:t>
      </w:r>
      <w:r>
        <w:rPr>
          <w:rtl w:val="true"/>
        </w:rPr>
        <w:t xml:space="preserve">; </w:t>
      </w:r>
      <w:r>
        <w:rPr>
          <w:rtl w:val="true"/>
        </w:rPr>
        <w:t xml:space="preserve">חשוב לצלם את העימות באיכות גבוהה </w:t>
      </w:r>
      <w:r>
        <w:rPr>
          <w:rtl w:val="true"/>
        </w:rPr>
        <w:t>(</w:t>
      </w:r>
      <w:r>
        <w:rPr>
          <w:rtl w:val="true"/>
        </w:rPr>
        <w:t>ולכל הפחות</w:t>
      </w:r>
      <w:r>
        <w:rPr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), </w:t>
      </w:r>
      <w:r>
        <w:rPr>
          <w:rtl w:val="true"/>
        </w:rPr>
        <w:t>והתיעוד צריך להתייחס הן למתלוננת</w:t>
      </w:r>
      <w:r>
        <w:rPr>
          <w:rtl w:val="true"/>
        </w:rPr>
        <w:t xml:space="preserve">, </w:t>
      </w:r>
      <w:r>
        <w:rPr>
          <w:rtl w:val="true"/>
        </w:rPr>
        <w:t>הן לחשוד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סוגיה נוספת הנוגעת לאופן התנהלות החקירה היא הוצאת פרטי השיחות והמסרונים שהוחלפו בין המתלוננת למערער</w:t>
      </w:r>
      <w:r>
        <w:rPr>
          <w:rtl w:val="true"/>
        </w:rPr>
        <w:t xml:space="preserve">. </w:t>
      </w:r>
      <w:r>
        <w:rPr>
          <w:rtl w:val="true"/>
        </w:rPr>
        <w:t>הסוגיה עלתה כבר בחקירה</w:t>
      </w:r>
      <w:r>
        <w:rPr>
          <w:rtl w:val="true"/>
        </w:rPr>
        <w:t xml:space="preserve">. </w:t>
      </w:r>
      <w:r>
        <w:rPr>
          <w:rtl w:val="true"/>
        </w:rPr>
        <w:t>משום מה לא הוצאו במהלכה כל הפרטים הנדרשים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רק בישיבה מתקדמת מאוד בהליך המשפטי</w:t>
      </w:r>
      <w:r>
        <w:rPr>
          <w:rtl w:val="true"/>
        </w:rPr>
        <w:t xml:space="preserve">, </w:t>
      </w:r>
      <w:r>
        <w:rPr>
          <w:rtl w:val="true"/>
        </w:rPr>
        <w:t>שבה גם הורה בית המשפט לצדדים להגיש סיכומים</w:t>
      </w:r>
      <w:r>
        <w:rPr>
          <w:rtl w:val="true"/>
        </w:rPr>
        <w:t xml:space="preserve">, </w:t>
      </w:r>
      <w:r>
        <w:rPr>
          <w:rtl w:val="true"/>
        </w:rPr>
        <w:t xml:space="preserve">הוציא בית המשפט צו </w:t>
      </w:r>
      <w:r>
        <w:rPr>
          <w:rtl w:val="true"/>
        </w:rPr>
        <w:t>–</w:t>
      </w:r>
      <w:r>
        <w:rPr>
          <w:rtl w:val="true"/>
        </w:rPr>
        <w:t xml:space="preserve"> לבקשת ההגנה </w:t>
      </w:r>
      <w:r>
        <w:rPr>
          <w:rtl w:val="true"/>
        </w:rPr>
        <w:t>–</w:t>
      </w:r>
      <w:r>
        <w:rPr>
          <w:rtl w:val="true"/>
        </w:rPr>
        <w:t xml:space="preserve"> שיחייב חברת טלפון להמציא איכונים של הטלפון הנייד של המערער בשיחותיו למתלוננת ופירוט המסרונים ששלח לה</w:t>
      </w:r>
      <w:r>
        <w:rPr>
          <w:rtl w:val="true"/>
        </w:rPr>
        <w:t xml:space="preserve">. </w:t>
      </w:r>
      <w:r>
        <w:rPr>
          <w:rtl w:val="true"/>
        </w:rPr>
        <w:t>תוכן המסרונים לא הוגש עד היום</w:t>
      </w:r>
      <w:r>
        <w:rPr>
          <w:rtl w:val="true"/>
        </w:rPr>
        <w:t xml:space="preserve">, </w:t>
      </w:r>
      <w:r>
        <w:rPr>
          <w:rtl w:val="true"/>
        </w:rPr>
        <w:t>ונראה כי אין הם ניתנים לאחזור</w:t>
      </w:r>
      <w:r>
        <w:rPr>
          <w:rtl w:val="true"/>
        </w:rPr>
        <w:t xml:space="preserve">. </w:t>
      </w:r>
      <w:r>
        <w:rPr>
          <w:rtl w:val="true"/>
        </w:rPr>
        <w:t>לא ברור מדוע לא התבקשו במהלך החקירה ראיות 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ראוי כי גורמי האכיפה יפיקו את הלקחים הדרושים בכל הנוגע לחקירת מתלוננות בכלל ומתלוננות בעבירות מין בפרט</w:t>
      </w:r>
      <w:r>
        <w:rPr>
          <w:rtl w:val="true"/>
        </w:rPr>
        <w:t xml:space="preserve">. </w:t>
      </w:r>
      <w:r>
        <w:rPr>
          <w:rtl w:val="true"/>
        </w:rPr>
        <w:t>ומוטב מאוחר מאשר לעולם לא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סוף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דבר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בשל כל האמור לעיל אציע לחבריי לדחות הן את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הן את הערעור על גזר הדין</w:t>
      </w:r>
      <w:r>
        <w:rPr>
          <w:rtl w:val="true"/>
        </w:rPr>
        <w:t xml:space="preserve">, </w:t>
      </w:r>
      <w:r>
        <w:rPr>
          <w:rtl w:val="true"/>
        </w:rPr>
        <w:t>ולהותיר על כנם את הכרעת דעת הרוב בבית המשפט המחוזי ואת גזר דינו על כל 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  <w:u w:val="single"/>
        </w:rPr>
      </w:pPr>
      <w:r>
        <w:rPr>
          <w:rFonts w:cs="Century" w:ascii="Century" w:hAnsi="Century"/>
          <w:b/>
          <w:spacing w:val="0"/>
          <w:szCs w:val="24"/>
          <w:u w:val="single"/>
          <w:rtl w:val="true"/>
        </w:rPr>
      </w:r>
    </w:p>
    <w:p>
      <w:pPr>
        <w:pStyle w:val="BODYVERDICT"/>
        <w:spacing w:lineRule="auto" w:line="360"/>
        <w:ind w:firstLine="720" w:end="0"/>
        <w:jc w:val="both"/>
        <w:rPr/>
      </w:pPr>
      <w:r>
        <w:rPr>
          <w:rFonts w:ascii="Century" w:hAnsi="Century" w:cs="Century"/>
          <w:rtl w:val="true"/>
        </w:rPr>
        <w:t xml:space="preserve">אני מצטרף בהסכמה לחוות דעתו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מבלי שאקבע מסמרות באשר לגישה הרצויה בשאלת היחס לגרסאות עובדתיות חלופיות בהליך הפלילי מבין הגישות השונות שהובעו בפסיקת בית משפט 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למשל </w:t>
      </w:r>
      <w:hyperlink r:id="rId8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8704/09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/>
          <w:spacing w:val="0"/>
          <w:szCs w:val="24"/>
          <w:rtl w:val="true"/>
        </w:rPr>
        <w:t>[</w:t>
      </w:r>
      <w:r>
        <w:rPr>
          <w:rFonts w:cs="David;Times New Roman"/>
          <w:spacing w:val="0"/>
          <w:szCs w:val="24"/>
          <w:rtl w:val="true"/>
        </w:rPr>
        <w:t>פורסם</w:t>
      </w:r>
      <w:r>
        <w:rPr>
          <w:rFonts w:cs="Times New Roman;Times New Roman"/>
          <w:spacing w:val="0"/>
          <w:szCs w:val="24"/>
          <w:rtl w:val="true"/>
        </w:rPr>
        <w:t xml:space="preserve"> </w:t>
      </w:r>
      <w:r>
        <w:rPr>
          <w:rFonts w:cs="David;Times New Roman"/>
          <w:spacing w:val="0"/>
          <w:szCs w:val="24"/>
          <w:rtl w:val="true"/>
        </w:rPr>
        <w:t>בנבו</w:t>
      </w:r>
      <w:r>
        <w:rPr>
          <w:rFonts w:cs="David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ופסקאות </w:t>
      </w:r>
      <w:r>
        <w:rPr>
          <w:rFonts w:cs="Century" w:ascii="Century" w:hAnsi="Century"/>
        </w:rPr>
        <w:t>12-11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11.11.2012</w:t>
      </w:r>
      <w:r>
        <w:rPr>
          <w:rFonts w:cs="Century" w:ascii="Century" w:hAnsi="Century"/>
          <w:rtl w:val="true"/>
        </w:rPr>
        <w:t xml:space="preserve">); </w:t>
      </w:r>
      <w:hyperlink r:id="rId8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3372/11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/>
          <w:spacing w:val="0"/>
          <w:szCs w:val="24"/>
          <w:rtl w:val="true"/>
        </w:rPr>
        <w:t>[</w:t>
      </w:r>
      <w:r>
        <w:rPr>
          <w:rFonts w:cs="David;Times New Roman"/>
          <w:spacing w:val="0"/>
          <w:szCs w:val="24"/>
          <w:rtl w:val="true"/>
        </w:rPr>
        <w:t>פורסם</w:t>
      </w:r>
      <w:r>
        <w:rPr>
          <w:rFonts w:cs="Times New Roman;Times New Roman"/>
          <w:spacing w:val="0"/>
          <w:szCs w:val="24"/>
          <w:rtl w:val="true"/>
        </w:rPr>
        <w:t xml:space="preserve"> </w:t>
      </w:r>
      <w:r>
        <w:rPr>
          <w:rFonts w:cs="David;Times New Roman"/>
          <w:spacing w:val="0"/>
          <w:szCs w:val="24"/>
          <w:rtl w:val="true"/>
        </w:rPr>
        <w:t>בנבו</w:t>
      </w:r>
      <w:r>
        <w:rPr>
          <w:rFonts w:cs="David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165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176-170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לחוות דעתה של </w:t>
      </w:r>
      <w:r>
        <w:rPr>
          <w:rtl w:val="true"/>
        </w:rPr>
        <w:t>המשנָה</w:t>
      </w:r>
      <w:r>
        <w:rPr>
          <w:rFonts w:ascii="Century" w:hAnsi="Century" w:cs="Century"/>
          <w:rtl w:val="true"/>
        </w:rPr>
        <w:t xml:space="preserve"> לנשיא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כתוארה 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10.11.2011</w:t>
      </w:r>
      <w:r>
        <w:rPr>
          <w:rFonts w:cs="Century" w:ascii="Century" w:hAnsi="Century"/>
          <w:rtl w:val="true"/>
        </w:rPr>
        <w:t xml:space="preserve">); </w:t>
      </w:r>
      <w:hyperlink r:id="rId8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6952/07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רפאילוב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/>
          <w:spacing w:val="0"/>
          <w:szCs w:val="24"/>
          <w:rtl w:val="true"/>
        </w:rPr>
        <w:t>[</w:t>
      </w:r>
      <w:r>
        <w:rPr>
          <w:rFonts w:cs="David;Times New Roman"/>
          <w:spacing w:val="0"/>
          <w:szCs w:val="24"/>
          <w:rtl w:val="true"/>
        </w:rPr>
        <w:t>פורסם</w:t>
      </w:r>
      <w:r>
        <w:rPr>
          <w:rFonts w:cs="Times New Roman;Times New Roman"/>
          <w:spacing w:val="0"/>
          <w:szCs w:val="24"/>
          <w:rtl w:val="true"/>
        </w:rPr>
        <w:t xml:space="preserve"> </w:t>
      </w:r>
      <w:r>
        <w:rPr>
          <w:rFonts w:cs="David;Times New Roman"/>
          <w:spacing w:val="0"/>
          <w:szCs w:val="24"/>
          <w:rtl w:val="true"/>
        </w:rPr>
        <w:t>בנבו</w:t>
      </w:r>
      <w:r>
        <w:rPr>
          <w:rFonts w:cs="David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21-19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28.6.2010</w:t>
      </w:r>
      <w:r>
        <w:rPr>
          <w:rFonts w:cs="Century" w:ascii="Century" w:hAnsi="Century"/>
          <w:rtl w:val="true"/>
        </w:rPr>
        <w:t xml:space="preserve">); </w:t>
      </w:r>
      <w:hyperlink r:id="rId8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3471/08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/>
          <w:spacing w:val="0"/>
          <w:szCs w:val="24"/>
          <w:rtl w:val="true"/>
        </w:rPr>
        <w:t>[</w:t>
      </w:r>
      <w:r>
        <w:rPr>
          <w:rFonts w:cs="David;Times New Roman"/>
          <w:spacing w:val="0"/>
          <w:szCs w:val="24"/>
          <w:rtl w:val="true"/>
        </w:rPr>
        <w:t>פורסם</w:t>
      </w:r>
      <w:r>
        <w:rPr>
          <w:rFonts w:cs="Times New Roman;Times New Roman"/>
          <w:spacing w:val="0"/>
          <w:szCs w:val="24"/>
          <w:rtl w:val="true"/>
        </w:rPr>
        <w:t xml:space="preserve"> </w:t>
      </w:r>
      <w:r>
        <w:rPr>
          <w:rFonts w:cs="David;Times New Roman"/>
          <w:spacing w:val="0"/>
          <w:szCs w:val="24"/>
          <w:rtl w:val="true"/>
        </w:rPr>
        <w:t>בנבו</w:t>
      </w:r>
      <w:r>
        <w:rPr>
          <w:rFonts w:cs="David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8.1.2009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שתואר בהרחבה בחוות דעתו של 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לגרסה החלופית שהציג המערער לפנינו ממילא אין אחיזה מספקת בחומר הראיות בתיק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המבוסס כזכור על ראיות ישירות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ולא מתעורר ספק סביר בדבר אשמתו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</w:t>
      </w: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מלצר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התחבטות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אני סומך את ידי על התוצאה ועל דרך הניתוח שלו לגבי הכרעת הדין</w:t>
      </w:r>
      <w:r>
        <w:rPr>
          <w:rFonts w:cs="Century" w:ascii="Century" w:hAnsi="Century"/>
          <w:rtl w:val="true"/>
        </w:rPr>
        <w:t xml:space="preserve">.  </w:t>
      </w:r>
      <w:r>
        <w:rPr>
          <w:rFonts w:ascii="Century" w:hAnsi="Century" w:cs="Century"/>
          <w:rtl w:val="true"/>
        </w:rPr>
        <w:t>כן אני שותף מלא להערותיו ביחס להתנהלות החקירה שהתקיימה כאן ולקביעתו כי ראוי שגורמי האכיפה יפיקו את הלקחים הדרושים בכל הנוגע לחקירת מתלוננות בכלל ומתלוננות בעבירות מין בפרט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לערעור על גזר הדין יש חשיבות לעובדה שהמערער נטל על עצמו עתה אחריות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 חלקית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למעשי העבירות שביצע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וכואב הלב שהמתלוננת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זכתה להיווכח בכך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בשים לקבלת האחריות החלקית ולמצבו הבריאותי הנוכחי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שהוצג לנו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בהתחשב במכלול הנסיבות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אם דעתי תישמע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נורה על הפחתת שנת מאסר אחת משבע שנות המאסר לריצוי בפועל שנגזרו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השארת שאר רכיבי העונש שהושתו על כנם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</w:r>
      <w:r>
        <w:rPr>
          <w:rtl w:val="true"/>
        </w:rPr>
        <w:t xml:space="preserve">           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עוזי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פוגלמן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עופר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גרוסקופף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bookmarkStart w:id="16" w:name="Nitan"/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19.6.2019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17093020</w:t>
      </w:r>
      <w:r>
        <w:rPr>
          <w:sz w:val="16"/>
          <w:rtl w:val="true"/>
        </w:rPr>
        <w:t>_</w:t>
      </w:r>
      <w:r>
        <w:rPr>
          <w:sz w:val="16"/>
        </w:rPr>
        <w:t>Y22.docx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של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54678313-9302/17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8"/>
      <w:footerReference w:type="default" r:id="rId8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9302/17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Ruller4"/>
    <w:next w:val="Normal"/>
    <w:qFormat/>
    <w:pPr>
      <w:keepNext w:val="true"/>
      <w:numPr>
        <w:ilvl w:val="0"/>
        <w:numId w:val="1"/>
      </w:numPr>
      <w:spacing w:before="360" w:after="240"/>
      <w:outlineLvl w:val="0"/>
    </w:pPr>
    <w:rPr>
      <w:rFonts w:ascii="Century" w:hAnsi="Century" w:cs="Miriam"/>
      <w:b/>
      <w:spacing w:val="0"/>
      <w:sz w:val="24"/>
      <w:szCs w:val="24"/>
    </w:rPr>
  </w:style>
  <w:style w:type="paragraph" w:styleId="Heading2">
    <w:name w:val="heading 2"/>
    <w:basedOn w:val="Ruller4"/>
    <w:next w:val="Normal"/>
    <w:qFormat/>
    <w:pPr>
      <w:keepNext w:val="true"/>
      <w:numPr>
        <w:ilvl w:val="1"/>
        <w:numId w:val="1"/>
      </w:numPr>
      <w:spacing w:before="360" w:after="240"/>
      <w:outlineLvl w:val="1"/>
    </w:pPr>
    <w:rPr>
      <w:rFonts w:ascii="Century" w:hAnsi="Century" w:cs="Miriam"/>
      <w:b/>
      <w:spacing w:val="0"/>
      <w:sz w:val="24"/>
      <w:szCs w:val="24"/>
    </w:rPr>
  </w:style>
  <w:style w:type="paragraph" w:styleId="Heading3">
    <w:name w:val="heading 3"/>
    <w:basedOn w:val="Ruller4"/>
    <w:next w:val="Normal"/>
    <w:qFormat/>
    <w:pPr>
      <w:keepNext w:val="true"/>
      <w:numPr>
        <w:ilvl w:val="2"/>
        <w:numId w:val="1"/>
      </w:numPr>
      <w:spacing w:before="360" w:after="240"/>
      <w:outlineLvl w:val="2"/>
    </w:pPr>
    <w:rPr>
      <w:rFonts w:ascii="Century" w:hAnsi="Century" w:cs="Miriam"/>
      <w:b/>
      <w:spacing w:val="0"/>
      <w:sz w:val="24"/>
      <w:szCs w:val="24"/>
    </w:rPr>
  </w:style>
  <w:style w:type="paragraph" w:styleId="Heading4">
    <w:name w:val="heading 4"/>
    <w:basedOn w:val="Ruller4"/>
    <w:next w:val="Normal"/>
    <w:qFormat/>
    <w:pPr>
      <w:keepNext w:val="true"/>
      <w:numPr>
        <w:ilvl w:val="3"/>
        <w:numId w:val="1"/>
      </w:numPr>
      <w:spacing w:before="360" w:after="240"/>
      <w:outlineLvl w:val="3"/>
    </w:pPr>
    <w:rPr>
      <w:rFonts w:ascii="Century" w:hAnsi="Century" w:cs="Miriam"/>
      <w:b/>
      <w:spacing w:val="0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/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6">
    <w:name w:val=" Char Char6"/>
    <w:qFormat/>
    <w:rPr>
      <w:rFonts w:ascii="Century" w:hAnsi="Century" w:cs="Miriam"/>
      <w:b/>
      <w:sz w:val="24"/>
      <w:szCs w:val="24"/>
    </w:rPr>
  </w:style>
  <w:style w:type="character" w:styleId="CharChar5">
    <w:name w:val=" Char Char5"/>
    <w:qFormat/>
    <w:rPr>
      <w:rFonts w:ascii="Century" w:hAnsi="Century" w:cs="Miriam"/>
      <w:b/>
      <w:sz w:val="24"/>
      <w:szCs w:val="24"/>
    </w:rPr>
  </w:style>
  <w:style w:type="character" w:styleId="CharChar4">
    <w:name w:val=" Char Char4"/>
    <w:qFormat/>
    <w:rPr>
      <w:rFonts w:ascii="Century" w:hAnsi="Century" w:cs="Miriam"/>
      <w:b/>
      <w:sz w:val="24"/>
      <w:szCs w:val="24"/>
    </w:rPr>
  </w:style>
  <w:style w:type="character" w:styleId="CharChar3">
    <w:name w:val=" Char Char3"/>
    <w:qFormat/>
    <w:rPr>
      <w:rFonts w:ascii="Century" w:hAnsi="Century" w:cs="Miriam"/>
      <w:b/>
      <w:sz w:val="24"/>
      <w:szCs w:val="24"/>
    </w:rPr>
  </w:style>
  <w:style w:type="character" w:styleId="Ruller4Char">
    <w:name w:val="Ruller4 Char"/>
    <w:qFormat/>
    <w:rPr>
      <w:rFonts w:ascii="Arial TUR;Arial" w:hAnsi="Arial TUR;Arial" w:cs="FrankRuehl"/>
      <w:spacing w:val="10"/>
      <w:sz w:val="22"/>
      <w:szCs w:val="28"/>
    </w:rPr>
  </w:style>
  <w:style w:type="character" w:styleId="Ruller4Char1">
    <w:name w:val="Ruller 4 ממוספר Char"/>
    <w:qFormat/>
    <w:rPr>
      <w:rFonts w:ascii="Garamond" w:hAnsi="Garamond" w:cs="FrankRuehl"/>
      <w:spacing w:val="10"/>
      <w:sz w:val="24"/>
      <w:szCs w:val="28"/>
    </w:rPr>
  </w:style>
  <w:style w:type="character" w:styleId="Style1Char">
    <w:name w:val="Style1 Char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3"/>
      </w:numPr>
    </w:pPr>
    <w:rPr>
      <w:rFonts w:ascii="Garamond" w:hAnsi="Garamond" w:cs="Garamond"/>
      <w:sz w:val="24"/>
    </w:rPr>
  </w:style>
  <w:style w:type="paragraph" w:styleId="Style11">
    <w:name w:val="Style1"/>
    <w:basedOn w:val="Ruller41"/>
    <w:qFormat/>
    <w:pPr>
      <w:numPr>
        <w:ilvl w:val="0"/>
        <w:numId w:val="0"/>
      </w:numPr>
      <w:ind w:hanging="0" w:start="0" w:end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5188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5.a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6.a.1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2507" TargetMode="External"/><Relationship Id="rId10" Type="http://schemas.openxmlformats.org/officeDocument/2006/relationships/hyperlink" Target="http://www.nevo.co.il/law/72507/3.a.3" TargetMode="External"/><Relationship Id="rId11" Type="http://schemas.openxmlformats.org/officeDocument/2006/relationships/hyperlink" Target="http://www.nevo.co.il/law/72507/3.a.4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211" TargetMode="External"/><Relationship Id="rId14" Type="http://schemas.openxmlformats.org/officeDocument/2006/relationships/hyperlink" Target="http://www.nevo.co.il/law/70301/345.b.1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8.b" TargetMode="External"/><Relationship Id="rId18" Type="http://schemas.openxmlformats.org/officeDocument/2006/relationships/hyperlink" Target="http://www.nevo.co.il/law/70301/345.b.1" TargetMode="External"/><Relationship Id="rId19" Type="http://schemas.openxmlformats.org/officeDocument/2006/relationships/hyperlink" Target="http://www.nevo.co.il/law/70301/345.a.1" TargetMode="External"/><Relationship Id="rId20" Type="http://schemas.openxmlformats.org/officeDocument/2006/relationships/hyperlink" Target="http://www.nevo.co.il/law/72507/3.a.3" TargetMode="External"/><Relationship Id="rId21" Type="http://schemas.openxmlformats.org/officeDocument/2006/relationships/hyperlink" Target="http://www.nevo.co.il/law/72507/3.a.4" TargetMode="External"/><Relationship Id="rId22" Type="http://schemas.openxmlformats.org/officeDocument/2006/relationships/hyperlink" Target="http://www.nevo.co.il/law/72507" TargetMode="External"/><Relationship Id="rId23" Type="http://schemas.openxmlformats.org/officeDocument/2006/relationships/hyperlink" Target="http://www.nevo.co.il/law/70301/245.a" TargetMode="External"/><Relationship Id="rId24" Type="http://schemas.openxmlformats.org/officeDocument/2006/relationships/hyperlink" Target="http://www.nevo.co.il/law/70301/348.b" TargetMode="External"/><Relationship Id="rId25" Type="http://schemas.openxmlformats.org/officeDocument/2006/relationships/hyperlink" Target="http://www.nevo.co.il/law/70301/345.b.1" TargetMode="External"/><Relationship Id="rId26" Type="http://schemas.openxmlformats.org/officeDocument/2006/relationships/hyperlink" Target="http://www.nevo.co.il/law/70301/345.a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45.b.1" TargetMode="External"/><Relationship Id="rId29" Type="http://schemas.openxmlformats.org/officeDocument/2006/relationships/hyperlink" Target="http://www.nevo.co.il/law/70301/345.a.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245.a" TargetMode="External"/><Relationship Id="rId32" Type="http://schemas.openxmlformats.org/officeDocument/2006/relationships/hyperlink" Target="http://www.nevo.co.il/law/70301/348.b" TargetMode="External"/><Relationship Id="rId33" Type="http://schemas.openxmlformats.org/officeDocument/2006/relationships/hyperlink" Target="http://www.nevo.co.il/law/70301/345.b.1" TargetMode="External"/><Relationship Id="rId34" Type="http://schemas.openxmlformats.org/officeDocument/2006/relationships/hyperlink" Target="http://www.nevo.co.il/law/70301/345.a.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2507/3.a.3" TargetMode="External"/><Relationship Id="rId37" Type="http://schemas.openxmlformats.org/officeDocument/2006/relationships/hyperlink" Target="http://www.nevo.co.il/law/72507/3.a.4" TargetMode="External"/><Relationship Id="rId38" Type="http://schemas.openxmlformats.org/officeDocument/2006/relationships/hyperlink" Target="http://www.nevo.co.il/law/72507" TargetMode="External"/><Relationship Id="rId39" Type="http://schemas.openxmlformats.org/officeDocument/2006/relationships/hyperlink" Target="http://www.nevo.co.il/law/70301/346.a.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4903/211" TargetMode="External"/><Relationship Id="rId42" Type="http://schemas.openxmlformats.org/officeDocument/2006/relationships/hyperlink" Target="http://www.nevo.co.il/law/74903" TargetMode="External"/><Relationship Id="rId43" Type="http://schemas.openxmlformats.org/officeDocument/2006/relationships/hyperlink" Target="http://www.nevo.co.il/case/5577959" TargetMode="External"/><Relationship Id="rId44" Type="http://schemas.openxmlformats.org/officeDocument/2006/relationships/hyperlink" Target="http://www.nevo.co.il/case/8245382" TargetMode="External"/><Relationship Id="rId45" Type="http://schemas.openxmlformats.org/officeDocument/2006/relationships/hyperlink" Target="http://www.nevo.co.il/case/5594586" TargetMode="External"/><Relationship Id="rId46" Type="http://schemas.openxmlformats.org/officeDocument/2006/relationships/hyperlink" Target="http://www.nevo.co.il/case/5606376" TargetMode="External"/><Relationship Id="rId47" Type="http://schemas.openxmlformats.org/officeDocument/2006/relationships/hyperlink" Target="http://www.nevo.co.il/case/17925388" TargetMode="External"/><Relationship Id="rId48" Type="http://schemas.openxmlformats.org/officeDocument/2006/relationships/hyperlink" Target="http://www.nevo.co.il/case/16997421" TargetMode="External"/><Relationship Id="rId49" Type="http://schemas.openxmlformats.org/officeDocument/2006/relationships/hyperlink" Target="http://www.nevo.co.il/case/21053257" TargetMode="External"/><Relationship Id="rId50" Type="http://schemas.openxmlformats.org/officeDocument/2006/relationships/hyperlink" Target="http://www.nevo.co.il/case/5573732" TargetMode="External"/><Relationship Id="rId51" Type="http://schemas.openxmlformats.org/officeDocument/2006/relationships/hyperlink" Target="http://www.nevo.co.il/case/6091490" TargetMode="External"/><Relationship Id="rId52" Type="http://schemas.openxmlformats.org/officeDocument/2006/relationships/hyperlink" Target="http://www.nevo.co.il/case/20188577" TargetMode="External"/><Relationship Id="rId53" Type="http://schemas.openxmlformats.org/officeDocument/2006/relationships/hyperlink" Target="http://www.nevo.co.il/case/5747789" TargetMode="External"/><Relationship Id="rId54" Type="http://schemas.openxmlformats.org/officeDocument/2006/relationships/hyperlink" Target="http://www.nevo.co.il/case/21534201" TargetMode="External"/><Relationship Id="rId55" Type="http://schemas.openxmlformats.org/officeDocument/2006/relationships/hyperlink" Target="http://www.nevo.co.il/case/6245326" TargetMode="External"/><Relationship Id="rId56" Type="http://schemas.openxmlformats.org/officeDocument/2006/relationships/hyperlink" Target="http://www.nevo.co.il/case/5951406" TargetMode="External"/><Relationship Id="rId57" Type="http://schemas.openxmlformats.org/officeDocument/2006/relationships/hyperlink" Target="http://www.nevo.co.il/case/5951406" TargetMode="External"/><Relationship Id="rId58" Type="http://schemas.openxmlformats.org/officeDocument/2006/relationships/hyperlink" Target="http://www.nevo.co.il/case/23354200" TargetMode="External"/><Relationship Id="rId59" Type="http://schemas.openxmlformats.org/officeDocument/2006/relationships/hyperlink" Target="http://www.nevo.co.il/case/5756128" TargetMode="External"/><Relationship Id="rId60" Type="http://schemas.openxmlformats.org/officeDocument/2006/relationships/hyperlink" Target="http://www.nevo.co.il/case/5580687" TargetMode="External"/><Relationship Id="rId61" Type="http://schemas.openxmlformats.org/officeDocument/2006/relationships/hyperlink" Target="http://www.nevo.co.il/case/5951406" TargetMode="External"/><Relationship Id="rId62" Type="http://schemas.openxmlformats.org/officeDocument/2006/relationships/hyperlink" Target="http://www.nevo.co.il/case/22948019" TargetMode="External"/><Relationship Id="rId63" Type="http://schemas.openxmlformats.org/officeDocument/2006/relationships/hyperlink" Target="http://www.nevo.co.il/case/694026" TargetMode="External"/><Relationship Id="rId64" Type="http://schemas.openxmlformats.org/officeDocument/2006/relationships/hyperlink" Target="http://www.nevo.co.il/case/694026" TargetMode="External"/><Relationship Id="rId65" Type="http://schemas.openxmlformats.org/officeDocument/2006/relationships/hyperlink" Target="http://www.nevo.co.il/case/5675714" TargetMode="External"/><Relationship Id="rId66" Type="http://schemas.openxmlformats.org/officeDocument/2006/relationships/hyperlink" Target="http://www.nevo.co.il/case/6041035" TargetMode="External"/><Relationship Id="rId67" Type="http://schemas.openxmlformats.org/officeDocument/2006/relationships/hyperlink" Target="http://www.nevo.co.il/case/6088001" TargetMode="External"/><Relationship Id="rId68" Type="http://schemas.openxmlformats.org/officeDocument/2006/relationships/hyperlink" Target="http://www.nevo.co.il/case/16910772" TargetMode="External"/><Relationship Id="rId69" Type="http://schemas.openxmlformats.org/officeDocument/2006/relationships/hyperlink" Target="http://www.nevo.co.il/case/22261453" TargetMode="External"/><Relationship Id="rId70" Type="http://schemas.openxmlformats.org/officeDocument/2006/relationships/hyperlink" Target="http://www.nevo.co.il/case/694026" TargetMode="External"/><Relationship Id="rId71" Type="http://schemas.openxmlformats.org/officeDocument/2006/relationships/hyperlink" Target="http://www.nevo.co.il/case/13055209" TargetMode="External"/><Relationship Id="rId72" Type="http://schemas.openxmlformats.org/officeDocument/2006/relationships/hyperlink" Target="http://www.nevo.co.il/case/22584830" TargetMode="External"/><Relationship Id="rId73" Type="http://schemas.openxmlformats.org/officeDocument/2006/relationships/hyperlink" Target="http://www.nevo.co.il/case/22584830" TargetMode="External"/><Relationship Id="rId74" Type="http://schemas.openxmlformats.org/officeDocument/2006/relationships/hyperlink" Target="http://www.nevo.co.il/case/22791287" TargetMode="External"/><Relationship Id="rId75" Type="http://schemas.openxmlformats.org/officeDocument/2006/relationships/hyperlink" Target="http://www.nevo.co.il/case/22791287" TargetMode="External"/><Relationship Id="rId76" Type="http://schemas.openxmlformats.org/officeDocument/2006/relationships/hyperlink" Target="http://www.nevo.co.il/case/22232071" TargetMode="External"/><Relationship Id="rId77" Type="http://schemas.openxmlformats.org/officeDocument/2006/relationships/hyperlink" Target="http://www.nevo.co.il/case/21474168" TargetMode="External"/><Relationship Id="rId78" Type="http://schemas.openxmlformats.org/officeDocument/2006/relationships/hyperlink" Target="http://www.nevo.co.il/case/22791287" TargetMode="External"/><Relationship Id="rId79" Type="http://schemas.openxmlformats.org/officeDocument/2006/relationships/hyperlink" Target="http://www.nevo.co.il/case/22584830" TargetMode="External"/><Relationship Id="rId80" Type="http://schemas.openxmlformats.org/officeDocument/2006/relationships/hyperlink" Target="http://www.nevo.co.il/case/24353062" TargetMode="External"/><Relationship Id="rId81" Type="http://schemas.openxmlformats.org/officeDocument/2006/relationships/hyperlink" Target="http://www.nevo.co.il/case/24263089" TargetMode="External"/><Relationship Id="rId82" Type="http://schemas.openxmlformats.org/officeDocument/2006/relationships/hyperlink" Target="http://www.nevo.co.il/case/5606376" TargetMode="External"/><Relationship Id="rId83" Type="http://schemas.openxmlformats.org/officeDocument/2006/relationships/hyperlink" Target="http://www.nevo.co.il/case/5573732" TargetMode="External"/><Relationship Id="rId84" Type="http://schemas.openxmlformats.org/officeDocument/2006/relationships/hyperlink" Target="http://www.nevo.co.il/case/6091490" TargetMode="External"/><Relationship Id="rId85" Type="http://schemas.openxmlformats.org/officeDocument/2006/relationships/hyperlink" Target="http://www.nevo.co.il/case/5897212" TargetMode="External"/><Relationship Id="rId86" Type="http://schemas.openxmlformats.org/officeDocument/2006/relationships/hyperlink" Target="http://supreme.court.gov.il/" TargetMode="External"/><Relationship Id="rId87" Type="http://schemas.openxmlformats.org/officeDocument/2006/relationships/hyperlink" Target="http://www.nevo.co.il/advertisements/nevo-100.doc" TargetMode="External"/><Relationship Id="rId88" Type="http://schemas.openxmlformats.org/officeDocument/2006/relationships/header" Target="header1.xml"/><Relationship Id="rId89" Type="http://schemas.openxmlformats.org/officeDocument/2006/relationships/footer" Target="footer1.xml"/><Relationship Id="rId90" Type="http://schemas.openxmlformats.org/officeDocument/2006/relationships/numbering" Target="numbering.xml"/><Relationship Id="rId91" Type="http://schemas.openxmlformats.org/officeDocument/2006/relationships/fontTable" Target="fontTable.xml"/><Relationship Id="rId92" Type="http://schemas.openxmlformats.org/officeDocument/2006/relationships/settings" Target="settings.xml"/><Relationship Id="rId9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36</Pages>
  <Words>9827</Words>
  <Characters>45920</Characters>
  <CharactersWithSpaces>55753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2019-06-20T12:17:00Z</dcterms:created>
  <dc:creator>h4</dc:creator>
  <dc:description/>
  <cp:keywords/>
  <dc:language>en-IL</dc:language>
  <cp:lastModifiedBy>orly</cp:lastModifiedBy>
  <cp:lastPrinted>2019-06-19T10:47:00Z</cp:lastPrinted>
  <dcterms:modified xsi:type="dcterms:W3CDTF">2019-06-20T12:17:00Z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20351889;5577959;8245382;5594586;5606376:2;17925388;16997421;21053257;5573732:2;6091490:2;20188577;5747789;21534201;6245326;5951406:3;23354200;5756128;5580687;22948019;694026:3;5675714;6041035;6088001;16910772;22261453;13055209;22584830:3;22791287:3</vt:lpwstr>
  </property>
  <property fmtid="{D5CDD505-2E9C-101B-9397-08002B2CF9AE}" pid="9" name="CASESLISTTMP2">
    <vt:lpwstr>22232071;21474168;24353062;24263089;5897212</vt:lpwstr>
  </property>
  <property fmtid="{D5CDD505-2E9C-101B-9397-08002B2CF9AE}" pid="10" name="CITY">
    <vt:lpwstr/>
  </property>
  <property fmtid="{D5CDD505-2E9C-101B-9397-08002B2CF9AE}" pid="11" name="DATE">
    <vt:lpwstr>20190619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ע' פוגלמן;ע' גרוסקופף;ח' מלצר</vt:lpwstr>
  </property>
  <property fmtid="{D5CDD505-2E9C-101B-9397-08002B2CF9AE}" pid="15" name="LAWLISTTMP1">
    <vt:lpwstr>70301/345.b.1:5;345.a.1:5;348.b:3;245.a:2;346.a.1</vt:lpwstr>
  </property>
  <property fmtid="{D5CDD505-2E9C-101B-9397-08002B2CF9AE}" pid="16" name="LAWLISTTMP2">
    <vt:lpwstr>72507/003.a.3:2;003.a.4:2</vt:lpwstr>
  </property>
  <property fmtid="{D5CDD505-2E9C-101B-9397-08002B2CF9AE}" pid="17" name="LAWLISTTMP3">
    <vt:lpwstr>74903/211</vt:lpwstr>
  </property>
  <property fmtid="{D5CDD505-2E9C-101B-9397-08002B2CF9AE}" pid="18" name="LAWYER">
    <vt:lpwstr>ארז בן ארויה;טלי גוטליב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דיון פלילי</vt:lpwstr>
  </property>
  <property fmtid="{D5CDD505-2E9C-101B-9397-08002B2CF9AE}" pid="32" name="NOSE13">
    <vt:lpwstr>דיון פלילי</vt:lpwstr>
  </property>
  <property fmtid="{D5CDD505-2E9C-101B-9397-08002B2CF9AE}" pid="33" name="NOSE14">
    <vt:lpwstr>דיון פלילי</vt:lpwstr>
  </property>
  <property fmtid="{D5CDD505-2E9C-101B-9397-08002B2CF9AE}" pid="34" name="NOSE15">
    <vt:lpwstr>דיון פלילי</vt:lpwstr>
  </property>
  <property fmtid="{D5CDD505-2E9C-101B-9397-08002B2CF9AE}" pid="35" name="NOSE16">
    <vt:lpwstr>ראיות</vt:lpwstr>
  </property>
  <property fmtid="{D5CDD505-2E9C-101B-9397-08002B2CF9AE}" pid="36" name="NOSE17">
    <vt:lpwstr>עונשין</vt:lpwstr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18;18;18;18;18;89;77</vt:lpwstr>
  </property>
  <property fmtid="{D5CDD505-2E9C-101B-9397-08002B2CF9AE}" pid="40" name="NOSE21">
    <vt:lpwstr>בירור האשמה</vt:lpwstr>
  </property>
  <property fmtid="{D5CDD505-2E9C-101B-9397-08002B2CF9AE}" pid="41" name="NOSE210">
    <vt:lpwstr/>
  </property>
  <property fmtid="{D5CDD505-2E9C-101B-9397-08002B2CF9AE}" pid="42" name="NOSE22">
    <vt:lpwstr>בירור האשמה</vt:lpwstr>
  </property>
  <property fmtid="{D5CDD505-2E9C-101B-9397-08002B2CF9AE}" pid="43" name="NOSE23">
    <vt:lpwstr>הרשעה</vt:lpwstr>
  </property>
  <property fmtid="{D5CDD505-2E9C-101B-9397-08002B2CF9AE}" pid="44" name="NOSE24">
    <vt:lpwstr>ערעור</vt:lpwstr>
  </property>
  <property fmtid="{D5CDD505-2E9C-101B-9397-08002B2CF9AE}" pid="45" name="NOSE25">
    <vt:lpwstr>חקירה במשטרה</vt:lpwstr>
  </property>
  <property fmtid="{D5CDD505-2E9C-101B-9397-08002B2CF9AE}" pid="46" name="NOSE26">
    <vt:lpwstr>הכחשה כוללת של האישום</vt:lpwstr>
  </property>
  <property fmtid="{D5CDD505-2E9C-101B-9397-08002B2CF9AE}" pid="47" name="NOSE27">
    <vt:lpwstr>ענישה</vt:lpwstr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449;449;465;504;475;1624;1446</vt:lpwstr>
  </property>
  <property fmtid="{D5CDD505-2E9C-101B-9397-08002B2CF9AE}" pid="51" name="NOSE31">
    <vt:lpwstr>קו הגנה חלופי</vt:lpwstr>
  </property>
  <property fmtid="{D5CDD505-2E9C-101B-9397-08002B2CF9AE}" pid="52" name="NOSE310">
    <vt:lpwstr/>
  </property>
  <property fmtid="{D5CDD505-2E9C-101B-9397-08002B2CF9AE}" pid="53" name="NOSE32">
    <vt:lpwstr>גירסאות עובדתיות חלופיות במשפט פלילי</vt:lpwstr>
  </property>
  <property fmtid="{D5CDD505-2E9C-101B-9397-08002B2CF9AE}" pid="54" name="NOSE33">
    <vt:lpwstr>ספק סביר</vt:lpwstr>
  </property>
  <property fmtid="{D5CDD505-2E9C-101B-9397-08002B2CF9AE}" pid="55" name="NOSE34">
    <vt:lpwstr>התערבות במימצאים עובדתיים</vt:lpwstr>
  </property>
  <property fmtid="{D5CDD505-2E9C-101B-9397-08002B2CF9AE}" pid="56" name="NOSE35">
    <vt:lpwstr>מחדלי חקירה</vt:lpwstr>
  </property>
  <property fmtid="{D5CDD505-2E9C-101B-9397-08002B2CF9AE}" pid="57" name="NOSE36">
    <vt:lpwstr>נפקותה</vt:lpwstr>
  </property>
  <property fmtid="{D5CDD505-2E9C-101B-9397-08002B2CF9AE}" pid="58" name="NOSE37">
    <vt:lpwstr>מדיניות ענישה: עבירות מין בקטינים</vt:lpwstr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15564;12862;3635;3858;3672;10093;16970</vt:lpwstr>
  </property>
  <property fmtid="{D5CDD505-2E9C-101B-9397-08002B2CF9AE}" pid="62" name="PADIDATE">
    <vt:lpwstr>20190620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9302</vt:lpwstr>
  </property>
  <property fmtid="{D5CDD505-2E9C-101B-9397-08002B2CF9AE}" pid="68" name="PROCYEAR">
    <vt:lpwstr>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410120190619</vt:lpwstr>
  </property>
  <property fmtid="{D5CDD505-2E9C-101B-9397-08002B2CF9AE}" pid="72" name="TYPE_N_DATE">
    <vt:lpwstr>41020190619</vt:lpwstr>
  </property>
  <property fmtid="{D5CDD505-2E9C-101B-9397-08002B2CF9AE}" pid="73" name="VOLUME">
    <vt:lpwstr/>
  </property>
  <property fmtid="{D5CDD505-2E9C-101B-9397-08002B2CF9AE}" pid="74" name="WORDNUMPAGES">
    <vt:lpwstr>31</vt:lpwstr>
  </property>
</Properties>
</file>