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9306/20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Ruller4"/>
              <w:spacing w:lineRule="auto" w:line="240"/>
              <w:ind w:end="0"/>
              <w:jc w:val="both"/>
              <w:rPr>
                <w:rFonts w:ascii="Times New Roman" w:hAnsi="Times New Roman" w:cs="David;Malgun Gothic Semilight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סבאג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 xml:space="preserve">)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Times New Roman" w:hAnsi="Times New Roman" w:cs="David;Malgun Gothic Semilight"/>
                  <w:color w:val="0000FF"/>
                  <w:spacing w:val="0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Malgun Gothic Semilight" w:ascii="Times New Roman" w:hAnsi="Times New Roman"/>
                  <w:color w:val="0000FF"/>
                  <w:spacing w:val="0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Times New Roman" w:hAnsi="Times New Roman" w:cs="David;Malgun Gothic Semilight"/>
                  <w:color w:val="0000FF"/>
                  <w:spacing w:val="0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Times New Roman" w:hAnsi="Times New Roman" w:cs="Times New Roman"/>
                  <w:color w:val="0000FF"/>
                  <w:spacing w:val="0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Malgun Gothic Semilight" w:ascii="Times New Roman" w:hAnsi="Times New Roman"/>
                  <w:color w:val="0000FF"/>
                  <w:spacing w:val="0"/>
                  <w:sz w:val="24"/>
                  <w:szCs w:val="24"/>
                  <w:u w:val="single"/>
                </w:rPr>
                <w:t>43273-11-19</w:t>
              </w:r>
            </w:hyperlink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Malgun Gothic Semilight" w:ascii="Times New Roman" w:hAnsi="Times New Roman"/>
                <w:spacing w:val="0"/>
                <w:szCs w:val="24"/>
                <w:rtl w:val="true"/>
              </w:rPr>
              <w:t>[</w:t>
            </w:r>
            <w:r>
              <w:rPr>
                <w:rFonts w:ascii="Times New Roman" w:hAnsi="Times New Roman" w:cs="David;Malgun Gothic Semilight"/>
                <w:spacing w:val="0"/>
                <w:szCs w:val="24"/>
                <w:rtl w:val="true"/>
              </w:rPr>
              <w:t>פורסם</w:t>
            </w:r>
            <w:r>
              <w:rPr>
                <w:rFonts w:ascii="Times New Roman" w:hAnsi="Times New Roman" w:cs="Times New Roman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Cs w:val="24"/>
                <w:rtl w:val="true"/>
              </w:rPr>
              <w:t>בנבו</w:t>
            </w:r>
            <w:r>
              <w:rPr>
                <w:rFonts w:cs="David;Malgun Gothic Semilight" w:ascii="Times New Roman" w:hAnsi="Times New Roman"/>
                <w:spacing w:val="0"/>
                <w:szCs w:val="24"/>
                <w:rtl w:val="true"/>
              </w:rPr>
              <w:t xml:space="preserve">]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בימים</w:t>
            </w:r>
            <w:r>
              <w:rPr>
                <w:rFonts w:ascii="Times New Roman" w:hAnsi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</w:rPr>
              <w:t>10.11.2020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;Malgun Gothic Semilight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  <w:rtl w:val="true"/>
              </w:rPr>
              <w:t>-</w:t>
            </w:r>
            <w:r>
              <w:rPr>
                <w:rFonts w:cs="David;Malgun Gothic Semilight" w:ascii="Times New Roman" w:hAnsi="Times New Roman"/>
                <w:spacing w:val="0"/>
                <w:sz w:val="24"/>
                <w:szCs w:val="24"/>
              </w:rPr>
              <w:t>15.12.2020</w:t>
            </w:r>
          </w:p>
          <w:p>
            <w:pPr>
              <w:pStyle w:val="BodyRuller1"/>
              <w:ind w:end="0"/>
              <w:jc w:val="start"/>
              <w:rPr>
                <w:rFonts w:ascii="Times New Roman" w:hAnsi="Times New Roman" w:cs="David;Malgun Gothic Semilight"/>
                <w:spacing w:val="0"/>
                <w:sz w:val="24"/>
                <w:szCs w:val="24"/>
              </w:rPr>
            </w:pPr>
            <w:r>
              <w:rPr>
                <w:rFonts w:cs="David;Malgun Gothic Semilight"/>
                <w:spacing w:val="0"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24.4.2021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גרוסמן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שהפלילו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להיסדק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נסדקה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בנשיאה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אבטחה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במאזדה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זוהו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הרסיסים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באוויר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מאקדחו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כשאקדחו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דכאן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הרסיסים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שזיהה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FrankRuehl"/>
          <w:sz w:val="24"/>
          <w:szCs w:val="26"/>
          <w:rtl w:val="true"/>
        </w:rPr>
        <w:t xml:space="preserve">. 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מהסמטה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מנפילה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לרסיסים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והרופא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רסיסי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שמעמידן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הנזרקת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האוויר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תימוכין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כבקשתך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מכלכלת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שעיקרם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נקיטת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להפליל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שהפלילו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להיסדק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נסדקה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המאזדה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לרסיסים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שנאספו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נטול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ולהרחקת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הדין ועל גזר הדין שניתנו על ידי בית המשפט המחוזי 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43273-11-19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בימים </w:t>
      </w:r>
      <w:r>
        <w:rPr/>
        <w:t>10.11.2020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15.12.2020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בגדרו של פסק דין זה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tl w:val="true"/>
        </w:rPr>
        <w:t xml:space="preserve">) </w:t>
      </w:r>
      <w:r>
        <w:rPr>
          <w:rtl w:val="true"/>
        </w:rPr>
        <w:t>הורשע המערער בגרימת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, </w:t>
      </w:r>
      <w:hyperlink r:id="rId16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וכן בנשיאה</w:t>
      </w:r>
      <w:r>
        <w:rPr>
          <w:rtl w:val="true"/>
        </w:rPr>
        <w:t xml:space="preserve">, </w:t>
      </w:r>
      <w:r>
        <w:rPr>
          <w:rtl w:val="true"/>
        </w:rPr>
        <w:t>הובלה והחזקה של כלי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והושתו עליו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 אשר כוללים מאסר מותנה</w:t>
      </w:r>
      <w:r>
        <w:rPr>
          <w:rtl w:val="true"/>
        </w:rPr>
        <w:t xml:space="preserve">, </w:t>
      </w:r>
      <w:r>
        <w:rPr>
          <w:rtl w:val="true"/>
        </w:rPr>
        <w:t>פיצוי לנפגע העבירה</w:t>
      </w:r>
      <w:r>
        <w:rPr>
          <w:rtl w:val="true"/>
        </w:rPr>
        <w:t xml:space="preserve">, </w:t>
      </w:r>
      <w:r>
        <w:rPr>
          <w:rtl w:val="true"/>
        </w:rPr>
        <w:t>וחילוט כלי הרכב ששימש את המערער בביצוע העבירות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בפסק הדין קמא נפלה טעות בזיהוי היורה וכי מעשה הירי לא הוכח כדבעי</w:t>
      </w:r>
      <w:r>
        <w:rPr>
          <w:rtl w:val="true"/>
        </w:rPr>
        <w:t xml:space="preserve">, </w:t>
      </w:r>
      <w:r>
        <w:rPr>
          <w:rtl w:val="true"/>
        </w:rPr>
        <w:t>כמו גם החבלה כפועל יוצא מהירי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ובשל מחדלי חקירה שונים שהמערער מייחס למשטרה</w:t>
      </w:r>
      <w:r>
        <w:rPr>
          <w:rtl w:val="true"/>
        </w:rPr>
        <w:t xml:space="preserve">, </w:t>
      </w:r>
      <w:r>
        <w:rPr>
          <w:rtl w:val="true"/>
        </w:rPr>
        <w:t>סבור המערער כי מן הדין לבטל את הרשעתו</w:t>
      </w:r>
      <w:r>
        <w:rPr>
          <w:rtl w:val="true"/>
        </w:rPr>
        <w:t xml:space="preserve">. </w:t>
      </w:r>
      <w:r>
        <w:rPr>
          <w:rtl w:val="true"/>
        </w:rPr>
        <w:t xml:space="preserve">לחלופין טוען המערער כי מן הראוי שנקל במאסרו ככל שניתן בשל גילו הצעיר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נסיבות חייו והיותו נעדר עבר פלילי לפני האירוע שבגינו הוא הורשע על ידי בית משפט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 כי בערעור זה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, </w:t>
      </w:r>
      <w:r>
        <w:rPr>
          <w:rtl w:val="true"/>
        </w:rPr>
        <w:t>אין כל ממש</w:t>
      </w:r>
      <w:r>
        <w:rPr>
          <w:rtl w:val="true"/>
        </w:rPr>
        <w:t xml:space="preserve">. </w:t>
      </w:r>
      <w:r>
        <w:rPr>
          <w:rtl w:val="true"/>
        </w:rPr>
        <w:t>מן הדין הוא אפוא כי נדחה ערעור זה מבלי לשנות דבר בפסק הדין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האירוע נשוא פסק הדין הוסרט באמצעות מצלמות אבטחה שפעלו במקום</w:t>
      </w:r>
      <w:r>
        <w:rPr>
          <w:rtl w:val="true"/>
        </w:rPr>
        <w:t xml:space="preserve">. </w:t>
      </w:r>
      <w:r>
        <w:rPr>
          <w:rtl w:val="true"/>
        </w:rPr>
        <w:t>לבקשת הסניגור</w:t>
      </w:r>
      <w:r>
        <w:rPr>
          <w:rtl w:val="true"/>
        </w:rPr>
        <w:t xml:space="preserve">, </w:t>
      </w:r>
      <w:r>
        <w:rPr>
          <w:rtl w:val="true"/>
        </w:rPr>
        <w:t xml:space="preserve">צפיתי בסרטים שהוסרטו על ידי המצלמות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האבטחה</w:t>
      </w:r>
      <w:r>
        <w:rPr>
          <w:rtl w:val="true"/>
        </w:rPr>
        <w:t xml:space="preserve">). </w:t>
      </w:r>
      <w:r>
        <w:rPr>
          <w:rtl w:val="true"/>
        </w:rPr>
        <w:t>בעקבות צפייתי בסרטים</w:t>
      </w:r>
      <w:r>
        <w:rPr>
          <w:rtl w:val="true"/>
        </w:rPr>
        <w:t xml:space="preserve">, </w:t>
      </w:r>
      <w:r>
        <w:rPr>
          <w:rtl w:val="true"/>
        </w:rPr>
        <w:t>הגעתי למסקנות הזהות לאלו של בית משפט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ואלה הן המסקנות הברורות אשר עולות מסרטי האבטחה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10.11.2019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המאזדה</w:t>
      </w:r>
      <w:r>
        <w:rPr>
          <w:rtl w:val="true"/>
        </w:rPr>
        <w:t xml:space="preserve">)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: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שנורו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המאזדה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הסמטה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מהסמטה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ונשכב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בסמוך לאחר האירוע</w:t>
      </w:r>
      <w:r>
        <w:rPr>
          <w:rtl w:val="true"/>
        </w:rPr>
        <w:t xml:space="preserve">, </w:t>
      </w:r>
      <w:r>
        <w:rPr>
          <w:rtl w:val="true"/>
        </w:rPr>
        <w:t>קיבל המתלונן עזרה רפואית בבית חולים שבמהלכה הוצאו מרגלו שלושה רסיסים</w:t>
      </w:r>
      <w:r>
        <w:rPr>
          <w:rtl w:val="true"/>
        </w:rPr>
        <w:t xml:space="preserve">. </w:t>
      </w:r>
      <w:r>
        <w:rPr>
          <w:rtl w:val="true"/>
        </w:rPr>
        <w:t>על כך העידו המתלונן עצמו והרופא שטיפל בו בבית החולים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מוקאלשי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המתלונן מסר עדות שעיקריה נמצאו אמינים על ידי בית משפט קמא</w:t>
      </w:r>
      <w:r>
        <w:rPr>
          <w:rtl w:val="true"/>
        </w:rPr>
        <w:t xml:space="preserve">. </w:t>
      </w:r>
      <w:r>
        <w:rPr>
          <w:rtl w:val="true"/>
        </w:rPr>
        <w:t>לדברי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בינו לבין המערער קיימת היכרות מוקדמת </w:t>
      </w:r>
      <w:r>
        <w:rPr>
          <w:rtl w:val="true"/>
        </w:rPr>
        <w:t>"</w:t>
      </w:r>
      <w:r>
        <w:rPr>
          <w:rtl w:val="true"/>
        </w:rPr>
        <w:t>מהשכונה</w:t>
      </w:r>
      <w:r>
        <w:rPr>
          <w:rtl w:val="true"/>
        </w:rPr>
        <w:t xml:space="preserve">". </w:t>
      </w:r>
      <w:r>
        <w:rPr>
          <w:rtl w:val="true"/>
        </w:rPr>
        <w:t xml:space="preserve">כמו כן מסר המתלונן כי הוא זיהה את המערער כמי שירה לכיוונו בתוך הסמטה </w:t>
      </w:r>
      <w:r>
        <w:rPr>
          <w:rtl w:val="true"/>
        </w:rPr>
        <w:t>–</w:t>
      </w:r>
      <w:r>
        <w:rPr>
          <w:rtl w:val="true"/>
        </w:rPr>
        <w:t xml:space="preserve"> הן במהלך האירוע עצמו והן כשצפה בסרטי האבטחה לאחר 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זוהה גם על ידי ג</w:t>
      </w:r>
      <w:r>
        <w:rPr>
          <w:rtl w:val="true"/>
        </w:rPr>
        <w:t>'</w:t>
      </w:r>
      <w:r>
        <w:rPr>
          <w:rtl w:val="true"/>
        </w:rPr>
        <w:t xml:space="preserve">יריס ארמניוס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ארמניוס</w:t>
      </w:r>
      <w:r>
        <w:rPr>
          <w:rtl w:val="true"/>
        </w:rPr>
        <w:t xml:space="preserve">), </w:t>
      </w:r>
      <w:r>
        <w:rPr>
          <w:rtl w:val="true"/>
        </w:rPr>
        <w:t xml:space="preserve">שמסר למשטרה הודעה כתובה אשר התקבלה כראיה קבילה לאמיתות תוכנה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לאחר שהלה נמנע מלחזור בעדותו על הדברים שאמר במשטרה</w:t>
      </w:r>
      <w:r>
        <w:rPr>
          <w:rtl w:val="true"/>
        </w:rPr>
        <w:t xml:space="preserve">. </w:t>
      </w:r>
      <w:r>
        <w:rPr>
          <w:rtl w:val="true"/>
        </w:rPr>
        <w:t>בהודעה זו</w:t>
      </w:r>
      <w:r>
        <w:rPr>
          <w:rtl w:val="true"/>
        </w:rPr>
        <w:t xml:space="preserve">, </w:t>
      </w:r>
      <w:r>
        <w:rPr>
          <w:rtl w:val="true"/>
        </w:rPr>
        <w:t>זיהה ארמניוס את המערער כיורה כאשר צפה בסרטי האבטחה</w:t>
      </w:r>
      <w:r>
        <w:rPr>
          <w:rtl w:val="true"/>
        </w:rPr>
        <w:t xml:space="preserve">. </w:t>
      </w:r>
      <w:r>
        <w:rPr>
          <w:rtl w:val="true"/>
        </w:rPr>
        <w:t>כמו כן זיהה ארמניוס את המאזדה</w:t>
      </w:r>
      <w:r>
        <w:rPr>
          <w:rtl w:val="true"/>
        </w:rPr>
        <w:t xml:space="preserve">, </w:t>
      </w:r>
      <w:r>
        <w:rPr>
          <w:rtl w:val="true"/>
        </w:rPr>
        <w:t xml:space="preserve">שכן הוא מכר אותה למערער זמן קצר לפני האירוע וטרם הספיק להעביר את רישום הבעלות ברכב על שמו של המערער </w:t>
      </w:r>
      <w:r>
        <w:rPr>
          <w:rtl w:val="true"/>
        </w:rPr>
        <w:t>(</w:t>
      </w:r>
      <w:r>
        <w:rPr>
          <w:rtl w:val="true"/>
        </w:rPr>
        <w:t>דבר שאיפשר למשטרה להגיע אליו בקלות</w:t>
      </w:r>
      <w:r>
        <w:rPr>
          <w:rtl w:val="true"/>
        </w:rPr>
        <w:t xml:space="preserve">, </w:t>
      </w:r>
      <w:r>
        <w:rPr>
          <w:rtl w:val="true"/>
        </w:rPr>
        <w:t>כשבידה מספר הרישוי של המאזדה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 xml:space="preserve">כי ראיות אלו מספיקות להרשעת המערער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במיוחד לאחר שידענו כי הלה הפקיר את המאזדה ו</w:t>
      </w:r>
      <w:r>
        <w:rPr>
          <w:rtl w:val="true"/>
        </w:rPr>
        <w:t>"</w:t>
      </w:r>
      <w:r>
        <w:rPr>
          <w:rtl w:val="true"/>
        </w:rPr>
        <w:t>ירד למחתרת</w:t>
      </w:r>
      <w:r>
        <w:rPr>
          <w:rtl w:val="true"/>
        </w:rPr>
        <w:t xml:space="preserve">" </w:t>
      </w:r>
      <w:r>
        <w:rPr>
          <w:rtl w:val="true"/>
        </w:rPr>
        <w:t>מיד לאחר האירוע</w:t>
      </w:r>
      <w:r>
        <w:rPr>
          <w:rtl w:val="true"/>
        </w:rPr>
        <w:t xml:space="preserve">, </w:t>
      </w:r>
      <w:r>
        <w:rPr>
          <w:rtl w:val="true"/>
        </w:rPr>
        <w:t>אחרי שדאג לכבות את מכשיר הטלפון הסלולרי שלו</w:t>
      </w:r>
      <w:r>
        <w:rPr>
          <w:rtl w:val="true"/>
        </w:rPr>
        <w:t xml:space="preserve">. </w:t>
      </w:r>
      <w:r>
        <w:rPr>
          <w:rtl w:val="true"/>
        </w:rPr>
        <w:t xml:space="preserve">לראיות אלה ניתן להוסיף עוד כהנה וכהנה ראיות אשר נזקפו לחובת המערער על ידי בית משפט קמא ואשר כללו את גרסאותיו התמוהות של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תמוהות</w:t>
      </w:r>
      <w:r>
        <w:rPr>
          <w:rtl w:val="true"/>
        </w:rPr>
        <w:t xml:space="preserve">", </w:t>
      </w:r>
      <w:r>
        <w:rPr>
          <w:rtl w:val="true"/>
        </w:rPr>
        <w:t xml:space="preserve">בלשון עדינה </w:t>
      </w:r>
      <w:r>
        <w:rPr>
          <w:rtl w:val="true"/>
        </w:rPr>
        <w:t>–</w:t>
      </w:r>
      <w:r>
        <w:rPr>
          <w:rtl w:val="true"/>
        </w:rPr>
        <w:t xml:space="preserve"> בנוגע למקום הימצאו בזמן האירוע ובסמוך אחריו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תמה אפוא שבית משפט קמא מצא כי המערער ביצע את מעשה הירי</w:t>
      </w:r>
      <w:r>
        <w:rPr>
          <w:rtl w:val="true"/>
        </w:rPr>
        <w:t xml:space="preserve">, </w:t>
      </w:r>
      <w:r>
        <w:rPr>
          <w:rtl w:val="true"/>
        </w:rPr>
        <w:t>בעצמו או בצוותא חדא עם האדם האחר שנסע עמו במאזדה</w:t>
      </w:r>
      <w:r>
        <w:rPr>
          <w:rtl w:val="true"/>
        </w:rPr>
        <w:t xml:space="preserve">, </w:t>
      </w:r>
      <w:r>
        <w:rPr>
          <w:rtl w:val="true"/>
        </w:rPr>
        <w:t>וכי רסיסי הירי פגעו ברגלו של המתלונן וגרמו לו חבלה חמורה</w:t>
      </w:r>
      <w:r>
        <w:rPr>
          <w:rtl w:val="true"/>
        </w:rPr>
        <w:t xml:space="preserve">. </w:t>
      </w:r>
      <w:r>
        <w:rPr>
          <w:rtl w:val="true"/>
        </w:rPr>
        <w:t>מטעמי זהירות</w:t>
      </w:r>
      <w:r>
        <w:rPr>
          <w:rtl w:val="true"/>
        </w:rPr>
        <w:t xml:space="preserve">, </w:t>
      </w:r>
      <w:r>
        <w:rPr>
          <w:rtl w:val="true"/>
        </w:rPr>
        <w:t>ורק בעטיים</w:t>
      </w:r>
      <w:r>
        <w:rPr>
          <w:rtl w:val="true"/>
        </w:rPr>
        <w:t xml:space="preserve">, </w:t>
      </w:r>
      <w:r>
        <w:rPr>
          <w:rtl w:val="true"/>
        </w:rPr>
        <w:t xml:space="preserve">נמנע בית המשפט מלהרשיע את המערער בעבירת חבלה בכוונה מחמירה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יוחסה לו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זהותו כמי שירה במתלונן לא הוכחה כדבעי</w:t>
      </w:r>
      <w:r>
        <w:rPr>
          <w:rtl w:val="true"/>
        </w:rPr>
        <w:t xml:space="preserve">,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 משפט קמא האמין לדברי המתלונן בעניין זה</w:t>
      </w:r>
      <w:r>
        <w:rPr>
          <w:rtl w:val="true"/>
        </w:rPr>
        <w:t xml:space="preserve">, </w:t>
      </w:r>
      <w:r>
        <w:rPr>
          <w:rtl w:val="true"/>
        </w:rPr>
        <w:t>ובממצא כאמור</w:t>
      </w:r>
      <w:r>
        <w:rPr>
          <w:rtl w:val="true"/>
        </w:rPr>
        <w:t xml:space="preserve">, </w:t>
      </w:r>
      <w:r>
        <w:rPr>
          <w:rtl w:val="true"/>
        </w:rPr>
        <w:t>אשר נקבע על סמך התרשמות ישירה מן העד</w:t>
      </w:r>
      <w:r>
        <w:rPr>
          <w:rtl w:val="true"/>
        </w:rPr>
        <w:t xml:space="preserve">, </w:t>
      </w:r>
      <w:r>
        <w:rPr>
          <w:rtl w:val="true"/>
        </w:rPr>
        <w:t xml:space="preserve">אין כל סיבה שנתערב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2485/00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cs="Miriam"/>
          <w:sz w:val="18"/>
          <w:szCs w:val="24"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918</w:t>
      </w:r>
      <w:r>
        <w:rPr>
          <w:rtl w:val="true"/>
        </w:rPr>
        <w:t xml:space="preserve">, </w:t>
      </w:r>
      <w:r>
        <w:rPr/>
        <w:t>925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sz w:val="18"/>
          <w:szCs w:val="24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57</w:t>
      </w:r>
      <w:r>
        <w:rPr>
          <w:rtl w:val="true"/>
        </w:rPr>
        <w:t xml:space="preserve"> </w:t>
      </w:r>
      <w:r>
        <w:rPr>
          <w:sz w:val="18"/>
          <w:szCs w:val="24"/>
          <w:rtl w:val="true"/>
        </w:rPr>
        <w:t>(</w:t>
      </w:r>
      <w:r>
        <w:rPr/>
        <w:t>26.3.202</w:t>
      </w:r>
      <w:r>
        <w:rPr/>
        <w:t>0</w:t>
      </w:r>
      <w:r>
        <w:rPr>
          <w:rtl w:val="true"/>
        </w:rPr>
        <w:t xml:space="preserve">)).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 xml:space="preserve">המערער והמאזדה זוהו על ידי ארמניוס </w:t>
      </w:r>
      <w:r>
        <w:rPr>
          <w:rtl w:val="true"/>
        </w:rPr>
        <w:t>–</w:t>
      </w:r>
      <w:r>
        <w:rPr>
          <w:rtl w:val="true"/>
        </w:rPr>
        <w:t xml:space="preserve"> מוכר המאזדה </w:t>
      </w:r>
      <w:r>
        <w:rPr>
          <w:rtl w:val="true"/>
        </w:rPr>
        <w:t>–</w:t>
      </w:r>
      <w:r>
        <w:rPr>
          <w:rtl w:val="true"/>
        </w:rPr>
        <w:t xml:space="preserve"> בהודעתו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התקבלה כראיה לאמיתות תוכנה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ונמצאה אמינה</w:t>
      </w:r>
      <w:r>
        <w:rPr>
          <w:rtl w:val="true"/>
        </w:rPr>
        <w:t xml:space="preserve">. </w:t>
      </w:r>
      <w:r>
        <w:rPr>
          <w:rtl w:val="true"/>
        </w:rPr>
        <w:t>הודעתו של ארמניוס כי היה זה המערער שנהג במאזדה</w:t>
      </w:r>
      <w:r>
        <w:rPr>
          <w:rtl w:val="true"/>
        </w:rPr>
        <w:t xml:space="preserve">, </w:t>
      </w:r>
      <w:r>
        <w:rPr>
          <w:rtl w:val="true"/>
        </w:rPr>
        <w:t xml:space="preserve">יצא ממנה וירה מאקדחו מחזקת אפוא את עדות המתלונן בליבתה וגם מקבלת מעדות זו את החיזוק הדרוש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גדולה מכך</w:t>
      </w:r>
      <w:r>
        <w:rPr>
          <w:rtl w:val="true"/>
        </w:rPr>
        <w:t xml:space="preserve">: </w:t>
      </w:r>
      <w:r>
        <w:rPr>
          <w:rtl w:val="true"/>
        </w:rPr>
        <w:t>סרטי האבטחה מראים בבירור את הירי שנורה על ידי נהג המאזדה מחוץ לסמטה ובתוכה</w:t>
      </w:r>
      <w:r>
        <w:rPr>
          <w:rtl w:val="true"/>
        </w:rPr>
        <w:t xml:space="preserve">. </w:t>
      </w:r>
      <w:r>
        <w:rPr>
          <w:rtl w:val="true"/>
        </w:rPr>
        <w:t>כמו כן מראים הסרטים את הירי אשר נורה בקו ישר מתוך המאזדה</w:t>
      </w:r>
      <w:r>
        <w:rPr>
          <w:rtl w:val="true"/>
        </w:rPr>
        <w:t xml:space="preserve">. </w:t>
      </w:r>
      <w:r>
        <w:rPr>
          <w:rtl w:val="true"/>
        </w:rPr>
        <w:t>גם אם נניח שירי זה נורה על ידי הנוסע שישב ליד הנהג והוא זה שגרם לפגיעת הרסיסים ברגלו של המתלונן</w:t>
      </w:r>
      <w:r>
        <w:rPr>
          <w:rtl w:val="true"/>
        </w:rPr>
        <w:t xml:space="preserve">, </w:t>
      </w:r>
      <w:r>
        <w:rPr>
          <w:rtl w:val="true"/>
        </w:rPr>
        <w:t>לאחר שידענו כי הנהג קודם לכן ירה באוויר מאקדחו</w:t>
      </w:r>
      <w:r>
        <w:rPr>
          <w:rtl w:val="true"/>
        </w:rPr>
        <w:t xml:space="preserve">, </w:t>
      </w:r>
      <w:r>
        <w:rPr>
          <w:rtl w:val="true"/>
        </w:rPr>
        <w:t xml:space="preserve">נכנס לסמטת הרחוב כשאקדחו בידו ושם ירה לכיוון המתלונן </w:t>
      </w:r>
      <w:r>
        <w:rPr>
          <w:rtl w:val="true"/>
        </w:rPr>
        <w:t>–</w:t>
      </w:r>
      <w:r>
        <w:rPr>
          <w:rtl w:val="true"/>
        </w:rPr>
        <w:t xml:space="preserve"> נמצא את אותו נהג</w:t>
      </w:r>
      <w:r>
        <w:rPr>
          <w:rtl w:val="true"/>
        </w:rPr>
        <w:t xml:space="preserve">, </w:t>
      </w:r>
      <w:r>
        <w:rPr>
          <w:rtl w:val="true"/>
        </w:rPr>
        <w:t>המערער דכאן</w:t>
      </w:r>
      <w:r>
        <w:rPr>
          <w:rtl w:val="true"/>
        </w:rPr>
        <w:t xml:space="preserve">, </w:t>
      </w:r>
      <w:r>
        <w:rPr>
          <w:rtl w:val="true"/>
        </w:rPr>
        <w:t xml:space="preserve">אחראי לירי ולתוצאותיו כמבצע בצוותא חדא על בסיס דיני השותפות לדבר 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38-31</w:t>
      </w:r>
      <w:r>
        <w:rPr>
          <w:rtl w:val="true"/>
        </w:rPr>
        <w:t xml:space="preserve"> </w:t>
      </w:r>
      <w:r>
        <w:rPr>
          <w:rtl w:val="true"/>
        </w:rPr>
        <w:t>לפסק דיני 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10.6.2019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 xml:space="preserve">כי האפשרות שרסיסי הירי אשר חדרו לרגלו של המתלונן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tl w:val="true"/>
        </w:rPr>
        <w:t xml:space="preserve"> מהירי אשר נורה מתוך המאזדה </w:t>
      </w:r>
      <w:r>
        <w:rPr>
          <w:rtl w:val="true"/>
        </w:rPr>
        <w:t>–</w:t>
      </w:r>
      <w:r>
        <w:rPr>
          <w:rtl w:val="true"/>
        </w:rPr>
        <w:t xml:space="preserve"> שנראה כי אף הוא כוון לעברו של המתלונן </w:t>
      </w:r>
      <w:r>
        <w:rPr>
          <w:rtl w:val="true"/>
        </w:rPr>
        <w:t>–</w:t>
      </w:r>
      <w:r>
        <w:rPr>
          <w:rtl w:val="true"/>
        </w:rPr>
        <w:t xml:space="preserve"> אינה עוזרת למערער</w:t>
      </w:r>
      <w:r>
        <w:rPr>
          <w:rtl w:val="true"/>
        </w:rPr>
        <w:t xml:space="preserve">. </w:t>
      </w:r>
      <w:r>
        <w:rPr>
          <w:rtl w:val="true"/>
        </w:rPr>
        <w:t>תרחיש אפשרי זה מזהה את המערער כמי שירה לעברו של המתלונן בתוך הסמטה וגרם לפגיעת הרסיסים ברגלו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האפשרות שאדם שלישי כלשהו נכנס לאותה סמטת רחוב באותו זמן ממש כדי לירות במתלונן </w:t>
      </w:r>
      <w:r>
        <w:rPr>
          <w:rtl w:val="true"/>
        </w:rPr>
        <w:t>–</w:t>
      </w:r>
      <w:r>
        <w:rPr>
          <w:rtl w:val="true"/>
        </w:rPr>
        <w:t xml:space="preserve"> שכאמור זיהה את המערער כיורה </w:t>
      </w:r>
      <w:r>
        <w:rPr>
          <w:rtl w:val="true"/>
        </w:rPr>
        <w:t>–</w:t>
      </w:r>
      <w:r>
        <w:rPr>
          <w:rtl w:val="true"/>
        </w:rPr>
        <w:t xml:space="preserve"> היא בגדר תרחיש דמיוני ובלתי מציאותי</w:t>
      </w:r>
      <w:r>
        <w:rPr>
          <w:rtl w:val="true"/>
        </w:rPr>
        <w:t xml:space="preserve">. </w:t>
      </w:r>
      <w:r>
        <w:rPr>
          <w:rtl w:val="true"/>
        </w:rPr>
        <w:t>תרחיש זה גם אינו עולה בקנה אחד עם האירוע שהוסרט בסרט האבטחה בתוך הסמטה ועם הירי מתוך המאזדה</w:t>
      </w:r>
      <w:r>
        <w:rPr>
          <w:rtl w:val="true"/>
        </w:rPr>
        <w:t xml:space="preserve">, </w:t>
      </w:r>
      <w:r>
        <w:rPr>
          <w:rtl w:val="true"/>
        </w:rPr>
        <w:t>אשר בוצע מאוחר יותר על ידי המערער או שותפו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הירי והחבלה החמורה</w:t>
      </w:r>
      <w:r>
        <w:rPr>
          <w:rtl w:val="true"/>
        </w:rPr>
        <w:t xml:space="preserve">, </w:t>
      </w:r>
      <w:r>
        <w:rPr>
          <w:rtl w:val="true"/>
        </w:rPr>
        <w:t>שלטענת המדינה נגרמה למתלונן כתוצאה מהירי</w:t>
      </w:r>
      <w:r>
        <w:rPr>
          <w:rtl w:val="true"/>
        </w:rPr>
        <w:t xml:space="preserve">, </w:t>
      </w:r>
      <w:r>
        <w:rPr>
          <w:rtl w:val="true"/>
        </w:rPr>
        <w:t>לא הוכחו מעבר לספק סביר</w:t>
      </w:r>
      <w:r>
        <w:rPr>
          <w:rtl w:val="true"/>
        </w:rPr>
        <w:t xml:space="preserve">, </w:t>
      </w:r>
      <w:r>
        <w:rPr>
          <w:rtl w:val="true"/>
        </w:rPr>
        <w:t>אך גם טענה זו איננה משכנעת</w:t>
      </w:r>
      <w:r>
        <w:rPr>
          <w:rtl w:val="true"/>
        </w:rPr>
        <w:t xml:space="preserve">. </w:t>
      </w:r>
      <w:r>
        <w:rPr>
          <w:rtl w:val="true"/>
        </w:rPr>
        <w:t>צפייה בסרטי האבטחה מראה בבירור כי כמה שניות לאחר אירוע הירי המתלונן יצא מהסמטה</w:t>
      </w:r>
      <w:r>
        <w:rPr>
          <w:rtl w:val="true"/>
        </w:rPr>
        <w:t xml:space="preserve">, </w:t>
      </w:r>
      <w:r>
        <w:rPr>
          <w:rtl w:val="true"/>
        </w:rPr>
        <w:t>כשהוא מדדה ונראה פצוע ברגלו</w:t>
      </w:r>
      <w:r>
        <w:rPr>
          <w:rtl w:val="true"/>
        </w:rPr>
        <w:t xml:space="preserve">. </w:t>
      </w:r>
      <w:r>
        <w:rPr>
          <w:rtl w:val="true"/>
        </w:rPr>
        <w:t>המערער העלה סברה כי המתלונן נפגע ברגלו שלא מן הירי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–</w:t>
      </w:r>
      <w:r>
        <w:rPr>
          <w:rtl w:val="true"/>
        </w:rPr>
        <w:t xml:space="preserve"> אולי </w:t>
      </w:r>
      <w:r>
        <w:rPr>
          <w:rtl w:val="true"/>
        </w:rPr>
        <w:t>–</w:t>
      </w:r>
      <w:r>
        <w:rPr>
          <w:rtl w:val="true"/>
        </w:rPr>
        <w:t xml:space="preserve"> כתוצאה מנפילה </w:t>
      </w:r>
      <w:r>
        <w:rPr>
          <w:rtl w:val="true"/>
        </w:rPr>
        <w:t>–</w:t>
      </w:r>
      <w:r>
        <w:rPr>
          <w:rtl w:val="true"/>
        </w:rPr>
        <w:t xml:space="preserve"> אולם לסברה זו אין רגליים</w:t>
      </w:r>
      <w:r>
        <w:rPr>
          <w:rtl w:val="true"/>
        </w:rPr>
        <w:t xml:space="preserve">. </w:t>
      </w:r>
      <w:r>
        <w:rPr>
          <w:rtl w:val="true"/>
        </w:rPr>
        <w:t>סמיכות הזמנים שבין הירי לפגיעה ברגלו של המתלונן הופכת סברה כאמור לצירוף מקרים שאין מופלא ממנו</w:t>
      </w:r>
      <w:r>
        <w:rPr>
          <w:rtl w:val="true"/>
        </w:rPr>
        <w:t xml:space="preserve">; </w:t>
      </w:r>
      <w:r>
        <w:rPr>
          <w:rtl w:val="true"/>
        </w:rPr>
        <w:t>והסברה עצמה מתנפצת לרסיסים לנוכח העדויות החד</w:t>
      </w:r>
      <w:r>
        <w:rPr>
          <w:rtl w:val="true"/>
        </w:rPr>
        <w:t>-</w:t>
      </w:r>
      <w:r>
        <w:rPr>
          <w:rtl w:val="true"/>
        </w:rPr>
        <w:t>משמעיות אשר נמסרו על ידי המתלונן וד</w:t>
      </w:r>
      <w:r>
        <w:rPr>
          <w:rtl w:val="true"/>
        </w:rPr>
        <w:t>"</w:t>
      </w:r>
      <w:r>
        <w:rPr>
          <w:rtl w:val="true"/>
        </w:rPr>
        <w:t>ר מוקאלשי בכל הקשור להימצאות רסיסי ירי ברגלו של המתלונן</w:t>
      </w:r>
      <w:r>
        <w:rPr>
          <w:rtl w:val="true"/>
        </w:rPr>
        <w:t xml:space="preserve">. </w:t>
      </w:r>
      <w:r>
        <w:rPr>
          <w:rtl w:val="true"/>
        </w:rPr>
        <w:t>לזאת אוסיף את המובן מאליו</w:t>
      </w:r>
      <w:r>
        <w:rPr>
          <w:rtl w:val="true"/>
        </w:rPr>
        <w:t xml:space="preserve">: </w:t>
      </w:r>
      <w:r>
        <w:rPr>
          <w:rtl w:val="true"/>
        </w:rPr>
        <w:t xml:space="preserve">רסיסי ירי ברגלו של אדם הם בגדר </w:t>
      </w:r>
      <w:r>
        <w:rPr>
          <w:rtl w:val="true"/>
        </w:rPr>
        <w:t>"</w:t>
      </w:r>
      <w:r>
        <w:rPr>
          <w:rtl w:val="true"/>
        </w:rPr>
        <w:t>חבלה חמורה</w:t>
      </w:r>
      <w:r>
        <w:rPr>
          <w:rtl w:val="true"/>
        </w:rPr>
        <w:t xml:space="preserve">", </w:t>
      </w:r>
      <w:r>
        <w:rPr>
          <w:rtl w:val="true"/>
        </w:rPr>
        <w:t xml:space="preserve">כמשמעה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tl w:val="true"/>
        </w:rPr>
        <w:t xml:space="preserve"> 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נצ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2/98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מלכה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6</w:t>
      </w:r>
      <w:r>
        <w:rPr/>
        <w:t>.200</w:t>
      </w:r>
      <w:r>
        <w:rPr/>
        <w:t>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ולאחר שנוכחתי לדעת כי הרשעת המערער עומדת על יסודות איתנים</w:t>
      </w:r>
      <w:r>
        <w:rPr>
          <w:rtl w:val="true"/>
        </w:rPr>
        <w:t xml:space="preserve">, </w:t>
      </w:r>
      <w:r>
        <w:rPr>
          <w:rtl w:val="true"/>
        </w:rPr>
        <w:t>אינני רואה כל סיבה לפרט ולנתח ראיות נוספות אשר שימשו את בית משפט קמא בפסק דינו</w:t>
      </w:r>
      <w:r>
        <w:rPr>
          <w:rtl w:val="true"/>
        </w:rPr>
        <w:t xml:space="preserve">. </w:t>
      </w:r>
      <w:r>
        <w:rPr>
          <w:rtl w:val="true"/>
        </w:rPr>
        <w:t>בהקשר זה אוסיף</w:t>
      </w:r>
      <w:r>
        <w:rPr>
          <w:rtl w:val="true"/>
        </w:rPr>
        <w:t xml:space="preserve">, </w:t>
      </w:r>
      <w:r>
        <w:rPr>
          <w:rtl w:val="true"/>
        </w:rPr>
        <w:t>כי אי</w:t>
      </w:r>
      <w:r>
        <w:rPr>
          <w:rtl w:val="true"/>
        </w:rPr>
        <w:t>-</w:t>
      </w:r>
      <w:r>
        <w:rPr>
          <w:rtl w:val="true"/>
        </w:rPr>
        <w:t>הוכחתו של מניע שעמד מאחורי הירי במתלונן אינה מעלה ואינה מורידה לאחר שהוכח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</w:t>
      </w:r>
      <w:r>
        <w:rPr>
          <w:rtl w:val="true"/>
        </w:rPr>
        <w:t>–</w:t>
      </w:r>
      <w:r>
        <w:rPr>
          <w:rtl w:val="true"/>
        </w:rPr>
        <w:t xml:space="preserve"> בעצמו או בצוותא חדא עם שותפו לדבר עבירה </w:t>
      </w:r>
      <w:r>
        <w:rPr>
          <w:rtl w:val="true"/>
        </w:rPr>
        <w:t>–</w:t>
      </w:r>
      <w:r>
        <w:rPr>
          <w:rtl w:val="true"/>
        </w:rPr>
        <w:t xml:space="preserve"> ירה מאקדח לכיוון המתלונן וגרם לחדירת רסיסי הירי לתוך רגלו</w:t>
      </w:r>
      <w:r>
        <w:rPr>
          <w:rtl w:val="true"/>
        </w:rPr>
        <w:t xml:space="preserve">. </w:t>
      </w:r>
      <w:r>
        <w:rPr>
          <w:rtl w:val="true"/>
        </w:rPr>
        <w:t xml:space="preserve">מניע אינו מהווה חלק מיסודות העבירות בהן עסקינן והמדינה אינה נדרשת להוכיח את קיומו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נעלמה מעיניי טענת המערער בנוגע למה שמהווה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>, "</w:t>
      </w:r>
      <w:r>
        <w:rPr>
          <w:rtl w:val="true"/>
        </w:rPr>
        <w:t>מחדלי חקירה</w:t>
      </w:r>
      <w:r>
        <w:rPr>
          <w:rtl w:val="true"/>
        </w:rPr>
        <w:t xml:space="preserve">". </w:t>
      </w:r>
      <w:r>
        <w:rPr>
          <w:rtl w:val="true"/>
        </w:rPr>
        <w:t xml:space="preserve">טענות בדבר </w:t>
      </w:r>
      <w:r>
        <w:rPr>
          <w:rtl w:val="true"/>
        </w:rPr>
        <w:t>"</w:t>
      </w:r>
      <w:r>
        <w:rPr>
          <w:rtl w:val="true"/>
        </w:rPr>
        <w:t>מחדלי חקירה</w:t>
      </w:r>
      <w:r>
        <w:rPr>
          <w:rtl w:val="true"/>
        </w:rPr>
        <w:t xml:space="preserve">" </w:t>
      </w:r>
      <w:r>
        <w:rPr>
          <w:rtl w:val="true"/>
        </w:rPr>
        <w:t>נהנות מפופולריות רבה לאחר שקנו אחיזה במשפטנו</w:t>
      </w:r>
      <w:r>
        <w:rPr>
          <w:rtl w:val="true"/>
        </w:rPr>
        <w:t xml:space="preserve">. </w:t>
      </w:r>
      <w:r>
        <w:rPr>
          <w:rtl w:val="true"/>
        </w:rPr>
        <w:t xml:space="preserve">התדירות שבה טענות אלה מועלות מעמידתן בשורה אחת עם </w:t>
      </w:r>
      <w:r>
        <w:rPr>
          <w:rtl w:val="true"/>
        </w:rPr>
        <w:t>"</w:t>
      </w:r>
      <w:r>
        <w:rPr>
          <w:rtl w:val="true"/>
        </w:rPr>
        <w:t>חוסר 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כטענת סל המושמעת בקול תרועה רמה כמעט בכל התדיינות אזרחית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 שום רע כל אימת שמדובר בטענה שיש לה אחיזה במציאות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מטענה אשר נזרקת לחלל האוויר ללא תימוכין של ממש ומתוך תקווה ליצור באמצעותה </w:t>
      </w: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", </w:t>
      </w:r>
      <w:r>
        <w:rPr>
          <w:rtl w:val="true"/>
        </w:rPr>
        <w:t>כפי שלדאבוני קרה במקרה הנוכחי</w:t>
      </w:r>
      <w:r>
        <w:rPr>
          <w:rtl w:val="true"/>
        </w:rPr>
        <w:t xml:space="preserve">. </w:t>
      </w:r>
      <w:r>
        <w:rPr>
          <w:rtl w:val="true"/>
        </w:rPr>
        <w:t>המערער מלין על אי</w:t>
      </w:r>
      <w:r>
        <w:rPr>
          <w:rtl w:val="true"/>
        </w:rPr>
        <w:t>-</w:t>
      </w:r>
      <w:r>
        <w:rPr>
          <w:rtl w:val="true"/>
        </w:rPr>
        <w:t>עריכת מסדר זיהוי</w:t>
      </w:r>
      <w:r>
        <w:rPr>
          <w:rtl w:val="true"/>
        </w:rPr>
        <w:t xml:space="preserve">, </w:t>
      </w:r>
      <w:r>
        <w:rPr>
          <w:rtl w:val="true"/>
        </w:rPr>
        <w:t>על שמומחה מז</w:t>
      </w:r>
      <w:r>
        <w:rPr>
          <w:rtl w:val="true"/>
        </w:rPr>
        <w:t>"</w:t>
      </w:r>
      <w:r>
        <w:rPr>
          <w:rtl w:val="true"/>
        </w:rPr>
        <w:t>פ לא בחן את זירת האירוע</w:t>
      </w:r>
      <w:r>
        <w:rPr>
          <w:rtl w:val="true"/>
        </w:rPr>
        <w:t xml:space="preserve">, </w:t>
      </w:r>
      <w:r>
        <w:rPr>
          <w:rtl w:val="true"/>
        </w:rPr>
        <w:t>ועל כך שהגופים הזרים</w:t>
      </w:r>
      <w:r>
        <w:rPr>
          <w:rtl w:val="true"/>
        </w:rPr>
        <w:t xml:space="preserve">, </w:t>
      </w:r>
      <w:r>
        <w:rPr>
          <w:rtl w:val="true"/>
        </w:rPr>
        <w:t>שלדברי המתלונן הוצאו מרגלו בבית החולים</w:t>
      </w:r>
      <w:r>
        <w:rPr>
          <w:rtl w:val="true"/>
        </w:rPr>
        <w:t xml:space="preserve">, </w:t>
      </w:r>
      <w:r>
        <w:rPr>
          <w:rtl w:val="true"/>
        </w:rPr>
        <w:t>לא צולמו</w:t>
      </w:r>
      <w:r>
        <w:rPr>
          <w:rtl w:val="true"/>
        </w:rPr>
        <w:t xml:space="preserve">. </w:t>
      </w:r>
      <w:r>
        <w:rPr>
          <w:rtl w:val="true"/>
        </w:rPr>
        <w:t xml:space="preserve">לכך אשיב כי חקירה פלילית איננה </w:t>
      </w:r>
      <w:r>
        <w:rPr>
          <w:rtl w:val="true"/>
        </w:rPr>
        <w:t>"</w:t>
      </w:r>
      <w:r>
        <w:rPr>
          <w:rtl w:val="true"/>
        </w:rPr>
        <w:t>תכנית כבקשתך</w:t>
      </w:r>
      <w:r>
        <w:rPr>
          <w:rtl w:val="true"/>
        </w:rPr>
        <w:t xml:space="preserve">" </w:t>
      </w:r>
      <w:r>
        <w:rPr>
          <w:rtl w:val="true"/>
        </w:rPr>
        <w:t>וכי לנאשם אין זכות קנויה באשר לאופן שבו המשטרה מכלכלת את צעדיה ומקצה את משאביה החקירתיים</w:t>
      </w:r>
      <w:r>
        <w:rPr>
          <w:rtl w:val="true"/>
        </w:rPr>
        <w:t xml:space="preserve">. </w:t>
      </w:r>
      <w:r>
        <w:rPr>
          <w:rtl w:val="true"/>
        </w:rPr>
        <w:t xml:space="preserve">כפי שהבהיר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2796/15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פלוני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eastAsia="Garamond"/>
          <w:szCs w:val="24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)</w:t>
      </w:r>
      <w:r>
        <w:rPr/>
        <w:t>8</w:t>
      </w:r>
      <w:r>
        <w:rPr/>
        <w:t>.</w:t>
      </w:r>
      <w:r>
        <w:rPr/>
        <w:t>2</w:t>
      </w:r>
      <w:r>
        <w:rPr/>
        <w:t>.2018</w:t>
      </w:r>
      <w:r>
        <w:rPr>
          <w:rtl w:val="true"/>
        </w:rPr>
        <w:t>(</w:t>
      </w:r>
      <w:r>
        <w:rPr>
          <w:rtl w:val="true"/>
        </w:rPr>
        <w:t>,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והפועלים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מוגבלים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מקיבעון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מחדלי חקירה מהם זכאי הנאשם להיבנות הם בגדר רשימה מוגבלת ומצומצמת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שעיקרם אי</w:t>
      </w:r>
      <w:r>
        <w:rPr>
          <w:rtl w:val="true"/>
        </w:rPr>
        <w:t>-</w:t>
      </w:r>
      <w:r>
        <w:rPr>
          <w:rtl w:val="true"/>
        </w:rPr>
        <w:t xml:space="preserve">נקיטת פעולה חקירתית מתבקשת באופן אשר מטיל ספק רציני בראיות שבאות להפליל את הנאשם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7758/04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אלקאדר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Garamond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/>
        <w:t>4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19.</w:t>
      </w:r>
      <w:r>
        <w:rPr/>
        <w:t>7</w:t>
      </w:r>
      <w:r>
        <w:rPr/>
        <w:t>.200</w:t>
      </w:r>
      <w:r>
        <w:rPr/>
        <w:t>7</w:t>
      </w:r>
      <w:r>
        <w:rPr>
          <w:rtl w:val="true"/>
        </w:rPr>
        <w:t>)).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חומת הראיות שהפלילו את המערער לא יכלה להיסדק</w:t>
      </w:r>
      <w:r>
        <w:rPr>
          <w:rtl w:val="true"/>
        </w:rPr>
        <w:t xml:space="preserve">, </w:t>
      </w:r>
      <w:r>
        <w:rPr>
          <w:rtl w:val="true"/>
        </w:rPr>
        <w:t>וממילא לא נסדקה</w:t>
      </w:r>
      <w:r>
        <w:rPr>
          <w:rtl w:val="true"/>
        </w:rPr>
        <w:t xml:space="preserve">, </w:t>
      </w:r>
      <w:r>
        <w:rPr>
          <w:rtl w:val="true"/>
        </w:rPr>
        <w:t>על ידי אי</w:t>
      </w:r>
      <w:r>
        <w:rPr>
          <w:rtl w:val="true"/>
        </w:rPr>
        <w:t>-</w:t>
      </w:r>
      <w:r>
        <w:rPr>
          <w:rtl w:val="true"/>
        </w:rPr>
        <w:t>עריכתו של מסדר זיהוי</w:t>
      </w:r>
      <w:r>
        <w:rPr>
          <w:rtl w:val="true"/>
        </w:rPr>
        <w:t xml:space="preserve">, </w:t>
      </w:r>
      <w:r>
        <w:rPr>
          <w:rtl w:val="true"/>
        </w:rPr>
        <w:t>לאחר שהמתלונן מסר למשטרה כי זיהה את המערער על סמך ההיכרות הקודמת בין השניים</w:t>
      </w:r>
      <w:r>
        <w:rPr>
          <w:rtl w:val="true"/>
        </w:rPr>
        <w:t xml:space="preserve">, </w:t>
      </w:r>
      <w:r>
        <w:rPr>
          <w:rtl w:val="true"/>
        </w:rPr>
        <w:t xml:space="preserve">ולאחר שארמניוס </w:t>
      </w:r>
      <w:r>
        <w:rPr>
          <w:rtl w:val="true"/>
        </w:rPr>
        <w:t>–</w:t>
      </w:r>
      <w:r>
        <w:rPr>
          <w:rtl w:val="true"/>
        </w:rPr>
        <w:t xml:space="preserve"> מוכר המאזדה ששימשה את היורה </w:t>
      </w:r>
      <w:r>
        <w:rPr>
          <w:rtl w:val="true"/>
        </w:rPr>
        <w:t>–</w:t>
      </w:r>
      <w:r>
        <w:rPr>
          <w:rtl w:val="true"/>
        </w:rPr>
        <w:t xml:space="preserve"> זיהה בוודאות את היורה ואת המאזדה</w:t>
      </w:r>
      <w:r>
        <w:rPr>
          <w:rtl w:val="true"/>
        </w:rPr>
        <w:t xml:space="preserve">. </w:t>
      </w:r>
      <w:r>
        <w:rPr>
          <w:rtl w:val="true"/>
        </w:rPr>
        <w:t xml:space="preserve">באשר לרסיסים אשר הוצאו מרגלו של המתלונן </w:t>
      </w:r>
      <w:r>
        <w:rPr>
          <w:rtl w:val="true"/>
        </w:rPr>
        <w:t>–</w:t>
      </w:r>
      <w:r>
        <w:rPr>
          <w:rtl w:val="true"/>
        </w:rPr>
        <w:t xml:space="preserve"> ברי הוא</w:t>
      </w:r>
      <w:r>
        <w:rPr>
          <w:rtl w:val="true"/>
        </w:rPr>
        <w:t xml:space="preserve">, </w:t>
      </w:r>
      <w:r>
        <w:rPr>
          <w:rtl w:val="true"/>
        </w:rPr>
        <w:t>כי ניתן היה להסתפק בעניינם בעדות הרופא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מוקאלשי</w:t>
      </w:r>
      <w:r>
        <w:rPr>
          <w:rtl w:val="true"/>
        </w:rPr>
        <w:t xml:space="preserve">, </w:t>
      </w:r>
      <w:r>
        <w:rPr>
          <w:rtl w:val="true"/>
        </w:rPr>
        <w:t>ובדברי המתלונן עצמו</w:t>
      </w:r>
      <w:r>
        <w:rPr>
          <w:rtl w:val="true"/>
        </w:rPr>
        <w:t xml:space="preserve">. </w:t>
      </w:r>
      <w:r>
        <w:rPr>
          <w:rtl w:val="true"/>
        </w:rPr>
        <w:t>באשר לאי</w:t>
      </w:r>
      <w:r>
        <w:rPr>
          <w:rtl w:val="true"/>
        </w:rPr>
        <w:t>-</w:t>
      </w:r>
      <w:r>
        <w:rPr>
          <w:rtl w:val="true"/>
        </w:rPr>
        <w:t>הבאתו של מומחה מז</w:t>
      </w:r>
      <w:r>
        <w:rPr>
          <w:rtl w:val="true"/>
        </w:rPr>
        <w:t>"</w:t>
      </w:r>
      <w:r>
        <w:rPr>
          <w:rtl w:val="true"/>
        </w:rPr>
        <w:t xml:space="preserve">פ לזירת האירוע </w:t>
      </w:r>
      <w:r>
        <w:rPr>
          <w:rtl w:val="true"/>
        </w:rPr>
        <w:t>–</w:t>
      </w:r>
      <w:r>
        <w:rPr>
          <w:rtl w:val="true"/>
        </w:rPr>
        <w:t xml:space="preserve"> לטעמי</w:t>
      </w:r>
      <w:r>
        <w:rPr>
          <w:rtl w:val="true"/>
        </w:rPr>
        <w:t xml:space="preserve">, </w:t>
      </w:r>
      <w:r>
        <w:rPr>
          <w:rtl w:val="true"/>
        </w:rPr>
        <w:t>זו היתה החלטה מקצועית סבירה לחלוטין בהינתן מצב הראיות אשר נאספו לחובת המערער ועוצמתן של ראיות אלו</w:t>
      </w:r>
      <w:r>
        <w:rPr>
          <w:rtl w:val="true"/>
        </w:rPr>
        <w:t xml:space="preserve">. </w:t>
      </w:r>
      <w:r>
        <w:rPr>
          <w:rtl w:val="true"/>
        </w:rPr>
        <w:t>סניגורו של המערער מאשים את חוקריו ב</w:t>
      </w:r>
      <w:r>
        <w:rPr>
          <w:rtl w:val="true"/>
        </w:rPr>
        <w:t>"</w:t>
      </w:r>
      <w:r>
        <w:rPr>
          <w:rtl w:val="true"/>
        </w:rPr>
        <w:t>ראיית מנהרה</w:t>
      </w:r>
      <w:r>
        <w:rPr>
          <w:rtl w:val="true"/>
        </w:rPr>
        <w:t xml:space="preserve">", </w:t>
      </w:r>
      <w:r>
        <w:rPr>
          <w:rtl w:val="true"/>
        </w:rPr>
        <w:t>אך גם להאשמה זו אין בסיס</w:t>
      </w:r>
      <w:r>
        <w:rPr>
          <w:rtl w:val="true"/>
        </w:rPr>
        <w:t xml:space="preserve">. </w:t>
      </w:r>
      <w:r>
        <w:rPr>
          <w:rtl w:val="true"/>
        </w:rPr>
        <w:t>עסקינן באור</w:t>
      </w:r>
      <w:r>
        <w:rPr>
          <w:rtl w:val="true"/>
        </w:rPr>
        <w:t xml:space="preserve">, </w:t>
      </w:r>
      <w:r>
        <w:rPr>
          <w:rtl w:val="true"/>
        </w:rPr>
        <w:t>ולא במנהרה</w:t>
      </w:r>
      <w:r>
        <w:rPr>
          <w:rtl w:val="true"/>
        </w:rPr>
        <w:t xml:space="preserve">. </w:t>
      </w:r>
      <w:r>
        <w:rPr>
          <w:rtl w:val="true"/>
        </w:rPr>
        <w:t>חוקריו של המערער אספו וניתחו את הראיות אשר אפשרו להם לראות את הדברים כהווייתם</w:t>
      </w:r>
      <w:r>
        <w:rPr>
          <w:rtl w:val="true"/>
        </w:rPr>
        <w:t xml:space="preserve">: </w:t>
      </w:r>
      <w:r>
        <w:rPr>
          <w:rtl w:val="true"/>
        </w:rPr>
        <w:t>מי שירה במתלונן וגרם לחדירת רסיסים לרגלו הוא המערער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שותפו לדבר עבירה אשר ישב לצדו במאזדה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ההרשעה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ומכאן לעונש המאסר אשר הושת על המערער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מאסר בפועל לתקופה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חודשים בגין כלל העבירות שבהן המערער נמצא אשם הוא עונש שנוטה </w:t>
      </w:r>
      <w:r>
        <w:rPr>
          <w:rtl w:val="true"/>
        </w:rPr>
        <w:t>(</w:t>
      </w:r>
      <w:r>
        <w:rPr>
          <w:rtl w:val="true"/>
        </w:rPr>
        <w:t>מאד</w:t>
      </w:r>
      <w:r>
        <w:rPr>
          <w:rtl w:val="true"/>
        </w:rPr>
        <w:t xml:space="preserve">)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נבארי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קיבלנו את ערעור המדינה והעלנו את עונשו של המשיב בגין </w:t>
      </w:r>
      <w:r>
        <w:rPr>
          <w:rtl w:val="true"/>
        </w:rPr>
        <w:t>נשיאה</w:t>
      </w:r>
      <w:r>
        <w:rPr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וירי במקום מגורים מ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מדובר במעשים חמורים הרבה יותר</w:t>
      </w:r>
      <w:r>
        <w:rPr>
          <w:rtl w:val="true"/>
        </w:rPr>
        <w:t xml:space="preserve">: </w:t>
      </w:r>
      <w:r>
        <w:rPr>
          <w:rtl w:val="true"/>
        </w:rPr>
        <w:t xml:space="preserve">נשיאה והובלה של נשק וירי במקום מגורים אשר כוון לגרום </w:t>
      </w:r>
      <w:r>
        <w:rPr>
          <w:rtl w:val="true"/>
        </w:rPr>
        <w:t>–</w:t>
      </w:r>
      <w:r>
        <w:rPr>
          <w:rtl w:val="true"/>
        </w:rPr>
        <w:t xml:space="preserve"> וגרם </w:t>
      </w:r>
      <w:r>
        <w:rPr>
          <w:rtl w:val="true"/>
        </w:rPr>
        <w:t>–</w:t>
      </w:r>
      <w:r>
        <w:rPr>
          <w:rtl w:val="true"/>
        </w:rPr>
        <w:t xml:space="preserve"> לחבלה חמורה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העונש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מכיל בתוכו התחשבות מרבית</w:t>
      </w:r>
      <w:r>
        <w:rPr>
          <w:rtl w:val="true"/>
        </w:rPr>
        <w:t xml:space="preserve">, </w:t>
      </w:r>
      <w:r>
        <w:rPr>
          <w:rtl w:val="true"/>
        </w:rPr>
        <w:t>אם לא למעלה מכך</w:t>
      </w:r>
      <w:r>
        <w:rPr>
          <w:rtl w:val="true"/>
        </w:rPr>
        <w:t xml:space="preserve">, </w:t>
      </w:r>
      <w:r>
        <w:rPr>
          <w:rtl w:val="true"/>
        </w:rPr>
        <w:t>בנסיבות חייו של המערער</w:t>
      </w:r>
      <w:r>
        <w:rPr>
          <w:rtl w:val="true"/>
        </w:rPr>
        <w:t xml:space="preserve">, </w:t>
      </w:r>
      <w:r>
        <w:rPr>
          <w:rtl w:val="true"/>
        </w:rPr>
        <w:t>שבהן אינני מקל ראש</w:t>
      </w:r>
      <w:r>
        <w:rPr>
          <w:rtl w:val="true"/>
        </w:rPr>
        <w:t xml:space="preserve">, </w:t>
      </w:r>
      <w:r>
        <w:rPr>
          <w:rtl w:val="true"/>
        </w:rPr>
        <w:t xml:space="preserve">ובהיותו </w:t>
      </w:r>
      <w:r>
        <w:rPr>
          <w:rtl w:val="true"/>
        </w:rPr>
        <w:t>–</w:t>
      </w:r>
      <w:r>
        <w:rPr>
          <w:rtl w:val="true"/>
        </w:rPr>
        <w:t xml:space="preserve"> לפני המקרה </w:t>
      </w:r>
      <w:r>
        <w:rPr>
          <w:rtl w:val="true"/>
        </w:rPr>
        <w:t>–</w:t>
      </w:r>
      <w:r>
        <w:rPr>
          <w:rtl w:val="true"/>
        </w:rPr>
        <w:t xml:space="preserve"> נטול עבר 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באחרונה הזדמן לי להדגיש ולהבהיר</w:t>
      </w:r>
      <w:r>
        <w:rPr>
          <w:rtl w:val="true"/>
        </w:rPr>
        <w:t xml:space="preserve">, </w:t>
      </w:r>
      <w:r>
        <w:rPr>
          <w:rtl w:val="true"/>
        </w:rPr>
        <w:t>בהסכמת חברותיי</w:t>
      </w:r>
      <w:r>
        <w:rPr>
          <w:rtl w:val="true"/>
        </w:rPr>
        <w:t xml:space="preserve">, 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נחטא לחובתנו זו אם נקל בעונשו של המערער דכאן אפילו במקצת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כי נדחה ערעור זה על כל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20093060</w:t>
      </w:r>
      <w:r>
        <w:rPr>
          <w:sz w:val="16"/>
          <w:rtl w:val="true"/>
        </w:rPr>
        <w:t>_</w:t>
      </w:r>
      <w:r>
        <w:rPr>
          <w:sz w:val="16"/>
        </w:rPr>
        <w:t>F05.docx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ד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מינץ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54678313-9306/20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9306/20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מארון ברגות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;Malgun Gothic Semilight"/>
      <w:b w:val="false"/>
      <w:bCs w:val="false"/>
      <w:sz w:val="22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1987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law/70301/34kd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98569/10a.d" TargetMode="External"/><Relationship Id="rId14" Type="http://schemas.openxmlformats.org/officeDocument/2006/relationships/hyperlink" Target="http://www.nevo.co.il/case/26198760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98569/10a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70301/3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16508" TargetMode="External"/><Relationship Id="rId26" Type="http://schemas.openxmlformats.org/officeDocument/2006/relationships/hyperlink" Target="http://www.nevo.co.il/case/24156665" TargetMode="External"/><Relationship Id="rId27" Type="http://schemas.openxmlformats.org/officeDocument/2006/relationships/hyperlink" Target="http://www.nevo.co.il/law/98569/10a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law/98569/10a.d" TargetMode="External"/><Relationship Id="rId30" Type="http://schemas.openxmlformats.org/officeDocument/2006/relationships/hyperlink" Target="http://www.nevo.co.il/law/98569" TargetMode="External"/><Relationship Id="rId31" Type="http://schemas.openxmlformats.org/officeDocument/2006/relationships/hyperlink" Target="http://www.nevo.co.il/case/22205829" TargetMode="External"/><Relationship Id="rId32" Type="http://schemas.openxmlformats.org/officeDocument/2006/relationships/hyperlink" Target="http://www.nevo.co.il/law/70301/34kd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2505870" TargetMode="External"/><Relationship Id="rId35" Type="http://schemas.openxmlformats.org/officeDocument/2006/relationships/hyperlink" Target="http://www.nevo.co.il/case/25441697" TargetMode="External"/><Relationship Id="rId36" Type="http://schemas.openxmlformats.org/officeDocument/2006/relationships/hyperlink" Target="http://www.nevo.co.il/case/20244333" TargetMode="External"/><Relationship Id="rId37" Type="http://schemas.openxmlformats.org/officeDocument/2006/relationships/hyperlink" Target="http://www.nevo.co.il/case/5709779" TargetMode="External"/><Relationship Id="rId38" Type="http://schemas.openxmlformats.org/officeDocument/2006/relationships/hyperlink" Target="http://www.nevo.co.il/case/26492590" TargetMode="External"/><Relationship Id="rId39" Type="http://schemas.openxmlformats.org/officeDocument/2006/relationships/hyperlink" Target="http://www.nevo.co.il/case/27309272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2021-05-02T10:24:00Z</dcterms:created>
  <dc:creator>h4</dc:creator>
  <dc:description/>
  <cp:keywords/>
  <dc:language>en-IL</dc:language>
  <cp:lastModifiedBy>orly</cp:lastModifiedBy>
  <cp:lastPrinted>2021-04-29T09:23:00Z</cp:lastPrinted>
  <dcterms:modified xsi:type="dcterms:W3CDTF">2021-05-02T10:24:00Z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מארון ברגות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26198760:2;5816508;24156665;22205829;22505870;25441697;20244333;5709779;26492590;27309272</vt:lpwstr>
  </property>
  <property fmtid="{D5CDD505-2E9C-101B-9397-08002B2CF9AE}" pid="9" name="CITY">
    <vt:lpwstr/>
  </property>
  <property fmtid="{D5CDD505-2E9C-101B-9397-08002B2CF9AE}" pid="10" name="DATE">
    <vt:lpwstr>20210429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מינץ;ע' גרוסקופף;א' שטיין</vt:lpwstr>
  </property>
  <property fmtid="{D5CDD505-2E9C-101B-9397-08002B2CF9AE}" pid="14" name="LAWLISTTMP1">
    <vt:lpwstr>70301/333;335.a.1;335.a.2;144.a;144.b;329;34kd</vt:lpwstr>
  </property>
  <property fmtid="{D5CDD505-2E9C-101B-9397-08002B2CF9AE}" pid="15" name="LAWLISTTMP2">
    <vt:lpwstr>98569/010a:2;010a.d</vt:lpwstr>
  </property>
  <property fmtid="{D5CDD505-2E9C-101B-9397-08002B2CF9AE}" pid="16" name="LAWYER">
    <vt:lpwstr>עינת כהן גרוסמן;חנא בולוס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18;18;18;77;77;77;77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מחדלי חקירה</vt:lpwstr>
  </property>
  <property fmtid="{D5CDD505-2E9C-101B-9397-08002B2CF9AE}" pid="42" name="NOSE24">
    <vt:lpwstr>עבירות</vt:lpwstr>
  </property>
  <property fmtid="{D5CDD505-2E9C-101B-9397-08002B2CF9AE}" pid="43" name="NOSE25">
    <vt:lpwstr>אחריות פלילית</vt:lpwstr>
  </property>
  <property fmtid="{D5CDD505-2E9C-101B-9397-08002B2CF9AE}" pid="44" name="NOSE26">
    <vt:lpwstr>מניע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465;465;17072;1443;1428;1437;1446</vt:lpwstr>
  </property>
  <property fmtid="{D5CDD505-2E9C-101B-9397-08002B2CF9AE}" pid="49" name="NOSE31">
    <vt:lpwstr>ערעור</vt:lpwstr>
  </property>
  <property fmtid="{D5CDD505-2E9C-101B-9397-08002B2CF9AE}" pid="50" name="NOSE310">
    <vt:lpwstr/>
  </property>
  <property fmtid="{D5CDD505-2E9C-101B-9397-08002B2CF9AE}" pid="51" name="NOSE32">
    <vt:lpwstr>ספק סביר</vt:lpwstr>
  </property>
  <property fmtid="{D5CDD505-2E9C-101B-9397-08002B2CF9AE}" pid="52" name="NOSE33">
    <vt:lpwstr>נפקותם</vt:lpwstr>
  </property>
  <property fmtid="{D5CDD505-2E9C-101B-9397-08002B2CF9AE}" pid="53" name="NOSE34">
    <vt:lpwstr>גרימת חבלה חמורה</vt:lpwstr>
  </property>
  <property fmtid="{D5CDD505-2E9C-101B-9397-08002B2CF9AE}" pid="54" name="NOSE35">
    <vt:lpwstr>שותפות לעבירה</vt:lpwstr>
  </property>
  <property fmtid="{D5CDD505-2E9C-101B-9397-08002B2CF9AE}" pid="55" name="NOSE36">
    <vt:lpwstr>נפקותו</vt:lpwstr>
  </property>
  <property fmtid="{D5CDD505-2E9C-101B-9397-08002B2CF9AE}" pid="56" name="NOSE37">
    <vt:lpwstr>מדיניות ענישה: עבירות נשק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3638;3635;17177;8782;8656;8729;13800</vt:lpwstr>
  </property>
  <property fmtid="{D5CDD505-2E9C-101B-9397-08002B2CF9AE}" pid="60" name="PADIDATE">
    <vt:lpwstr>20210502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9306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410120210429</vt:lpwstr>
  </property>
  <property fmtid="{D5CDD505-2E9C-101B-9397-08002B2CF9AE}" pid="70" name="TYPE_N_DATE">
    <vt:lpwstr>41020210429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