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945/18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965/18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945/18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ווסים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סלאימה</w:t>
            </w:r>
          </w:p>
        </w:tc>
      </w:tr>
      <w:tr>
        <w:trPr/>
        <w:tc>
          <w:tcPr>
            <w:tcW w:w="322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965/18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פארס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פרח</w:t>
            </w:r>
          </w:p>
        </w:tc>
      </w:tr>
      <w:tr>
        <w:trPr/>
        <w:tc>
          <w:tcPr>
            <w:tcW w:w="322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967/18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אפגני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5"/>
        <w:gridCol w:w="5128"/>
      </w:tblGrid>
      <w:tr>
        <w:trPr/>
        <w:tc>
          <w:tcPr>
            <w:tcW w:w="32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בכל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5"/>
        <w:gridCol w:w="5128"/>
      </w:tblGrid>
      <w:tr>
        <w:trPr/>
        <w:tc>
          <w:tcPr>
            <w:tcW w:w="32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945/18</w:t>
            </w:r>
            <w:r>
              <w:rPr>
                <w:rtl w:val="true"/>
              </w:rPr>
              <w:t>:</w:t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מרכז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040814-08-16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08.01.2018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945/18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פווזי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נוואתב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965/18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דכוור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967/18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יחיא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בכל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380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499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והתנהגויות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לצִדם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המתבצעות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שיעור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לשקול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בהשוואת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פרשיה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בקיומו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הודאתם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לפשע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הגורמת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דלעיל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המוגנים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שנפגעו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ונסיבותיהם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והתנהגויות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לצִדם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ספונטני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ברחוב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מתוכנן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קפדני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מאוכלס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שדייריו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שוהים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פריצה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תקיפת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דייריו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מבטחם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בקניינם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הבית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בביטחונם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והנפשי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תהא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שתהלום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מוקדמות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בחסות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המכוונת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שיצרו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כשהורידו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החשמל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פריצה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בדיירי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לנזקים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בהשוואה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במשרד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כמתואר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שהביאו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המתבצעות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שיעור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שבוצעו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כוונתם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האלימה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ראויים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חריף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מבטא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השוואת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בניגוד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האינדיבידואלית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דווקא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בהשוואת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המתוארים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האלים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שיתוף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בתפקידו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שותפם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דוראני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לביצוע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ראשית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דוראני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מחלקם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דוראני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הכוללות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שנעשתה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לבסוף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לאזנם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בהשוואת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פרשיה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בקיומו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לוּ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מתקבלות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לפנינו שלושה ערעורים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ברנט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40814-08-16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8.1.2018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במסגרתו הורשעו המערער 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945/18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סלאימה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המערער 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965/18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והמערער 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967/18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אפגאני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להלן ביחד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על פי הודאתם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בעבירות קשירת קשר לפשע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נסיון שוד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סיפא 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פריצה למקום מגורים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406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ועבירת תקיפה הגורמת חבלה ממשית בנסיבות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380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5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382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7.8.2016</w:t>
      </w:r>
      <w:r>
        <w:rPr>
          <w:rtl w:val="true"/>
        </w:rPr>
        <w:t xml:space="preserve"> </w:t>
      </w:r>
      <w:r>
        <w:rPr>
          <w:rtl w:val="true"/>
        </w:rPr>
        <w:t xml:space="preserve">הציעו יחיאל דוראני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דוראני</w:t>
      </w:r>
      <w:r>
        <w:rPr>
          <w:rtl w:val="true"/>
        </w:rPr>
        <w:t xml:space="preserve">) </w:t>
      </w:r>
      <w:r>
        <w:rPr>
          <w:rtl w:val="true"/>
        </w:rPr>
        <w:t xml:space="preserve">ואדם נוסף למערערים ולמונזר מואמנה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מואמנה</w:t>
      </w:r>
      <w:r>
        <w:rPr>
          <w:rtl w:val="true"/>
        </w:rPr>
        <w:t xml:space="preserve">) </w:t>
      </w:r>
      <w:r>
        <w:rPr>
          <w:rtl w:val="true"/>
        </w:rPr>
        <w:t>לשדוד סכום כסף מבית מגורים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6.8.2016</w:t>
      </w:r>
      <w:r>
        <w:rPr>
          <w:rtl w:val="true"/>
        </w:rPr>
        <w:t xml:space="preserve"> </w:t>
      </w:r>
      <w:r>
        <w:rPr>
          <w:rtl w:val="true"/>
        </w:rPr>
        <w:t>הגיעו דוראני ופרח לבית המגורים על</w:t>
      </w:r>
      <w:r>
        <w:rPr>
          <w:rtl w:val="true"/>
        </w:rPr>
        <w:t>-</w:t>
      </w:r>
      <w:r>
        <w:rPr>
          <w:rtl w:val="true"/>
        </w:rPr>
        <w:t>מנת לראותו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5:00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נפגשו המערערים ומואמנה עם דוראני</w:t>
      </w:r>
      <w:r>
        <w:rPr>
          <w:rtl w:val="true"/>
        </w:rPr>
        <w:t xml:space="preserve">, </w:t>
      </w:r>
      <w:r>
        <w:rPr>
          <w:rtl w:val="true"/>
        </w:rPr>
        <w:t>והלה הסיע אותם סמוך לבית המגורים לצורך ביצוע 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, </w:t>
      </w:r>
      <w:r>
        <w:rPr>
          <w:rtl w:val="true"/>
        </w:rPr>
        <w:t>לקשור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צייד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בכובעים</w:t>
      </w:r>
      <w:r>
        <w:rPr>
          <w:rtl w:val="true"/>
        </w:rPr>
        <w:t xml:space="preserve">,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אזיקונים</w:t>
      </w:r>
      <w:r>
        <w:rPr>
          <w:rtl w:val="true"/>
        </w:rPr>
        <w:t xml:space="preserve">, </w:t>
      </w:r>
      <w:r>
        <w:rPr>
          <w:rtl w:val="true"/>
        </w:rPr>
        <w:t>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ותיקים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ודוראני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הורידו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כמתוכנן</w:t>
      </w:r>
      <w:r>
        <w:rPr>
          <w:rtl w:val="true"/>
        </w:rPr>
        <w:t xml:space="preserve">, </w:t>
      </w:r>
      <w:r>
        <w:rPr>
          <w:rtl w:val="true"/>
        </w:rPr>
        <w:t>וירדו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המרתף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התנפלו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>וניגש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דוראני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המטומה</w:t>
      </w:r>
      <w:r>
        <w:rPr>
          <w:rtl w:val="true"/>
        </w:rPr>
        <w:t xml:space="preserve">) </w:t>
      </w:r>
      <w:r>
        <w:rPr>
          <w:rtl w:val="true"/>
        </w:rPr>
        <w:t>בעינו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לטל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עייפות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ריכוז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סקר בית המשפט המחוזי את הערכים המוגנים שנפגעו כתוצאה ממעשי המערערים </w:t>
      </w:r>
      <w:r>
        <w:rPr>
          <w:rtl w:val="true"/>
        </w:rPr>
        <w:t>–</w:t>
      </w:r>
      <w:r>
        <w:rPr>
          <w:rtl w:val="true"/>
        </w:rPr>
        <w:t xml:space="preserve"> שלומו ובטחונו של אדם בביתו</w:t>
      </w:r>
      <w:r>
        <w:rPr>
          <w:rtl w:val="true"/>
        </w:rPr>
        <w:t xml:space="preserve">, </w:t>
      </w:r>
      <w:r>
        <w:rPr>
          <w:rtl w:val="true"/>
        </w:rPr>
        <w:t xml:space="preserve">שלמות גופו וקניינו </w:t>
      </w:r>
      <w:r>
        <w:rPr>
          <w:rtl w:val="true"/>
        </w:rPr>
        <w:t>–</w:t>
      </w:r>
      <w:r>
        <w:rPr>
          <w:rtl w:val="true"/>
        </w:rPr>
        <w:t xml:space="preserve"> תוך שקבע כי מעשיהם </w:t>
      </w:r>
      <w:r>
        <w:rPr>
          <w:rtl w:val="true"/>
        </w:rPr>
        <w:t>"</w:t>
      </w:r>
      <w:r>
        <w:rPr>
          <w:rtl w:val="true"/>
        </w:rPr>
        <w:t>דומים הם להתממשותו של חלום בלהות</w:t>
      </w:r>
      <w:r>
        <w:rPr>
          <w:rtl w:val="true"/>
        </w:rPr>
        <w:t xml:space="preserve">" </w:t>
      </w:r>
      <w:r>
        <w:rPr>
          <w:rtl w:val="true"/>
        </w:rPr>
        <w:t>וכי הללו גרמו לנפגעי העבירה חבלות פיזיות וצלקות בנפשם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אפגאני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הסתכם</w:t>
      </w:r>
      <w:r>
        <w:rPr>
          <w:rtl w:val="true"/>
        </w:rPr>
        <w:t xml:space="preserve">" </w:t>
      </w:r>
      <w:r>
        <w:rPr>
          <w:rtl w:val="true"/>
        </w:rPr>
        <w:t>בחסימת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";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;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העונשים בתוך המתחם בחן בית המשפט המחוזי את הממצאים שעלו מתסקירי שירות המבחן ואת נסיבותיהם האישיות של המערערים</w:t>
      </w:r>
      <w:r>
        <w:rPr>
          <w:rtl w:val="true"/>
        </w:rPr>
        <w:t xml:space="preserve">, </w:t>
      </w:r>
      <w:r>
        <w:rPr>
          <w:rtl w:val="true"/>
        </w:rPr>
        <w:t>וציין כי אין נסיבות מיוחדות המבדילות בין השלושה</w:t>
      </w:r>
      <w:r>
        <w:rPr>
          <w:rtl w:val="true"/>
        </w:rPr>
        <w:t xml:space="preserve">. </w:t>
      </w:r>
      <w:r>
        <w:rPr>
          <w:rtl w:val="true"/>
        </w:rPr>
        <w:t>לנוכח גילם הצעיר</w:t>
      </w:r>
      <w:r>
        <w:rPr>
          <w:rtl w:val="true"/>
        </w:rPr>
        <w:t xml:space="preserve">, </w:t>
      </w:r>
      <w:r>
        <w:rPr>
          <w:rtl w:val="true"/>
        </w:rPr>
        <w:t>התקופה ששהו במעצר בית והיעדר עבר פלילי בעניינם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המחוזי על כל אחד מהמערערים עונש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 כמתואר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לשלמות התמונה יצוין כי בעניינם של מואמאנה ודוראני התקיים הליך נפרד בגין אותה מסכת עובדתית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40858-08-16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בבית המשפט המחוזי 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). </w:t>
      </w:r>
      <w:r>
        <w:rPr>
          <w:rtl w:val="true"/>
        </w:rPr>
        <w:t>במסגרת הליך זה</w:t>
      </w:r>
      <w:r>
        <w:rPr>
          <w:rtl w:val="true"/>
        </w:rPr>
        <w:t xml:space="preserve">, </w:t>
      </w:r>
      <w:r>
        <w:rPr>
          <w:rtl w:val="true"/>
        </w:rPr>
        <w:t>הורשעו השניים על פי הודאתם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קשירת קשר לפשע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נסיון שוד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ולגבי מואמאנה בלבד גם עבירת פריצה למקום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ותקיפה הגורמת חבלה ממשית בנסיבות מחמירות על 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מואמאנה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31.10.2018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מואמאנה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4621/18</w:t>
        </w:r>
      </w:hyperlink>
      <w:r>
        <w:rPr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דוראני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2765/18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ערערו כאמור על חומרת עונשם</w:t>
      </w:r>
      <w:r>
        <w:rPr>
          <w:rtl w:val="true"/>
        </w:rPr>
        <w:t xml:space="preserve">, </w:t>
      </w:r>
      <w:r>
        <w:rPr>
          <w:rtl w:val="true"/>
        </w:rPr>
        <w:t>ומכאן הערעורים 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שלושתם טוענים כי העונש שהושת עליהם חורג מעקרון אחידות הענישה ביחס לעונש שהושת על דוראני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על אף שדוראני היה מתכנן האירוע ו</w:t>
      </w:r>
      <w:r>
        <w:rPr>
          <w:rtl w:val="true"/>
        </w:rPr>
        <w:t>"</w:t>
      </w:r>
      <w:r>
        <w:rPr>
          <w:rtl w:val="true"/>
        </w:rPr>
        <w:t>המוח מאחוריו</w:t>
      </w:r>
      <w:r>
        <w:rPr>
          <w:rtl w:val="true"/>
        </w:rPr>
        <w:t xml:space="preserve">", </w:t>
      </w:r>
      <w:r>
        <w:rPr>
          <w:rtl w:val="true"/>
        </w:rPr>
        <w:t>כלשונם</w:t>
      </w:r>
      <w:r>
        <w:rPr>
          <w:rtl w:val="true"/>
        </w:rPr>
        <w:t xml:space="preserve">, </w:t>
      </w:r>
      <w:r>
        <w:rPr>
          <w:rtl w:val="true"/>
        </w:rPr>
        <w:t xml:space="preserve">עונש המאסר שהושת עליו </w:t>
      </w:r>
      <w:r>
        <w:rPr>
          <w:rtl w:val="true"/>
        </w:rPr>
        <w:t>–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מקל ביחס לעונש המאסר שהושת עליהם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טוענים המערערים כי בית המשפט המחוזי החמיר בעונשם ביחס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התעלם מנסיבותיהם האישיות לרבות גילם הצעיר</w:t>
      </w:r>
      <w:r>
        <w:rPr>
          <w:rtl w:val="true"/>
        </w:rPr>
        <w:t xml:space="preserve">; </w:t>
      </w:r>
      <w:r>
        <w:rPr>
          <w:rtl w:val="true"/>
        </w:rPr>
        <w:t>היעדר עבר פלילי בעניינם</w:t>
      </w:r>
      <w:r>
        <w:rPr>
          <w:rtl w:val="true"/>
        </w:rPr>
        <w:t xml:space="preserve">; </w:t>
      </w:r>
      <w:r>
        <w:rPr>
          <w:rtl w:val="true"/>
        </w:rPr>
        <w:t>שהותם במעצר בית</w:t>
      </w:r>
      <w:r>
        <w:rPr>
          <w:rtl w:val="true"/>
        </w:rPr>
        <w:t xml:space="preserve">; </w:t>
      </w:r>
      <w:r>
        <w:rPr>
          <w:rtl w:val="true"/>
        </w:rPr>
        <w:t>והעובדה כי הודו בעובדות כתב האישום ונטלו אחריות על מעשיהם</w:t>
      </w:r>
      <w:r>
        <w:rPr>
          <w:rtl w:val="true"/>
        </w:rPr>
        <w:t xml:space="preserve">. </w:t>
      </w:r>
      <w:r>
        <w:rPr>
          <w:rtl w:val="true"/>
        </w:rPr>
        <w:t>כמו כן נטען כי לא ניתן משקל מספק לשיקולי השיקום בעניינם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אפגאני מוסיף וטוען כי בית המשפט המחוזי התעלם מחלקו הקטן יחסית בביצוע העבירה</w:t>
      </w:r>
      <w:r>
        <w:rPr>
          <w:rtl w:val="true"/>
        </w:rPr>
        <w:t xml:space="preserve">, </w:t>
      </w:r>
      <w:r>
        <w:rPr>
          <w:rtl w:val="true"/>
        </w:rPr>
        <w:t>אשר במסגרתו שמר על פתח המילוט בלבד ולא נקט באלימות כלפי המתלוננים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טוען אפגאני כי </w:t>
      </w:r>
      <w:r>
        <w:rPr>
          <w:sz w:val="28"/>
          <w:sz w:val="28"/>
          <w:rtl w:val="true"/>
        </w:rPr>
        <w:t>בקביעת עונשו לא ייחס בית המשפט המחוזי משקל ראוי לתסקירי שירות המבחן בעניינו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לנסיבותיו האישיות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ולסיכויי שיקומו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סמכה את ידיה על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תוך שציינה כי העונש שהושת על המערערים הולם את המעשים שביצעו</w:t>
      </w:r>
      <w:r>
        <w:rPr>
          <w:rtl w:val="true"/>
        </w:rPr>
        <w:t xml:space="preserve">, </w:t>
      </w:r>
      <w:r>
        <w:rPr>
          <w:rtl w:val="true"/>
        </w:rPr>
        <w:t>בשים לב לתכנון הקפדני שקדם לביצוע השוד האלים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מתכנונו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דוראני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שעיינו בערעורים על נספחיהם ושמענו את טענות הצדדים בדיון שלפנינו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הערעורים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ידועה היא כי ערכאת הערעור לא תתערב בעונש שהוטל על</w:t>
      </w:r>
      <w:r>
        <w:rPr>
          <w:rtl w:val="true"/>
        </w:rPr>
        <w:t>-</w:t>
      </w:r>
      <w:r>
        <w:rPr>
          <w:rtl w:val="true"/>
        </w:rPr>
        <w:t>ידי הערכאה הדיונית אלא במקרים חריגים של סטייה קיצונית ממדיניות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מדובר בטעות מהותית שנפלה בגזר הדין </w:t>
      </w:r>
      <w:r>
        <w:rPr>
          <w:rtl w:val="true"/>
        </w:rPr>
        <w:t>(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4777/17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10.1.2018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המקרים שלפנינו אינם מנויים על אחד החריגים דלעיל</w:t>
      </w:r>
      <w:r>
        <w:rPr>
          <w:rtl w:val="true"/>
        </w:rPr>
        <w:t xml:space="preserve">. </w:t>
      </w:r>
      <w:r>
        <w:rPr>
          <w:rtl w:val="true"/>
        </w:rPr>
        <w:t>העונשים שהושתו על המערערים הולמים את העבירות החמורות שביצעו</w:t>
      </w:r>
      <w:r>
        <w:rPr>
          <w:rtl w:val="true"/>
        </w:rPr>
        <w:t xml:space="preserve">, </w:t>
      </w:r>
      <w:r>
        <w:rPr>
          <w:rtl w:val="true"/>
        </w:rPr>
        <w:t>בשים לב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ונסיבותיהם האישיות של המערערים</w:t>
      </w:r>
      <w:r>
        <w:rPr>
          <w:rtl w:val="true"/>
        </w:rPr>
        <w:t xml:space="preserve">. </w:t>
      </w:r>
      <w:r>
        <w:rPr>
          <w:rtl w:val="true"/>
        </w:rPr>
        <w:t>לא שוכנענו כי בית המשפט המחוזי חרג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ואין בפסיקה שהובאה על</w:t>
      </w:r>
      <w:r>
        <w:rPr>
          <w:rtl w:val="true"/>
        </w:rPr>
        <w:t>-</w:t>
      </w:r>
      <w:r>
        <w:rPr>
          <w:rtl w:val="true"/>
        </w:rPr>
        <w:t>ידי המערערים כדי לשנות את מסקנתנו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עבירות השוד כוללות מנעד רחב של מעשים והתנהגויות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מציע הדין מנעד ענישה רחב לצִדם</w:t>
      </w:r>
      <w:r>
        <w:rPr>
          <w:rtl w:val="true"/>
        </w:rPr>
        <w:t xml:space="preserve">. </w:t>
      </w:r>
      <w:r>
        <w:rPr>
          <w:rtl w:val="true"/>
        </w:rPr>
        <w:t>ביצוע שוד ספונטני ברחוב הומה אדם אין כמוהו כביצוע שוד מתוכנן באופן קפדני בבית מגורים מאוכלס בשעה שדייריו שוהים בו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ביתו של אדם הוא מבצרו</w:t>
      </w:r>
      <w:r>
        <w:rPr>
          <w:rtl w:val="true"/>
        </w:rPr>
        <w:t xml:space="preserve">, </w:t>
      </w:r>
      <w:r>
        <w:rPr>
          <w:rtl w:val="true"/>
        </w:rPr>
        <w:t>בו הוא מרגיש בטוח ומוגן</w:t>
      </w:r>
      <w:r>
        <w:rPr>
          <w:rtl w:val="true"/>
        </w:rPr>
        <w:t xml:space="preserve">. </w:t>
      </w:r>
      <w:r>
        <w:rPr>
          <w:rtl w:val="true"/>
        </w:rPr>
        <w:t>פריצה אלימה לבית מגורים תוך תקיפת דייריו הנמים את שנתם מהווה פגיעה בהם במקום מבטחם</w:t>
      </w:r>
      <w:r>
        <w:rPr>
          <w:rtl w:val="true"/>
        </w:rPr>
        <w:t xml:space="preserve">, </w:t>
      </w:r>
      <w:r>
        <w:rPr>
          <w:rtl w:val="true"/>
        </w:rPr>
        <w:t>ויש בה כאמור כדי לפגוע לא רק בקניינם של דרי</w:t>
      </w:r>
      <w:r>
        <w:rPr>
          <w:rtl w:val="true"/>
        </w:rPr>
        <w:t>-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 xml:space="preserve">אלא אף בביטחונם האישי </w:t>
      </w:r>
      <w:r>
        <w:rPr>
          <w:rtl w:val="true"/>
        </w:rPr>
        <w:t>–</w:t>
      </w:r>
      <w:r>
        <w:rPr>
          <w:rtl w:val="true"/>
        </w:rPr>
        <w:t xml:space="preserve"> הפיזי והנפשי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מן הראוי כי תהא ענישה קשה וממשית שתהלום את חומרת מעשים אלו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1.11.2018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 פרצו לבית מגורים בשעות הבוקר המוקדמות</w:t>
      </w:r>
      <w:r>
        <w:rPr>
          <w:rtl w:val="true"/>
        </w:rPr>
        <w:t xml:space="preserve">, </w:t>
      </w:r>
      <w:r>
        <w:rPr>
          <w:rtl w:val="true"/>
        </w:rPr>
        <w:t>וזאת בחסות העלטה המכוונת שיצרו כשהורידו את מפסק החשמל הראשי</w:t>
      </w:r>
      <w:r>
        <w:rPr>
          <w:rtl w:val="true"/>
        </w:rPr>
        <w:t xml:space="preserve">. </w:t>
      </w:r>
      <w:r>
        <w:rPr>
          <w:rtl w:val="true"/>
        </w:rPr>
        <w:t>פריצה שכזו יש בה כדי לזרוע אימה בדיירי הבית</w:t>
      </w:r>
      <w:r>
        <w:rPr>
          <w:rtl w:val="true"/>
        </w:rPr>
        <w:t xml:space="preserve">, </w:t>
      </w:r>
      <w:r>
        <w:rPr>
          <w:rtl w:val="true"/>
        </w:rPr>
        <w:t xml:space="preserve">ולהביא לנזקים נפשיים קשים </w:t>
      </w:r>
      <w:r>
        <w:rPr>
          <w:rtl w:val="true"/>
        </w:rPr>
        <w:t>–</w:t>
      </w:r>
      <w:r>
        <w:rPr>
          <w:rtl w:val="true"/>
        </w:rPr>
        <w:t xml:space="preserve"> כפי שאכן קרה</w:t>
      </w:r>
      <w:r>
        <w:rPr>
          <w:rtl w:val="true"/>
        </w:rPr>
        <w:t xml:space="preserve">. </w:t>
      </w:r>
      <w:r>
        <w:rPr>
          <w:rtl w:val="true"/>
        </w:rPr>
        <w:t>מעשיהם של המערערים מגלים על כן חומרה יתרה בהשוואה למקרים אחרים של שוד במונית או במשרד כמתואר בפסיקה שהובאה על ידי 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מצאנו כי השוואת העונשים בין שלושת המערערים </w:t>
      </w:r>
      <w:r>
        <w:rPr>
          <w:rtl w:val="true"/>
        </w:rPr>
        <w:t>–</w:t>
      </w:r>
      <w:r>
        <w:rPr>
          <w:rtl w:val="true"/>
        </w:rPr>
        <w:t xml:space="preserve"> ראויה היא</w:t>
      </w:r>
      <w:r>
        <w:rPr>
          <w:rtl w:val="true"/>
        </w:rPr>
        <w:t xml:space="preserve">. </w:t>
      </w:r>
      <w:r>
        <w:rPr>
          <w:rtl w:val="true"/>
        </w:rPr>
        <w:t>בניגוד לטענת אפגאני</w:t>
      </w:r>
      <w:r>
        <w:rPr>
          <w:rtl w:val="true"/>
        </w:rPr>
        <w:t xml:space="preserve">, </w:t>
      </w:r>
      <w:r>
        <w:rPr>
          <w:rtl w:val="true"/>
        </w:rPr>
        <w:t>בנסיבות העניין שלפנינו עקרון הענישה האינדיבידואל</w:t>
      </w:r>
      <w:r>
        <w:rPr>
          <w:rtl w:val="true"/>
        </w:rPr>
        <w:t>ית</w:t>
      </w:r>
      <w:r>
        <w:rPr>
          <w:rtl w:val="true"/>
        </w:rPr>
        <w:t xml:space="preserve"> מוצא ביטוי דווקא בהשוואת עונשיהם של המערערים</w:t>
      </w:r>
      <w:r>
        <w:rPr>
          <w:rtl w:val="true"/>
        </w:rPr>
        <w:t xml:space="preserve">, </w:t>
      </w:r>
      <w:r>
        <w:rPr>
          <w:rtl w:val="true"/>
        </w:rPr>
        <w:t>האשמים במידה זהה בתכנון ובביצוע המעשים המתוארים</w:t>
      </w:r>
      <w:r>
        <w:rPr>
          <w:rtl w:val="true"/>
        </w:rPr>
        <w:t xml:space="preserve">. </w:t>
      </w:r>
      <w:r>
        <w:rPr>
          <w:rtl w:val="true"/>
        </w:rPr>
        <w:t>המערערים כולם פעלו כאחד בתכנון ובביצוע מעשה השוד האלים</w:t>
      </w:r>
      <w:r>
        <w:rPr>
          <w:rtl w:val="true"/>
        </w:rPr>
        <w:t xml:space="preserve">, </w:t>
      </w:r>
      <w:r>
        <w:rPr>
          <w:rtl w:val="true"/>
        </w:rPr>
        <w:t xml:space="preserve">תוך שיתוף פעולה מלא ביניהם </w:t>
      </w:r>
      <w:r>
        <w:rPr>
          <w:rtl w:val="true"/>
        </w:rPr>
        <w:t>–</w:t>
      </w:r>
      <w:r>
        <w:rPr>
          <w:rtl w:val="true"/>
        </w:rPr>
        <w:t xml:space="preserve"> כל אחד בתפקידו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בדין השית עליהם בית המשפט קמא עונש זהה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איננו מקבלים את טענות המערערים באשר ליחס בין עונשם לעונשו של שותפם לביצוע העבירות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מוטב היה שעניינם של המערערים יידון לפני בית משפט זה יחד עם עניינו של דוראני</w:t>
      </w:r>
      <w:r>
        <w:rPr>
          <w:rtl w:val="true"/>
        </w:rPr>
        <w:t xml:space="preserve">, </w:t>
      </w:r>
      <w:r>
        <w:rPr>
          <w:rtl w:val="true"/>
        </w:rPr>
        <w:t>באופן שיכול היה להציג את מכלול נסיבות ביצוע העבירות ונסיבותיהם האישיות של כל המעורבים באירוע</w:t>
      </w:r>
      <w:r>
        <w:rPr>
          <w:rtl w:val="true"/>
        </w:rPr>
        <w:t xml:space="preserve">, </w:t>
      </w:r>
      <w:r>
        <w:rPr>
          <w:rtl w:val="true"/>
        </w:rPr>
        <w:t>ולאפשר לבית המשפט שיקול דעת רחב בדונו בערעוריהם על חומרת עונשם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איננו סבורים כי בכך בלבד יש כדי לקבל את הערעורים ולהפחית בעונשם של המערערים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לא שוכנענו כי היחס בין העונש שהושת על המערערים לבין עונשו של דוראני חורג מעקרון אחידות 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בבחינת חלקם היחסי של המערערים מזה ודוראני מזה נראה כי האחרון אמנם לקח חלק פעיל בתכנון העבירה</w:t>
      </w:r>
      <w:r>
        <w:rPr>
          <w:rtl w:val="true"/>
        </w:rPr>
        <w:t xml:space="preserve">, </w:t>
      </w:r>
      <w:r>
        <w:rPr>
          <w:rtl w:val="true"/>
        </w:rPr>
        <w:t>אך חלקו בביצועה בפועל היה קטן באופן משמעותי מחלקם של המערערים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דוראני כפי שהוצגו מטעם באת</w:t>
      </w:r>
      <w:r>
        <w:rPr>
          <w:rtl w:val="true"/>
        </w:rPr>
        <w:t>-</w:t>
      </w:r>
      <w:r>
        <w:rPr>
          <w:rtl w:val="true"/>
        </w:rPr>
        <w:t>כוח המשיבה ונציגת שירות המבחן בדיון לפנינו</w:t>
      </w:r>
      <w:r>
        <w:rPr>
          <w:rtl w:val="true"/>
        </w:rPr>
        <w:t xml:space="preserve">, </w:t>
      </w:r>
      <w:r>
        <w:rPr>
          <w:rtl w:val="true"/>
        </w:rPr>
        <w:t>הכוללות בין היתר הליך שיקומי משמעותי אותו עבר</w:t>
      </w:r>
      <w:r>
        <w:rPr>
          <w:rtl w:val="true"/>
        </w:rPr>
        <w:t xml:space="preserve">, </w:t>
      </w:r>
      <w:r>
        <w:rPr>
          <w:rtl w:val="true"/>
        </w:rPr>
        <w:t>מצדיקות גם הן את האבחנה שנעשתה בין עונש המאסר שהושת עליו לבין העונשים שהושתו על המערערים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, 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5082/15</w:t>
        </w:r>
      </w:hyperlink>
      <w:r>
        <w:rPr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עביד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;Times New Roman" w:hAnsi="Times New Roman;Times New Roman" w:cs="Times New Roman;Times New Roman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cs="Times New Roman;Times New Roman" w:ascii="Times New Roman;Times New Roman" w:hAnsi="Times New Roman;Times New Roman"/>
        </w:rPr>
        <w:t>10.3.2016</w:t>
      </w:r>
      <w:r>
        <w:rPr>
          <w:rFonts w:cs="Times New Roman;Times New Roman" w:ascii="Times New Roman;Times New Roman" w:hAnsi="Times New Roman;Times New Roman"/>
          <w:rtl w:val="true"/>
        </w:rPr>
        <w:t xml:space="preserve">)). </w:t>
      </w:r>
      <w:r>
        <w:rPr>
          <w:rFonts w:ascii="Times New Roman;Times New Roman" w:hAnsi="Times New Roman;Times New Roman" w:cs="Times New Roman;Times New Roman"/>
          <w:rtl w:val="true"/>
        </w:rPr>
        <w:t>כשם שעקרון זה תומך בהשוואת עונשם של המעורבים באותה פרשיה עבריינית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הוא תומך גם בקיומו של רף ענישה אחיד בנסיבות דומות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יפים לעניין זה הדברים שכתבתי ב</w:t>
      </w:r>
      <w:hyperlink r:id="rId26"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</w:rPr>
          <w:t>1548/18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גיא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;Times New Roman" w:hAnsi="Times New Roman;Times New Roman" w:cs="Times New Roman;Times New Roman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cs="Times New Roman;Times New Roman" w:ascii="Times New Roman;Times New Roman" w:hAnsi="Times New Roman;Times New Roman"/>
        </w:rPr>
        <w:t>28.11.2018</w:t>
      </w:r>
      <w:r>
        <w:rPr>
          <w:rFonts w:cs="Times New Roman;Times New Roman" w:ascii="Times New Roman;Times New Roman" w:hAnsi="Times New Roman;Times New Roman"/>
          <w:rtl w:val="true"/>
        </w:rPr>
        <w:t>)</w:t>
      </w:r>
      <w:r>
        <w:rPr>
          <w:rFonts w:cs="Times New Roman;Times New Roman" w:ascii="Times New Roman;Times New Roman" w:hAnsi="Times New Roman;Times New Roman"/>
          <w:rtl w:val="true"/>
        </w:rPr>
        <w:t>:</w:t>
      </w:r>
    </w:p>
    <w:p>
      <w:pPr>
        <w:pStyle w:val="Ruller5"/>
        <w:ind w:end="1282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בנסיבות העניין שלפנינו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לוּ היו מתקבלות טענותיהם של המערערים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היה הדבר מביא להקלה בעונשם באופן החורג לקולא ממדיניות הענישה הנוהגת במקרים דומים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תוצאה זו אין לקבל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מכל הטעמים האמורים</w:t>
      </w:r>
      <w:r>
        <w:rPr>
          <w:rtl w:val="true"/>
        </w:rPr>
        <w:t xml:space="preserve">, </w:t>
      </w:r>
      <w:r>
        <w:rPr>
          <w:rtl w:val="true"/>
        </w:rPr>
        <w:t>אנו דוחים את שלושת הערעורים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14.1.2019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18009450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ברק ארז </w:t>
      </w:r>
      <w:r>
        <w:rPr>
          <w:rFonts w:cs="David;Times New Roman" w:ascii="David;Times New Roman" w:hAnsi="David;Times New Roman"/>
          <w:color w:val="000000"/>
          <w:szCs w:val="22"/>
        </w:rPr>
        <w:t>54678313-945/18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945/18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ווסים סלאימה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0" TargetMode="External"/><Relationship Id="rId4" Type="http://schemas.openxmlformats.org/officeDocument/2006/relationships/hyperlink" Target="http://www.nevo.co.il/law/70301/382.a" TargetMode="External"/><Relationship Id="rId5" Type="http://schemas.openxmlformats.org/officeDocument/2006/relationships/hyperlink" Target="http://www.nevo.co.il/law/70301/403" TargetMode="External"/><Relationship Id="rId6" Type="http://schemas.openxmlformats.org/officeDocument/2006/relationships/hyperlink" Target="http://www.nevo.co.il/law/70301/406.6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21562528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3" TargetMode="External"/><Relationship Id="rId13" Type="http://schemas.openxmlformats.org/officeDocument/2006/relationships/hyperlink" Target="http://www.nevo.co.il/law/70301/406.b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382.a" TargetMode="External"/><Relationship Id="rId16" Type="http://schemas.openxmlformats.org/officeDocument/2006/relationships/hyperlink" Target="http://www.nevo.co.il/case/21573410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403" TargetMode="External"/><Relationship Id="rId19" Type="http://schemas.openxmlformats.org/officeDocument/2006/relationships/hyperlink" Target="http://www.nevo.co.il/law/70301/406.6" TargetMode="External"/><Relationship Id="rId20" Type="http://schemas.openxmlformats.org/officeDocument/2006/relationships/hyperlink" Target="http://www.nevo.co.il/law/70301/380" TargetMode="External"/><Relationship Id="rId21" Type="http://schemas.openxmlformats.org/officeDocument/2006/relationships/hyperlink" Target="http://www.nevo.co.il/law/70301/382.a" TargetMode="External"/><Relationship Id="rId22" Type="http://schemas.openxmlformats.org/officeDocument/2006/relationships/hyperlink" Target="http://www.nevo.co.il/case/24303120" TargetMode="External"/><Relationship Id="rId23" Type="http://schemas.openxmlformats.org/officeDocument/2006/relationships/hyperlink" Target="http://www.nevo.co.il/case/23507758" TargetMode="External"/><Relationship Id="rId24" Type="http://schemas.openxmlformats.org/officeDocument/2006/relationships/hyperlink" Target="http://www.nevo.co.il/case/25092051" TargetMode="External"/><Relationship Id="rId25" Type="http://schemas.openxmlformats.org/officeDocument/2006/relationships/hyperlink" Target="http://www.nevo.co.il/case/20455789" TargetMode="External"/><Relationship Id="rId26" Type="http://schemas.openxmlformats.org/officeDocument/2006/relationships/hyperlink" Target="http://www.nevo.co.il/case/2375105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2019-01-15T11:17:00Z</dcterms:created>
  <dc:creator>h3</dc:creator>
  <dc:description/>
  <cp:keywords/>
  <dc:language>en-IL</dc:language>
  <cp:lastModifiedBy>orly</cp:lastModifiedBy>
  <cp:lastPrinted>2019-01-14T09:48:00Z</cp:lastPrinted>
  <dcterms:modified xsi:type="dcterms:W3CDTF">2019-01-15T11:17:00Z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ווסים סלאימה;פארס פרח;פאדי אפגני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ישראל;ניר בן דוד;טל בן דוד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21562528;21573410;24303120;23507758;25092051;20455789;23751050</vt:lpwstr>
  </property>
  <property fmtid="{D5CDD505-2E9C-101B-9397-08002B2CF9AE}" pid="9" name="CITY">
    <vt:lpwstr/>
  </property>
  <property fmtid="{D5CDD505-2E9C-101B-9397-08002B2CF9AE}" pid="10" name="DATE">
    <vt:lpwstr>20190114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ארז;ג' קרא;י' אלרון</vt:lpwstr>
  </property>
  <property fmtid="{D5CDD505-2E9C-101B-9397-08002B2CF9AE}" pid="14" name="LAWLISTTMP1">
    <vt:lpwstr>70301/499.a.1:2;403:2;406.b;380:2;382.a:2;406.6</vt:lpwstr>
  </property>
  <property fmtid="{D5CDD505-2E9C-101B-9397-08002B2CF9AE}" pid="15" name="LAWYER">
    <vt:lpwstr>מירי קולומבוס;מוחמד פווזי נוואתב;וסים דכוור;מוסטפא יחיא;ברכה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שוד</vt:lpwstr>
  </property>
  <property fmtid="{D5CDD505-2E9C-101B-9397-08002B2CF9AE}" pid="49" name="NOSE310">
    <vt:lpwstr/>
  </property>
  <property fmtid="{D5CDD505-2E9C-101B-9397-08002B2CF9AE}" pid="50" name="NOSE32">
    <vt:lpwstr>אחדות הענישה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16213;12547;17039</vt:lpwstr>
  </property>
  <property fmtid="{D5CDD505-2E9C-101B-9397-08002B2CF9AE}" pid="59" name="PADIDATE">
    <vt:lpwstr>20190115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</vt:lpwstr>
  </property>
  <property fmtid="{D5CDD505-2E9C-101B-9397-08002B2CF9AE}" pid="64" name="PROCNUM">
    <vt:lpwstr>945;965;967</vt:lpwstr>
  </property>
  <property fmtid="{D5CDD505-2E9C-101B-9397-08002B2CF9AE}" pid="65" name="PROCYEAR">
    <vt:lpwstr>18;18;18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410120190114</vt:lpwstr>
  </property>
  <property fmtid="{D5CDD505-2E9C-101B-9397-08002B2CF9AE}" pid="69" name="TYPE_N_DATE">
    <vt:lpwstr>41020190114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