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954/17</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המשנה</w:t>
            </w:r>
            <w:r>
              <w:rPr>
                <w:rFonts w:cs="Times New Roman;Times New Roman"/>
                <w:rtl w:val="true"/>
              </w:rPr>
              <w:t xml:space="preserve"> </w:t>
            </w:r>
            <w:r>
              <w:rPr>
                <w:rtl w:val="true"/>
              </w:rPr>
              <w:t>לנשיאה</w:t>
            </w:r>
            <w:r>
              <w:rPr>
                <w:rFonts w:cs="Times New Roman;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3" w:type="dxa"/>
        <w:jc w:val="end"/>
        <w:tblInd w:w="0" w:type="dxa"/>
        <w:tblLayout w:type="fixed"/>
        <w:tblCellMar>
          <w:top w:w="0" w:type="dxa"/>
          <w:start w:w="108" w:type="dxa"/>
          <w:bottom w:w="0" w:type="dxa"/>
          <w:end w:w="108" w:type="dxa"/>
        </w:tblCellMar>
      </w:tblPr>
      <w:tblGrid>
        <w:gridCol w:w="3230"/>
        <w:gridCol w:w="5133"/>
      </w:tblGrid>
      <w:tr>
        <w:trPr/>
        <w:tc>
          <w:tcPr>
            <w:tcW w:w="3230" w:type="dxa"/>
            <w:tcBorders/>
          </w:tcPr>
          <w:p>
            <w:pPr>
              <w:pStyle w:val="BodyRuller1"/>
              <w:ind w:end="0"/>
              <w:jc w:val="start"/>
              <w:rPr/>
            </w:pPr>
            <w:bookmarkStart w:id="3" w:name="FirstAppellant"/>
            <w:bookmarkEnd w:id="3"/>
            <w:r>
              <w:rPr>
                <w:rtl w:val="true"/>
              </w:rPr>
              <w:t>המערער</w:t>
            </w:r>
            <w:r>
              <w:rPr>
                <w:rtl w:val="true"/>
              </w:rPr>
              <w:t>:</w:t>
            </w:r>
          </w:p>
        </w:tc>
        <w:tc>
          <w:tcPr>
            <w:tcW w:w="5133" w:type="dxa"/>
            <w:tcBorders/>
          </w:tcPr>
          <w:p>
            <w:pPr>
              <w:pStyle w:val="BodyRuller1"/>
              <w:ind w:end="0"/>
              <w:jc w:val="start"/>
              <w:rPr/>
            </w:pPr>
            <w:r>
              <w:rPr>
                <w:rtl w:val="true"/>
              </w:rPr>
              <w:t>עבד</w:t>
            </w:r>
            <w:r>
              <w:rPr>
                <w:rFonts w:cs="Times New Roman;Times New Roman"/>
                <w:rtl w:val="true"/>
              </w:rPr>
              <w:t xml:space="preserve"> </w:t>
            </w:r>
            <w:r>
              <w:rPr>
                <w:rtl w:val="true"/>
              </w:rPr>
              <w:t>אלחכים</w:t>
            </w:r>
            <w:r>
              <w:rPr>
                <w:rFonts w:cs="Times New Roman;Times New Roman"/>
                <w:rtl w:val="true"/>
              </w:rPr>
              <w:t xml:space="preserve"> </w:t>
            </w:r>
            <w:r>
              <w:rPr>
                <w:rtl w:val="true"/>
              </w:rPr>
              <w:t>אבו</w:t>
            </w:r>
            <w:r>
              <w:rPr>
                <w:rFonts w:cs="Times New Roman;Times New Roman"/>
                <w:rtl w:val="true"/>
              </w:rPr>
              <w:t xml:space="preserve"> </w:t>
            </w:r>
            <w:r>
              <w:rPr>
                <w:rtl w:val="true"/>
              </w:rPr>
              <w:t>עראר</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3" w:type="dxa"/>
        <w:jc w:val="end"/>
        <w:tblInd w:w="0"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r>
              <w:rPr>
                <w:rtl w:val="true"/>
              </w:rPr>
              <w:t>המשיב</w:t>
            </w:r>
            <w:r>
              <w:rPr>
                <w:rtl w:val="true"/>
              </w:rPr>
              <w:t>ה</w:t>
            </w:r>
            <w:r>
              <w:rPr>
                <w:rtl w:val="true"/>
              </w:rPr>
              <w:t>:</w:t>
            </w:r>
          </w:p>
        </w:tc>
        <w:tc>
          <w:tcPr>
            <w:tcW w:w="5131"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פסק</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באר</w:t>
            </w:r>
            <w:r>
              <w:rPr>
                <w:rFonts w:cs="Times New Roman;Times New Roman"/>
                <w:sz w:val="24"/>
                <w:sz w:val="24"/>
                <w:szCs w:val="24"/>
                <w:rtl w:val="true"/>
              </w:rPr>
              <w:t xml:space="preserve"> </w:t>
            </w:r>
            <w:r>
              <w:rPr>
                <w:sz w:val="24"/>
                <w:sz w:val="24"/>
                <w:szCs w:val="24"/>
                <w:rtl w:val="true"/>
              </w:rPr>
              <w:t>שבע</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27.9.2016</w:t>
            </w:r>
            <w:r>
              <w:rPr>
                <w:sz w:val="24"/>
                <w:szCs w:val="24"/>
                <w:rtl w:val="true"/>
              </w:rPr>
              <w:t xml:space="preserve"> </w:t>
            </w:r>
            <w:r>
              <w:rPr>
                <w:sz w:val="24"/>
                <w:sz w:val="24"/>
                <w:szCs w:val="24"/>
                <w:rtl w:val="true"/>
              </w:rPr>
              <w:t>ומיום</w:t>
            </w:r>
            <w:r>
              <w:rPr>
                <w:rFonts w:cs="Times New Roman;Times New Roman"/>
                <w:sz w:val="24"/>
                <w:sz w:val="24"/>
                <w:szCs w:val="24"/>
                <w:rtl w:val="true"/>
              </w:rPr>
              <w:t xml:space="preserve"> </w:t>
            </w:r>
            <w:r>
              <w:rPr>
                <w:sz w:val="24"/>
                <w:szCs w:val="24"/>
              </w:rPr>
              <w:t>22.12.2016</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35040-10-15</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עדן</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ז</w:t>
            </w:r>
            <w:r>
              <w:rPr>
                <w:rFonts w:cs="Times New Roman;Times New Roman"/>
                <w:sz w:val="24"/>
                <w:sz w:val="24"/>
                <w:szCs w:val="24"/>
                <w:rtl w:val="true"/>
              </w:rPr>
              <w:t xml:space="preserve"> </w:t>
            </w:r>
            <w:r>
              <w:rPr>
                <w:sz w:val="24"/>
                <w:sz w:val="24"/>
                <w:szCs w:val="24"/>
                <w:rtl w:val="true"/>
              </w:rPr>
              <w:t>בכסלו</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p>
        </w:tc>
        <w:tc>
          <w:tcPr>
            <w:tcW w:w="2710" w:type="dxa"/>
            <w:tcBorders/>
          </w:tcPr>
          <w:p>
            <w:pPr>
              <w:pStyle w:val="BodyRuller1"/>
              <w:ind w:end="0"/>
              <w:jc w:val="start"/>
              <w:rPr>
                <w:sz w:val="24"/>
                <w:szCs w:val="24"/>
              </w:rPr>
            </w:pPr>
            <w:r>
              <w:rPr>
                <w:rtl w:val="true"/>
              </w:rPr>
              <w:t>(</w:t>
            </w:r>
            <w:r>
              <w:rPr/>
              <w:t>05.12.2018</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מוסטפא</w:t>
            </w:r>
            <w:r>
              <w:rPr>
                <w:rFonts w:cs="Times New Roman;Times New Roman"/>
                <w:rtl w:val="true"/>
              </w:rPr>
              <w:t xml:space="preserve"> </w:t>
            </w:r>
            <w:r>
              <w:rPr>
                <w:rtl w:val="true"/>
              </w:rPr>
              <w:t>נסאר</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רוני</w:t>
            </w:r>
            <w:r>
              <w:rPr>
                <w:rFonts w:cs="Times New Roman;Times New Roman"/>
                <w:rtl w:val="true"/>
              </w:rPr>
              <w:t xml:space="preserve"> </w:t>
            </w:r>
            <w:r>
              <w:rPr>
                <w:rtl w:val="true"/>
              </w:rPr>
              <w:t>זלושינסקי</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bookmarkStart w:id="5" w:name="LawTable"/>
      <w:bookmarkEnd w:id="5"/>
      <w:r>
        <w:rPr>
          <w:rFonts w:ascii="FrankRuehl;Times New Roman" w:hAnsi="FrankRuehl;Times New Roman" w:cs="FrankRuehl;Times New Roman"/>
          <w:sz w:val="24"/>
          <w:sz w:val="24"/>
          <w:rtl w:val="true"/>
        </w:rPr>
        <w:t>חקיקה שאוזכרה</w:t>
      </w:r>
      <w:r>
        <w:rPr>
          <w:rFonts w:cs="FrankRuehl;Times New Roman" w:ascii="FrankRuehl;Times New Roman" w:hAnsi="FrankRuehl;Times New Roman"/>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3">
        <w:r>
          <w:rPr>
            <w:rStyle w:val="Hyperlink"/>
            <w:rFonts w:ascii="FrankRuehl;Times New Roman" w:hAnsi="FrankRuehl;Times New Roman" w:cs="FrankRuehl;Times New Roman"/>
            <w:color w:val="0000FF"/>
            <w:sz w:val="24"/>
            <w:sz w:val="24"/>
            <w:u w:val="single"/>
            <w:rtl w:val="true"/>
          </w:rPr>
          <w:t>חוק העונשין</w:t>
        </w:r>
        <w:r>
          <w:rPr>
            <w:rStyle w:val="Hyperlink"/>
            <w:rFonts w:cs="FrankRuehl;Times New Roman" w:ascii="FrankRuehl;Times New Roman" w:hAnsi="FrankRuehl;Times New Roman"/>
            <w:color w:val="0000FF"/>
            <w:sz w:val="24"/>
            <w:u w:val="single"/>
            <w:rtl w:val="true"/>
          </w:rPr>
          <w:t xml:space="preserve">, </w:t>
        </w:r>
        <w:r>
          <w:rPr>
            <w:rStyle w:val="Hyperlink"/>
            <w:rFonts w:ascii="FrankRuehl;Times New Roman" w:hAnsi="FrankRuehl;Times New Roman" w:cs="FrankRuehl;Times New Roman"/>
            <w:color w:val="0000FF"/>
            <w:sz w:val="24"/>
            <w:sz w:val="24"/>
            <w:u w:val="single"/>
            <w:rtl w:val="true"/>
          </w:rPr>
          <w:t>תשל</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ז</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1977</w:t>
        </w:r>
      </w:hyperlink>
      <w:r>
        <w:rPr>
          <w:rFonts w:cs="FrankRuehl;Times New Roman" w:ascii="FrankRuehl;Times New Roman" w:hAnsi="FrankRuehl;Times New Roman"/>
          <w:sz w:val="24"/>
          <w:rtl w:val="true"/>
        </w:rPr>
        <w:t xml:space="preserve">: </w:t>
      </w:r>
      <w:r>
        <w:rPr>
          <w:rFonts w:ascii="FrankRuehl;Times New Roman" w:hAnsi="FrankRuehl;Times New Roman" w:cs="FrankRuehl;Times New Roman"/>
          <w:sz w:val="24"/>
          <w:sz w:val="24"/>
          <w:rtl w:val="true"/>
        </w:rPr>
        <w:t>סע</w:t>
      </w:r>
      <w:r>
        <w:rPr>
          <w:rFonts w:cs="FrankRuehl;Times New Roman" w:ascii="FrankRuehl;Times New Roman" w:hAnsi="FrankRuehl;Times New Roman"/>
          <w:sz w:val="24"/>
          <w:rtl w:val="true"/>
        </w:rPr>
        <w:t xml:space="preserve">'  </w:t>
      </w:r>
      <w:hyperlink r:id="rId4">
        <w:r>
          <w:rPr>
            <w:rStyle w:val="Hyperlink"/>
            <w:rFonts w:cs="FrankRuehl;Times New Roman" w:ascii="FrankRuehl;Times New Roman" w:hAnsi="FrankRuehl;Times New Roman"/>
            <w:color w:val="0000FF"/>
            <w:sz w:val="24"/>
            <w:u w:val="single"/>
          </w:rPr>
          <w:t>29</w:t>
        </w:r>
      </w:hyperlink>
      <w:r>
        <w:rPr>
          <w:rFonts w:cs="FrankRuehl;Times New Roman" w:ascii="FrankRuehl;Times New Roman" w:hAnsi="FrankRuehl;Times New Roman"/>
          <w:sz w:val="24"/>
          <w:rtl w:val="true"/>
        </w:rPr>
        <w:t xml:space="preserve">, </w:t>
      </w:r>
      <w:hyperlink r:id="rId5">
        <w:r>
          <w:rPr>
            <w:rStyle w:val="Hyperlink"/>
            <w:rFonts w:cs="FrankRuehl;Times New Roman" w:ascii="FrankRuehl;Times New Roman" w:hAnsi="FrankRuehl;Times New Roman"/>
            <w:color w:val="0000FF"/>
            <w:sz w:val="24"/>
            <w:u w:val="single"/>
          </w:rPr>
          <w:t>186</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6">
        <w:r>
          <w:rPr>
            <w:rStyle w:val="Hyperlink"/>
            <w:rFonts w:cs="FrankRuehl;Times New Roman" w:ascii="FrankRuehl;Times New Roman" w:hAnsi="FrankRuehl;Times New Roman"/>
            <w:color w:val="0000FF"/>
            <w:sz w:val="24"/>
            <w:u w:val="single"/>
          </w:rPr>
          <w:t>329</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7">
        <w:r>
          <w:rPr>
            <w:rStyle w:val="Hyperlink"/>
            <w:rFonts w:cs="FrankRuehl;Times New Roman" w:ascii="FrankRuehl;Times New Roman" w:hAnsi="FrankRuehl;Times New Roman"/>
            <w:color w:val="0000FF"/>
            <w:sz w:val="24"/>
            <w:u w:val="single"/>
          </w:rPr>
          <w:t>329</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2</w:t>
        </w:r>
        <w:r>
          <w:rPr>
            <w:rStyle w:val="Hyperlink"/>
            <w:rFonts w:cs="FrankRuehl;Times New Roman" w:ascii="FrankRuehl;Times New Roman" w:hAnsi="FrankRuehl;Times New Roman"/>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8">
        <w:r>
          <w:rPr>
            <w:rStyle w:val="Hyperlink"/>
            <w:rFonts w:ascii="FrankRuehl;Times New Roman" w:hAnsi="FrankRuehl;Times New Roman" w:cs="FrankRuehl;Times New Roman"/>
            <w:color w:val="0000FF"/>
            <w:sz w:val="24"/>
            <w:sz w:val="24"/>
            <w:u w:val="single"/>
            <w:rtl w:val="true"/>
          </w:rPr>
          <w:t xml:space="preserve">חוק סדר הדין הפלילי </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נוסח משולב</w:t>
        </w:r>
        <w:r>
          <w:rPr>
            <w:rStyle w:val="Hyperlink"/>
            <w:rFonts w:cs="FrankRuehl;Times New Roman" w:ascii="FrankRuehl;Times New Roman" w:hAnsi="FrankRuehl;Times New Roman"/>
            <w:color w:val="0000FF"/>
            <w:sz w:val="24"/>
            <w:u w:val="single"/>
            <w:rtl w:val="true"/>
          </w:rPr>
          <w:t xml:space="preserve">], </w:t>
        </w:r>
        <w:r>
          <w:rPr>
            <w:rStyle w:val="Hyperlink"/>
            <w:rFonts w:ascii="FrankRuehl;Times New Roman" w:hAnsi="FrankRuehl;Times New Roman" w:cs="FrankRuehl;Times New Roman"/>
            <w:color w:val="0000FF"/>
            <w:sz w:val="24"/>
            <w:sz w:val="24"/>
            <w:u w:val="single"/>
            <w:rtl w:val="true"/>
          </w:rPr>
          <w:t>תשמ</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ב</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1982</w:t>
        </w:r>
      </w:hyperlink>
      <w:r>
        <w:rPr>
          <w:rFonts w:cs="FrankRuehl;Times New Roman" w:ascii="FrankRuehl;Times New Roman" w:hAnsi="FrankRuehl;Times New Roman"/>
          <w:sz w:val="24"/>
          <w:rtl w:val="true"/>
        </w:rPr>
        <w:t xml:space="preserve">: </w:t>
      </w:r>
      <w:r>
        <w:rPr>
          <w:rFonts w:ascii="FrankRuehl;Times New Roman" w:hAnsi="FrankRuehl;Times New Roman" w:cs="FrankRuehl;Times New Roman"/>
          <w:sz w:val="24"/>
          <w:sz w:val="24"/>
          <w:rtl w:val="true"/>
        </w:rPr>
        <w:t>סע</w:t>
      </w:r>
      <w:r>
        <w:rPr>
          <w:rFonts w:cs="FrankRuehl;Times New Roman" w:ascii="FrankRuehl;Times New Roman" w:hAnsi="FrankRuehl;Times New Roman"/>
          <w:sz w:val="24"/>
          <w:rtl w:val="true"/>
        </w:rPr>
        <w:t xml:space="preserve">'  </w:t>
      </w:r>
      <w:hyperlink r:id="rId9">
        <w:r>
          <w:rPr>
            <w:rStyle w:val="Hyperlink"/>
            <w:rFonts w:cs="FrankRuehl;Times New Roman" w:ascii="FrankRuehl;Times New Roman" w:hAnsi="FrankRuehl;Times New Roman"/>
            <w:color w:val="0000FF"/>
            <w:sz w:val="24"/>
            <w:u w:val="single"/>
          </w:rPr>
          <w:t>149</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10</w:t>
        </w:r>
        <w:r>
          <w:rPr>
            <w:rStyle w:val="Hyperlink"/>
            <w:rFonts w:cs="FrankRuehl;Times New Roman" w:ascii="FrankRuehl;Times New Roman" w:hAnsi="FrankRuehl;Times New Roman"/>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cs="FrankRuehl;Times New Roman" w:ascii="FrankRuehl;Times New Roman" w:hAnsi="FrankRuehl;Times New Roman"/>
          <w:sz w:val="24"/>
          <w:rtl w:val="true"/>
        </w:rPr>
      </w:r>
      <w:bookmarkStart w:id="6" w:name="LawTable_End"/>
      <w:bookmarkStart w:id="7" w:name="LawTable_End"/>
      <w:bookmarkEnd w:id="7"/>
    </w:p>
    <w:p>
      <w:pPr>
        <w:pStyle w:val="Normal"/>
        <w:tabs>
          <w:tab w:val="clear" w:pos="720"/>
          <w:tab w:val="left" w:pos="2552" w:leader="none"/>
        </w:tabs>
        <w:spacing w:lineRule="exact" w:line="240" w:before="0" w:after="120"/>
        <w:ind w:hanging="283" w:start="283" w:end="0"/>
        <w:jc w:val="both"/>
        <w:rPr>
          <w:rStyle w:val="Hyperlink"/>
        </w:rPr>
      </w:pPr>
      <w:bookmarkStart w:id="8" w:name="Links_Start"/>
      <w:bookmarkEnd w:id="8"/>
      <w:r>
        <w:rPr>
          <w:rFonts w:ascii="FrankRuehl;Times New Roman" w:hAnsi="FrankRuehl;Times New Roman" w:cs="FrankRuehl;Times New Roman"/>
          <w:sz w:val="24"/>
          <w:sz w:val="24"/>
          <w:rtl w:val="true"/>
        </w:rPr>
        <w:t>ספרות</w:t>
      </w:r>
      <w:hyperlink r:id="rId10">
        <w:r>
          <w:rPr>
            <w:rFonts w:cs="FrankRuehl;Times New Roman" w:ascii="FrankRuehl;Times New Roman" w:hAnsi="FrankRuehl;Times New Roman"/>
            <w:sz w:val="24"/>
            <w:rtl w:val="true"/>
          </w:rPr>
          <w:t>:</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11">
        <w:r>
          <w:rPr>
            <w:rStyle w:val="Hyperlink"/>
            <w:rFonts w:ascii="FrankRuehl;Times New Roman" w:hAnsi="FrankRuehl;Times New Roman" w:cs="FrankRuehl;Times New Roman"/>
            <w:sz w:val="24"/>
            <w:sz w:val="24"/>
            <w:rtl w:val="true"/>
          </w:rPr>
          <w:t>ש</w:t>
        </w:r>
        <w:r>
          <w:rPr>
            <w:rStyle w:val="Hyperlink"/>
            <w:rFonts w:cs="FrankRuehl;Times New Roman" w:ascii="FrankRuehl;Times New Roman" w:hAnsi="FrankRuehl;Times New Roman"/>
            <w:sz w:val="24"/>
            <w:rtl w:val="true"/>
          </w:rPr>
          <w:t>"</w:t>
        </w:r>
        <w:r>
          <w:rPr>
            <w:rStyle w:val="Hyperlink"/>
            <w:rFonts w:ascii="FrankRuehl;Times New Roman" w:hAnsi="FrankRuehl;Times New Roman" w:cs="FrankRuehl;Times New Roman"/>
            <w:sz w:val="24"/>
            <w:sz w:val="24"/>
            <w:rtl w:val="true"/>
          </w:rPr>
          <w:t>ז פלר</w:t>
        </w:r>
        <w:r>
          <w:rPr>
            <w:rStyle w:val="Hyperlink"/>
            <w:rFonts w:cs="FrankRuehl;Times New Roman" w:ascii="FrankRuehl;Times New Roman" w:hAnsi="FrankRuehl;Times New Roman"/>
            <w:sz w:val="24"/>
            <w:rtl w:val="true"/>
          </w:rPr>
          <w:t xml:space="preserve">, </w:t>
        </w:r>
        <w:r>
          <w:rPr>
            <w:rStyle w:val="Hyperlink"/>
            <w:rFonts w:ascii="FrankRuehl;Times New Roman" w:hAnsi="FrankRuehl;Times New Roman" w:cs="FrankRuehl;Times New Roman"/>
            <w:sz w:val="24"/>
            <w:sz w:val="24"/>
            <w:rtl w:val="true"/>
          </w:rPr>
          <w:t xml:space="preserve">יסודות בדיני עונשין </w:t>
        </w:r>
        <w:r>
          <w:rPr>
            <w:rStyle w:val="Hyperlink"/>
            <w:rFonts w:cs="FrankRuehl;Times New Roman" w:ascii="FrankRuehl;Times New Roman" w:hAnsi="FrankRuehl;Times New Roman"/>
            <w:sz w:val="24"/>
            <w:rtl w:val="true"/>
          </w:rPr>
          <w:t>(</w:t>
        </w:r>
        <w:r>
          <w:rPr>
            <w:rStyle w:val="Hyperlink"/>
            <w:rFonts w:ascii="FrankRuehl;Times New Roman" w:hAnsi="FrankRuehl;Times New Roman" w:cs="FrankRuehl;Times New Roman"/>
            <w:sz w:val="24"/>
            <w:sz w:val="24"/>
            <w:rtl w:val="true"/>
          </w:rPr>
          <w:t>כרך א</w:t>
        </w:r>
        <w:r>
          <w:rPr>
            <w:rStyle w:val="Hyperlink"/>
            <w:rFonts w:cs="FrankRuehl;Times New Roman" w:ascii="FrankRuehl;Times New Roman" w:hAnsi="FrankRuehl;Times New Roman"/>
            <w:sz w:val="24"/>
            <w:rtl w:val="true"/>
          </w:rPr>
          <w:t xml:space="preserve">, </w:t>
        </w:r>
        <w:r>
          <w:rPr>
            <w:rStyle w:val="Hyperlink"/>
            <w:rFonts w:ascii="FrankRuehl;Times New Roman" w:hAnsi="FrankRuehl;Times New Roman" w:cs="FrankRuehl;Times New Roman"/>
            <w:sz w:val="24"/>
            <w:sz w:val="24"/>
            <w:rtl w:val="true"/>
          </w:rPr>
          <w:t>תשמ</w:t>
        </w:r>
        <w:r>
          <w:rPr>
            <w:rStyle w:val="Hyperlink"/>
            <w:rFonts w:cs="FrankRuehl;Times New Roman" w:ascii="FrankRuehl;Times New Roman" w:hAnsi="FrankRuehl;Times New Roman"/>
            <w:sz w:val="24"/>
            <w:rtl w:val="true"/>
          </w:rPr>
          <w:t>"</w:t>
        </w:r>
        <w:r>
          <w:rPr>
            <w:rStyle w:val="Hyperlink"/>
            <w:rFonts w:ascii="FrankRuehl;Times New Roman" w:hAnsi="FrankRuehl;Times New Roman" w:cs="FrankRuehl;Times New Roman"/>
            <w:sz w:val="24"/>
            <w:sz w:val="24"/>
            <w:rtl w:val="true"/>
          </w:rPr>
          <w:t>ד</w:t>
        </w:r>
        <w:r>
          <w:rPr>
            <w:rStyle w:val="Hyperlink"/>
            <w:rFonts w:cs="FrankRuehl;Times New Roman" w:ascii="FrankRuehl;Times New Roman" w:hAnsi="FrankRuehl;Times New Roman"/>
            <w:sz w:val="24"/>
            <w:rtl w:val="true"/>
          </w:rPr>
          <w:t>)</w:t>
        </w:r>
      </w:hyperlink>
    </w:p>
    <w:p>
      <w:pPr>
        <w:pStyle w:val="Normal"/>
        <w:tabs>
          <w:tab w:val="clear" w:pos="720"/>
          <w:tab w:val="left" w:pos="2552" w:leader="none"/>
        </w:tabs>
        <w:ind w:end="0"/>
        <w:jc w:val="start"/>
        <w:rPr>
          <w:rFonts w:ascii="FrankRuehl;Times New Roman" w:hAnsi="FrankRuehl;Times New Roman" w:cs="FrankRuehl;Times New Roman"/>
          <w:sz w:val="24"/>
        </w:rPr>
      </w:pPr>
      <w:r>
        <w:rPr>
          <w:rFonts w:cs="FrankRuehl;Times New Roman" w:ascii="FrankRuehl;Times New Roman" w:hAnsi="FrankRuehl;Times New Roman"/>
          <w:sz w:val="24"/>
          <w:rtl w:val="true"/>
        </w:rPr>
      </w:r>
      <w:bookmarkStart w:id="9" w:name="Links_Kitvei_Start"/>
      <w:bookmarkStart w:id="10" w:name="Links_End"/>
      <w:bookmarkStart w:id="11" w:name="Links_Kitvei_Start"/>
      <w:bookmarkStart w:id="12" w:name="Links_End"/>
      <w:bookmarkEnd w:id="11"/>
      <w:bookmarkEnd w:id="12"/>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cs="FrankRuehl;Times New Roman" w:ascii="FrankRuehl;Times New Roman" w:hAnsi="FrankRuehl;Times New Roman"/>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13" w:name="Links_Kitvei_Start"/>
      <w:bookmarkEnd w:id="13"/>
      <w:r>
        <w:rPr>
          <w:rFonts w:ascii="FrankRuehl;Times New Roman" w:hAnsi="FrankRuehl;Times New Roman" w:cs="FrankRuehl;Times New Roman"/>
          <w:sz w:val="24"/>
          <w:sz w:val="24"/>
          <w:rtl w:val="true"/>
        </w:rPr>
        <w:t>כתבי עת</w:t>
      </w:r>
      <w:hyperlink r:id="rId12">
        <w:r>
          <w:rPr>
            <w:rFonts w:cs="FrankRuehl;Times New Roman" w:ascii="FrankRuehl;Times New Roman" w:hAnsi="FrankRuehl;Times New Roman"/>
            <w:sz w:val="24"/>
            <w:rtl w:val="true"/>
          </w:rPr>
          <w:t>:</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13">
        <w:r>
          <w:rPr>
            <w:rStyle w:val="Hyperlink"/>
            <w:rFonts w:ascii="FrankRuehl;Times New Roman" w:hAnsi="FrankRuehl;Times New Roman" w:cs="FrankRuehl;Times New Roman"/>
            <w:sz w:val="24"/>
            <w:sz w:val="24"/>
            <w:rtl w:val="true"/>
          </w:rPr>
          <w:t>רוני רוזנברג</w:t>
        </w:r>
        <w:r>
          <w:rPr>
            <w:rStyle w:val="Hyperlink"/>
            <w:rFonts w:cs="FrankRuehl;Times New Roman" w:ascii="FrankRuehl;Times New Roman" w:hAnsi="FrankRuehl;Times New Roman"/>
            <w:sz w:val="24"/>
            <w:rtl w:val="true"/>
          </w:rPr>
          <w:t>, "</w:t>
        </w:r>
        <w:r>
          <w:rPr>
            <w:rStyle w:val="Hyperlink"/>
            <w:rFonts w:ascii="FrankRuehl;Times New Roman" w:hAnsi="FrankRuehl;Times New Roman" w:cs="FrankRuehl;Times New Roman"/>
            <w:sz w:val="24"/>
            <w:sz w:val="24"/>
            <w:rtl w:val="true"/>
          </w:rPr>
          <w:t>ביצוע בצוותא</w:t>
        </w:r>
        <w:r>
          <w:rPr>
            <w:rStyle w:val="Hyperlink"/>
            <w:rFonts w:cs="FrankRuehl;Times New Roman" w:ascii="FrankRuehl;Times New Roman" w:hAnsi="FrankRuehl;Times New Roman"/>
            <w:sz w:val="24"/>
            <w:rtl w:val="true"/>
          </w:rPr>
          <w:t xml:space="preserve">: </w:t>
        </w:r>
        <w:r>
          <w:rPr>
            <w:rStyle w:val="Hyperlink"/>
            <w:rFonts w:ascii="FrankRuehl;Times New Roman" w:hAnsi="FrankRuehl;Times New Roman" w:cs="FrankRuehl;Times New Roman"/>
            <w:sz w:val="24"/>
            <w:sz w:val="24"/>
            <w:rtl w:val="true"/>
          </w:rPr>
          <w:t>רכיב התנהגותי</w:t>
        </w:r>
        <w:r>
          <w:rPr>
            <w:rStyle w:val="Hyperlink"/>
            <w:rFonts w:cs="FrankRuehl;Times New Roman" w:ascii="FrankRuehl;Times New Roman" w:hAnsi="FrankRuehl;Times New Roman"/>
            <w:sz w:val="24"/>
            <w:rtl w:val="true"/>
          </w:rPr>
          <w:t xml:space="preserve">, </w:t>
        </w:r>
        <w:r>
          <w:rPr>
            <w:rStyle w:val="Hyperlink"/>
            <w:rFonts w:ascii="FrankRuehl;Times New Roman" w:hAnsi="FrankRuehl;Times New Roman" w:cs="FrankRuehl;Times New Roman"/>
            <w:sz w:val="24"/>
            <w:sz w:val="24"/>
            <w:rtl w:val="true"/>
          </w:rPr>
          <w:t>יסוד נפשי ורציונלים</w:t>
        </w:r>
        <w:r>
          <w:rPr>
            <w:rStyle w:val="Hyperlink"/>
            <w:rFonts w:cs="FrankRuehl;Times New Roman" w:ascii="FrankRuehl;Times New Roman" w:hAnsi="FrankRuehl;Times New Roman"/>
            <w:sz w:val="24"/>
            <w:rtl w:val="true"/>
          </w:rPr>
          <w:t xml:space="preserve">", </w:t>
        </w:r>
        <w:r>
          <w:rPr>
            <w:rStyle w:val="Hyperlink"/>
            <w:rFonts w:ascii="FrankRuehl;Times New Roman" w:hAnsi="FrankRuehl;Times New Roman" w:cs="FrankRuehl;Times New Roman"/>
            <w:sz w:val="24"/>
            <w:sz w:val="24"/>
            <w:rtl w:val="true"/>
          </w:rPr>
          <w:t>ספר אדמונד לוי</w:t>
        </w:r>
        <w:r>
          <w:rPr>
            <w:rStyle w:val="Hyperlink"/>
            <w:rFonts w:cs="FrankRuehl;Times New Roman" w:ascii="FrankRuehl;Times New Roman" w:hAnsi="FrankRuehl;Times New Roman"/>
            <w:sz w:val="24"/>
            <w:rtl w:val="true"/>
          </w:rPr>
          <w:t>,  (</w:t>
        </w:r>
        <w:r>
          <w:rPr>
            <w:rStyle w:val="Hyperlink"/>
            <w:rFonts w:ascii="FrankRuehl;Times New Roman" w:hAnsi="FrankRuehl;Times New Roman" w:cs="FrankRuehl;Times New Roman"/>
            <w:sz w:val="24"/>
            <w:sz w:val="24"/>
            <w:rtl w:val="true"/>
          </w:rPr>
          <w:t>אוהד גורדון עורך</w:t>
        </w:r>
        <w:r>
          <w:rPr>
            <w:rStyle w:val="Hyperlink"/>
            <w:rFonts w:cs="FrankRuehl;Times New Roman" w:ascii="FrankRuehl;Times New Roman" w:hAnsi="FrankRuehl;Times New Roman"/>
            <w:sz w:val="24"/>
            <w:rtl w:val="true"/>
          </w:rPr>
          <w:t xml:space="preserve">, </w:t>
        </w:r>
        <w:r>
          <w:rPr>
            <w:rStyle w:val="Hyperlink"/>
            <w:rFonts w:cs="FrankRuehl;Times New Roman" w:ascii="FrankRuehl;Times New Roman" w:hAnsi="FrankRuehl;Times New Roman"/>
            <w:sz w:val="24"/>
          </w:rPr>
          <w:t>2017</w:t>
        </w:r>
        <w:r>
          <w:rPr>
            <w:rStyle w:val="Hyperlink"/>
            <w:rFonts w:cs="FrankRuehl;Times New Roman" w:ascii="FrankRuehl;Times New Roman" w:hAnsi="FrankRuehl;Times New Roman"/>
            <w:sz w:val="24"/>
            <w:rtl w:val="true"/>
          </w:rPr>
          <w:t xml:space="preserve">) </w:t>
        </w:r>
        <w:r>
          <w:rPr>
            <w:rStyle w:val="Hyperlink"/>
            <w:rFonts w:cs="FrankRuehl;Times New Roman" w:ascii="FrankRuehl;Times New Roman" w:hAnsi="FrankRuehl;Times New Roman"/>
            <w:sz w:val="24"/>
          </w:rPr>
          <w:t>657</w:t>
        </w:r>
      </w:hyperlink>
    </w:p>
    <w:p>
      <w:pPr>
        <w:pStyle w:val="Normal"/>
        <w:tabs>
          <w:tab w:val="clear" w:pos="720"/>
          <w:tab w:val="left" w:pos="2552" w:leader="none"/>
        </w:tabs>
        <w:ind w:end="0"/>
        <w:jc w:val="start"/>
        <w:rPr>
          <w:rFonts w:ascii="FrankRuehl;Times New Roman" w:hAnsi="FrankRuehl;Times New Roman" w:cs="FrankRuehl;Times New Roman"/>
          <w:sz w:val="24"/>
        </w:rPr>
      </w:pPr>
      <w:r>
        <w:rPr>
          <w:rFonts w:cs="FrankRuehl;Times New Roman" w:ascii="FrankRuehl;Times New Roman" w:hAnsi="FrankRuehl;Times New Roman"/>
          <w:sz w:val="24"/>
          <w:rtl w:val="true"/>
        </w:rPr>
      </w:r>
      <w:bookmarkStart w:id="14" w:name="Links_Kitvei_End"/>
      <w:bookmarkStart w:id="15" w:name="Links_Kitvei_End"/>
      <w:bookmarkEnd w:id="15"/>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16" w:name="ABSTRACT_START"/>
      <w:bookmarkEnd w:id="16"/>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נדחה ערעור על הרשעת המערער בשתי עבירות של חבלה בכוונה מחמירה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נפסק כי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הראיות מוכיחות מעל ומעבר לספק סביר כי המערער הוא זה שדקר את מתלונן </w:t>
      </w:r>
      <w:r>
        <w:rPr>
          <w:rFonts w:cs="Times New Roman;Times New Roman" w:ascii="Times New Roman;Times New Roman" w:hAnsi="Times New Roman;Times New Roman"/>
          <w:spacing w:val="0"/>
          <w:szCs w:val="26"/>
        </w:rPr>
        <w:t>1</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בבטנו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וכן דקר אותו בצוותא חדא בצווארו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וכי התקיימו יסודות העבירה הנדונה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כן נדחה הערעור על העונש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בהיותו מידתי ומאוזן</w:t>
      </w:r>
      <w:r>
        <w:rPr>
          <w:rFonts w:cs="Times New Roman;Times New Roman" w:ascii="Times New Roman;Times New Roman" w:hAnsi="Times New Roman;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עבירות – חבלה בכוונה מחמירה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שותפים לעבירה – מבצע בצוותא</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אחריות פלילית – שותפות לעבירה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עבירות אלימות</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ערעור –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התערבות בממצאים עובדתיים</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ערעור –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התערבות במידת העונש</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הגנות – הגנה מן הצדק</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ערעור על פסק דין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 אשר הרשיע את המערער בשתי עבירות של חבלה בכוונה מחמירה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וכן בהחזקת סכין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וזאת במסגרת השתתפותו בתגרה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בגין מעשי עבירה אלו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הושתו על המערער </w:t>
      </w:r>
      <w:r>
        <w:rPr>
          <w:rFonts w:cs="Times New Roman;Times New Roman" w:ascii="Times New Roman;Times New Roman" w:hAnsi="Times New Roman;Times New Roman"/>
          <w:spacing w:val="0"/>
          <w:szCs w:val="26"/>
        </w:rPr>
        <w:t>6</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שנות מאסר לריצוי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הפעלה חופפת במצטבר של שני מאסרים מותנים שהיו תלויים ועומדים נגדו בעקבות הרשעות קודמות</w:t>
      </w:r>
      <w:r>
        <w:rPr>
          <w:rFonts w:cs="Times New Roman;Times New Roman" w:ascii="Times New Roman;Times New Roman" w:hAnsi="Times New Roman;Times New Roman"/>
          <w:spacing w:val="0"/>
          <w:szCs w:val="26"/>
          <w:rtl w:val="true"/>
        </w:rPr>
        <w:t xml:space="preserve">, </w:t>
      </w:r>
      <w:r>
        <w:rPr>
          <w:rFonts w:cs="Times New Roman;Times New Roman" w:ascii="Times New Roman;Times New Roman" w:hAnsi="Times New Roman;Times New Roman"/>
          <w:spacing w:val="0"/>
          <w:szCs w:val="26"/>
        </w:rPr>
        <w:t>12</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חודשי מאסר על תנאי ופיצוי בסך </w:t>
      </w:r>
      <w:r>
        <w:rPr>
          <w:rFonts w:cs="Times New Roman;Times New Roman" w:ascii="Times New Roman;Times New Roman" w:hAnsi="Times New Roman;Times New Roman"/>
          <w:spacing w:val="0"/>
          <w:szCs w:val="26"/>
        </w:rPr>
        <w:t>150,000</w:t>
      </w:r>
      <w:r>
        <w:rPr>
          <w:rFonts w:cs="Times New Roman;Times New Roman" w:ascii="Times New Roman;Times New Roman" w:hAnsi="Times New Roman;Times New Roman"/>
          <w:spacing w:val="0"/>
          <w:szCs w:val="26"/>
          <w:rtl w:val="true"/>
        </w:rPr>
        <w:t xml:space="preserve"> ₪ </w:t>
      </w:r>
      <w:r>
        <w:rPr>
          <w:rFonts w:ascii="Times New Roman;Times New Roman" w:hAnsi="Times New Roman;Times New Roman" w:cs="Times New Roman;Times New Roman"/>
          <w:spacing w:val="0"/>
          <w:szCs w:val="26"/>
          <w:rtl w:val="true"/>
        </w:rPr>
        <w:t xml:space="preserve">למתלונן </w:t>
      </w:r>
      <w:r>
        <w:rPr>
          <w:rFonts w:cs="Times New Roman;Times New Roman" w:ascii="Times New Roman;Times New Roman" w:hAnsi="Times New Roman;Times New Roman"/>
          <w:spacing w:val="0"/>
          <w:szCs w:val="26"/>
        </w:rPr>
        <w:t>1</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להלן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המתלונן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הערעור מופנה נגד ההרשעה והעונש</w:t>
      </w:r>
      <w:r>
        <w:rPr>
          <w:rFonts w:cs="Times New Roman;Times New Roman" w:ascii="Times New Roman;Times New Roman" w:hAnsi="Times New Roman;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בית המשפט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מפי השופט שטיין ובהסכמת המשנה לנשיאה מלצר והשופט הנדל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דחה את הערעור ופסק כי</w:t>
      </w:r>
      <w:r>
        <w:rPr>
          <w:rFonts w:cs="Times New Roman;Times New Roman" w:ascii="Times New Roman;Times New Roman" w:hAnsi="Times New Roman;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אשר לערעור נגד הכרעת הדין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ביסס את הרשעת המערער בגין דקירת המתלונן בבטנו על מגוון ראיות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שכללו את עדות המתלונן </w:t>
      </w:r>
      <w:r>
        <w:rPr>
          <w:rFonts w:cs="Times New Roman;Times New Roman" w:ascii="Times New Roman;Times New Roman" w:hAnsi="Times New Roman;Times New Roman"/>
          <w:spacing w:val="0"/>
          <w:szCs w:val="26"/>
        </w:rPr>
        <w:t>2</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והחיזוקים לה בראיות נוספות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ועל אי מתן אמון במערער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למערער אף היה מניע למעשה התקיפה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הערה של המתלונן ובני משפחתו לחברו על שקילל את אלוהים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והעובדה שהמתלונן סטר בפניו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נמצא כי הראיות מוכיחות מעל לספק סביר כי המערער דקר את המתלונן בבטנו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לדקירה בצוואר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קיים ספק סביר בנוגע לזהות התוקף שדקר את המתלונן בצווארו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בעטיו של ספק זה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הניח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לטובת המערער כי מי שביצע דקירה זו היה אדם אחר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עם זאת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קבע כי המערער והאחר פעלו בצוותא חדא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ולפיכך המערער אחראי בפלילים גם לדקירה זו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לפי דיני השותפות לדבר עבירה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יהא אחראי לדקירה רק בהתקיים הוכחה מעבר לספק סביר כי הוא ואותו אדם אחר פעלו בצוותא חדא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הראיות להוכחת אשמתו של המערער מספקות את ההוכחה הנדרשת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והדוקר הנוסף לקחו חלק פעיל באירוע הדקירות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כל אחד מכיוונו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כך שהיסוד העובדתי לביצוע הדקירות בצוותא חדא התקיים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כך הוא גם לגבי היסוד הנפשי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המערער והדוקר הנוסף פעלו במקביל למען מטרה משותפת </w:t>
      </w:r>
      <w:r>
        <w:rPr>
          <w:rFonts w:ascii="Times New Roman;Times New Roman" w:hAnsi="Times New Roman;Times New Roman" w:cs="Times New Roman;Times New Roman"/>
          <w:spacing w:val="0"/>
          <w:szCs w:val="26"/>
          <w:rtl w:val="true"/>
        </w:rPr>
        <w:t>–</w:t>
      </w:r>
      <w:r>
        <w:rPr>
          <w:rFonts w:ascii="Times New Roman;Times New Roman" w:hAnsi="Times New Roman;Times New Roman" w:cs="Times New Roman;Times New Roman"/>
          <w:spacing w:val="0"/>
          <w:szCs w:val="26"/>
          <w:rtl w:val="true"/>
        </w:rPr>
        <w:t xml:space="preserve"> פגיעה במתלונן בעקבות הערתו והתגרה שהתפתחה אחריה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ברי כי המערער היה מודע למעשי הדוקר הנוסף ואילו הדוקר הנוסף היה מודע למעשי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כבר נפסק כי הצטרפות אל חבורה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אפילו היא ספונטנית וללא תכנון מוקדם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כאשר כל אחד מבני החבורה נוטל חלק בביצוע עבירה ואינו מונע את ההתנהגות הקבוצתית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 בה כדי לקבוע שהיה ביצוע בצוותא מצדו של המצטרף</w:t>
      </w:r>
      <w:r>
        <w:rPr>
          <w:rFonts w:cs="Times New Roman;Times New Roman" w:ascii="Times New Roman;Times New Roman" w:hAnsi="Times New Roman;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אשר לכוונה מחמירה לגרום חבלה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באשר ליסוד הנפשי הדרוש להתהוות העבירה ניתן להסתפק בקביעת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קמא כי האופן שבו דקר המערער את המתלונן מוכיח את קיומה </w:t>
      </w:r>
      <w:r>
        <w:rPr>
          <w:rFonts w:ascii="Times New Roman;Times New Roman" w:hAnsi="Times New Roman;Times New Roman" w:cs="Times New Roman;Times New Roman"/>
          <w:spacing w:val="0"/>
          <w:szCs w:val="26"/>
          <w:rtl w:val="true"/>
        </w:rPr>
        <w:t>–</w:t>
      </w:r>
      <w:r>
        <w:rPr>
          <w:rFonts w:ascii="Times New Roman;Times New Roman" w:hAnsi="Times New Roman;Times New Roman" w:cs="Times New Roman;Times New Roman"/>
          <w:spacing w:val="0"/>
          <w:szCs w:val="26"/>
          <w:rtl w:val="true"/>
        </w:rPr>
        <w:t xml:space="preserve"> מדובר במספר דקירות בבטן ובמותניים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בנוסף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הדקירה בצוואר המתלונן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בוצעה על ידי שותפו של המערער למעשה התקיפה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w:t>
      </w:r>
      <w:r>
        <w:rPr>
          <w:rFonts w:ascii="Times New Roman;Times New Roman" w:hAnsi="Times New Roman;Times New Roman" w:cs="Times New Roman;Times New Roman"/>
          <w:spacing w:val="0"/>
          <w:szCs w:val="26"/>
          <w:rtl w:val="true"/>
        </w:rPr>
        <w:t>י</w:t>
      </w:r>
      <w:r>
        <w:rPr>
          <w:rFonts w:ascii="Times New Roman;Times New Roman" w:hAnsi="Times New Roman;Times New Roman" w:cs="Times New Roman;Times New Roman"/>
          <w:spacing w:val="0"/>
          <w:szCs w:val="26"/>
          <w:rtl w:val="true"/>
        </w:rPr>
        <w:t>יתה מלווה באותה כוונה מחמירה לגרום חבלה במקום רגיש בגוף הקורבן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טענת הגנה מן הצדק בגין אכיפה בררנית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נדחתה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לומר כי השיקול שמאחורי החלטת המשיבה להעמיד לדין את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ולא אנשים נוספים שהשתתפו באירוע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היה שיקול זר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שרירותי או מפלה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המשיבה עשתה כל שלאל ידה כדי למצוא את אלו שדקרו את המתלונן ולמצות עמם את הדין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וברי כי למערער היה חלק ארי באירוע הדקירה שגרם למתלונן חבלה קשה</w:t>
      </w:r>
      <w:r>
        <w:rPr>
          <w:rFonts w:cs="Times New Roman;Times New Roman" w:ascii="Times New Roman;Times New Roman" w:hAnsi="Times New Roman;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אין כל עילה להתערב בעונש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בהיותו מידתי ומאוזן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נמצא אשם בעבירות אלימות חמורות ומעשיו גרמו למתלונן חבלה חמורה שהצריכה אשפוז</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ניתוחים והחלמה כואבת וממושכת וסבל נפשי לו ולמשפחתו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בעל עבר פלילי המצביע על דפוסי התנהגות אלימים וחסרי רסן שהמערער אימץ לעצמו ועל הסכנה לחברה ולפרט הנשקפת ממנו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והוא ראוי לעונש שהושת עליו</w:t>
      </w:r>
      <w:r>
        <w:rPr>
          <w:rFonts w:cs="Times New Roman;Times New Roman" w:ascii="Times New Roman;Times New Roman" w:hAnsi="Times New Roman;Times New Roman"/>
          <w:spacing w:val="0"/>
          <w:szCs w:val="26"/>
          <w:rtl w:val="true"/>
        </w:rPr>
        <w:t xml:space="preserve">. </w:t>
      </w:r>
    </w:p>
    <w:p>
      <w:pPr>
        <w:pStyle w:val="Normal"/>
        <w:tabs>
          <w:tab w:val="clear" w:pos="720"/>
          <w:tab w:val="left" w:pos="2552" w:leader="none"/>
        </w:tabs>
        <w:ind w:end="0"/>
        <w:jc w:val="start"/>
        <w:rPr>
          <w:rFonts w:ascii="Times New Roman;Times New Roman" w:hAnsi="Times New Roman;Times New Roman" w:cs="Times New Roman;Times New Roman"/>
          <w:spacing w:val="0"/>
          <w:szCs w:val="26"/>
        </w:rPr>
      </w:pPr>
      <w:r>
        <w:rPr>
          <w:rFonts w:cs="Times New Roman;Times New Roman"/>
          <w:spacing w:val="0"/>
          <w:szCs w:val="26"/>
          <w:rtl w:val="true"/>
        </w:rPr>
      </w:r>
      <w:bookmarkStart w:id="17" w:name="ABSTRACT_END"/>
      <w:bookmarkStart w:id="18" w:name="ABSTRACT_END"/>
      <w:bookmarkEnd w:id="18"/>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9" w:name="PsakDin"/>
            <w:bookmarkStart w:id="20" w:name="BeginProtocol"/>
            <w:bookmarkStart w:id="21" w:name="secretary"/>
            <w:bookmarkEnd w:id="19"/>
            <w:bookmarkEnd w:id="20"/>
            <w:bookmarkEnd w:id="21"/>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2" w:name="Writer_Name"/>
      <w:bookmarkEnd w:id="22"/>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23" w:name="Start_Write"/>
      <w:bookmarkStart w:id="24" w:name="Start_Write"/>
      <w:bookmarkEnd w:id="24"/>
    </w:p>
    <w:p>
      <w:pPr>
        <w:pStyle w:val="Ruller43"/>
        <w:numPr>
          <w:ilvl w:val="0"/>
          <w:numId w:val="1"/>
        </w:numPr>
        <w:ind w:hanging="0" w:start="0" w:end="0"/>
        <w:jc w:val="both"/>
        <w:rPr/>
      </w:pPr>
      <w:r>
        <w:rPr>
          <w:rtl w:val="true"/>
        </w:rPr>
        <w:t>לפנינו ערעור על פסק הדין של בית המשפט המחוזי באר שבע ב</w:t>
      </w:r>
      <w:hyperlink r:id="rId1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35040-10-15</w:t>
        </w:r>
      </w:hyperlink>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rtl w:val="true"/>
        </w:rPr>
        <w:t xml:space="preserve">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עדן</w:t>
      </w:r>
      <w:r>
        <w:rPr>
          <w:rtl w:val="true"/>
        </w:rPr>
        <w:t xml:space="preserve">) </w:t>
      </w:r>
      <w:r>
        <w:rPr>
          <w:rtl w:val="true"/>
        </w:rPr>
        <w:t xml:space="preserve">אשר מצא את המערער אשם </w:t>
      </w:r>
      <w:r>
        <w:rPr>
          <w:sz w:val="28"/>
          <w:sz w:val="28"/>
          <w:rtl w:val="true"/>
        </w:rPr>
        <w:t xml:space="preserve">בשתי עבירות של </w:t>
      </w:r>
      <w:r>
        <w:rPr>
          <w:rtl w:val="true"/>
        </w:rPr>
        <w:t xml:space="preserve">חבלה בכוונה מחמירה לפי </w:t>
      </w:r>
      <w:hyperlink r:id="rId15">
        <w:r>
          <w:rPr>
            <w:rStyle w:val="Hyperlink"/>
            <w:color w:val="0000FF"/>
            <w:u w:val="single"/>
            <w:rtl w:val="true"/>
          </w:rPr>
          <w:t>סעיפים</w:t>
        </w:r>
        <w:r>
          <w:rPr>
            <w:rStyle w:val="Hyperlink"/>
            <w:color w:val="0000FF"/>
            <w:u w:val="single"/>
            <w:rtl w:val="true"/>
          </w:rPr>
          <w:t xml:space="preserve">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w:t>
      </w:r>
      <w:r>
        <w:rPr>
          <w:rtl w:val="true"/>
        </w:rPr>
        <w:t>-</w:t>
      </w:r>
      <w:hyperlink r:id="rId16">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17">
        <w:r>
          <w:rPr>
            <w:rStyle w:val="Hyperlink"/>
            <w:rtl w:val="true"/>
          </w:rPr>
          <w:t>חוק העונשין</w:t>
        </w:r>
      </w:hyperlink>
      <w:r>
        <w:rPr>
          <w:rtl w:val="true"/>
        </w:rPr>
        <w:t xml:space="preserve">, </w:t>
      </w:r>
      <w:r>
        <w:rPr>
          <w:rtl w:val="true"/>
        </w:rPr>
        <w:t>התשל״ז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w:t>
      </w:r>
      <w:r>
        <w:rPr>
          <w:rtl w:val="true"/>
        </w:rPr>
        <w:t>וכן בהחזקת סכין</w:t>
      </w:r>
      <w:r>
        <w:rPr>
          <w:rtl w:val="true"/>
        </w:rPr>
        <w:t xml:space="preserve">, </w:t>
      </w:r>
      <w:r>
        <w:rPr>
          <w:rtl w:val="true"/>
        </w:rPr>
        <w:t xml:space="preserve">עבירה לפי </w:t>
      </w:r>
      <w:hyperlink r:id="rId18">
        <w:r>
          <w:rPr>
            <w:rStyle w:val="Hyperlink"/>
            <w:color w:val="0000FF"/>
            <w:u w:val="single"/>
            <w:rtl w:val="true"/>
          </w:rPr>
          <w:t>סעיף</w:t>
        </w:r>
        <w:r>
          <w:rPr>
            <w:rStyle w:val="Hyperlink"/>
            <w:color w:val="0000FF"/>
            <w:u w:val="single"/>
            <w:rtl w:val="true"/>
          </w:rPr>
          <w:t xml:space="preserve"> </w:t>
        </w:r>
        <w:r>
          <w:rPr>
            <w:rStyle w:val="Hyperlink"/>
            <w:color w:val="0000FF"/>
            <w:u w:val="single"/>
          </w:rPr>
          <w:t>186</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 העונשין</w:t>
      </w:r>
      <w:r>
        <w:rPr>
          <w:rtl w:val="true"/>
        </w:rPr>
        <w:t xml:space="preserve">. </w:t>
      </w:r>
      <w:r>
        <w:rPr>
          <w:sz w:val="28"/>
          <w:sz w:val="28"/>
          <w:rtl w:val="true"/>
        </w:rPr>
        <w:t>בגין מעשי עבירה אלו</w:t>
      </w:r>
      <w:r>
        <w:rPr>
          <w:sz w:val="28"/>
          <w:rtl w:val="true"/>
        </w:rPr>
        <w:t xml:space="preserve">, </w:t>
      </w:r>
      <w:r>
        <w:rPr>
          <w:sz w:val="28"/>
          <w:sz w:val="28"/>
          <w:rtl w:val="true"/>
        </w:rPr>
        <w:t>השית בית משפט קמא על המערער עונשים כדלקמן</w:t>
      </w:r>
      <w:r>
        <w:rPr>
          <w:sz w:val="28"/>
          <w:rtl w:val="true"/>
        </w:rPr>
        <w:t xml:space="preserve">: </w:t>
      </w:r>
      <w:r>
        <w:rPr>
          <w:sz w:val="28"/>
        </w:rPr>
        <w:t>6</w:t>
      </w:r>
      <w:r>
        <w:rPr>
          <w:sz w:val="28"/>
          <w:rtl w:val="true"/>
        </w:rPr>
        <w:t xml:space="preserve"> </w:t>
      </w:r>
      <w:r>
        <w:rPr>
          <w:sz w:val="28"/>
          <w:sz w:val="28"/>
          <w:rtl w:val="true"/>
        </w:rPr>
        <w:t xml:space="preserve">שנות מאסר לריצוי בפועל </w:t>
      </w:r>
      <w:r>
        <w:rPr>
          <w:sz w:val="28"/>
          <w:rtl w:val="true"/>
        </w:rPr>
        <w:t>(</w:t>
      </w:r>
      <w:r>
        <w:rPr>
          <w:sz w:val="28"/>
          <w:sz w:val="28"/>
          <w:rtl w:val="true"/>
        </w:rPr>
        <w:t xml:space="preserve">בניכוי ימי מעצרו שהחל ביום </w:t>
      </w:r>
      <w:r>
        <w:rPr>
          <w:sz w:val="28"/>
        </w:rPr>
        <w:t>7.10.2015</w:t>
      </w:r>
      <w:r>
        <w:rPr>
          <w:sz w:val="28"/>
          <w:rtl w:val="true"/>
        </w:rPr>
        <w:t xml:space="preserve">); </w:t>
      </w:r>
      <w:r>
        <w:rPr>
          <w:sz w:val="28"/>
          <w:sz w:val="28"/>
          <w:rtl w:val="true"/>
        </w:rPr>
        <w:t xml:space="preserve">הפעלה חופפת של שני מאסרים מותנים של </w:t>
      </w:r>
      <w:r>
        <w:rPr>
          <w:sz w:val="28"/>
        </w:rPr>
        <w:t>6</w:t>
      </w:r>
      <w:r>
        <w:rPr>
          <w:sz w:val="28"/>
          <w:rtl w:val="true"/>
        </w:rPr>
        <w:t xml:space="preserve"> </w:t>
      </w:r>
      <w:r>
        <w:rPr>
          <w:sz w:val="28"/>
          <w:sz w:val="28"/>
          <w:rtl w:val="true"/>
        </w:rPr>
        <w:t>ו</w:t>
      </w:r>
      <w:r>
        <w:rPr>
          <w:sz w:val="28"/>
          <w:rtl w:val="true"/>
        </w:rPr>
        <w:t>-</w:t>
      </w:r>
      <w:r>
        <w:rPr>
          <w:sz w:val="28"/>
        </w:rPr>
        <w:t>12</w:t>
      </w:r>
      <w:r>
        <w:rPr>
          <w:sz w:val="28"/>
          <w:rtl w:val="true"/>
        </w:rPr>
        <w:t xml:space="preserve"> </w:t>
      </w:r>
      <w:r>
        <w:rPr>
          <w:sz w:val="28"/>
          <w:sz w:val="28"/>
          <w:rtl w:val="true"/>
        </w:rPr>
        <w:t>חודשים אשר היו תלויים ועומדים נגדו בעקבות הרשעות קודמות</w:t>
      </w:r>
      <w:r>
        <w:rPr>
          <w:sz w:val="28"/>
          <w:rtl w:val="true"/>
        </w:rPr>
        <w:t xml:space="preserve">, </w:t>
      </w:r>
      <w:r>
        <w:rPr>
          <w:sz w:val="28"/>
          <w:sz w:val="28"/>
          <w:rtl w:val="true"/>
        </w:rPr>
        <w:t>וזאת במצטבר למאסר הנ</w:t>
      </w:r>
      <w:r>
        <w:rPr>
          <w:sz w:val="28"/>
          <w:rtl w:val="true"/>
        </w:rPr>
        <w:t>"</w:t>
      </w:r>
      <w:r>
        <w:rPr>
          <w:sz w:val="28"/>
          <w:sz w:val="28"/>
          <w:rtl w:val="true"/>
        </w:rPr>
        <w:t>ל של שש שנים</w:t>
      </w:r>
      <w:r>
        <w:rPr>
          <w:sz w:val="28"/>
          <w:rtl w:val="true"/>
        </w:rPr>
        <w:t>;</w:t>
      </w:r>
      <w:r>
        <w:rPr>
          <w:rtl w:val="true"/>
        </w:rPr>
        <w:t xml:space="preserve"> </w:t>
      </w:r>
      <w:r>
        <w:rPr>
          <w:sz w:val="28"/>
        </w:rPr>
        <w:t>12</w:t>
      </w:r>
      <w:r>
        <w:rPr>
          <w:sz w:val="28"/>
          <w:rtl w:val="true"/>
        </w:rPr>
        <w:t xml:space="preserve"> </w:t>
      </w:r>
      <w:r>
        <w:rPr>
          <w:sz w:val="28"/>
          <w:sz w:val="28"/>
          <w:rtl w:val="true"/>
        </w:rPr>
        <w:t>חודשי מאסר על תנאי למשך שלוש שנים מיום שחרורו מהמאסר לבל יעבור עבירה הזהה לאחת העבירות בהן הורשע או עבירת אלימות מסוג פשע</w:t>
      </w:r>
      <w:r>
        <w:rPr>
          <w:sz w:val="28"/>
          <w:rtl w:val="true"/>
        </w:rPr>
        <w:t>;</w:t>
      </w:r>
      <w:r>
        <w:rPr>
          <w:rtl w:val="true"/>
        </w:rPr>
        <w:t xml:space="preserve"> </w:t>
      </w:r>
      <w:r>
        <w:rPr>
          <w:rtl w:val="true"/>
        </w:rPr>
        <w:t xml:space="preserve">וכן פיצוי בסך של </w:t>
      </w:r>
      <w:r>
        <w:rPr/>
        <w:t>150,000</w:t>
      </w:r>
      <w:r>
        <w:rPr>
          <w:rtl w:val="true"/>
        </w:rPr>
        <w:t xml:space="preserve"> ₪ </w:t>
      </w:r>
      <w:r>
        <w:rPr>
          <w:rtl w:val="true"/>
        </w:rPr>
        <w:t xml:space="preserve">אשר ישולם למתלונן </w:t>
      </w:r>
      <w:r>
        <w:rPr/>
        <w:t>1</w:t>
      </w:r>
      <w:r>
        <w:rPr>
          <w:rtl w:val="true"/>
        </w:rPr>
        <w:t xml:space="preserve">. </w:t>
      </w:r>
      <w:r>
        <w:rPr>
          <w:rtl w:val="true"/>
        </w:rPr>
        <w:t>הערעור מופנה נגד ההרשעה ולמצער</w:t>
      </w:r>
      <w:r>
        <w:rPr>
          <w:rtl w:val="true"/>
        </w:rPr>
        <w:t xml:space="preserve">, </w:t>
      </w:r>
      <w:r>
        <w:rPr>
          <w:rtl w:val="true"/>
        </w:rPr>
        <w:t>נגד העונש והחיוב בפיצויים</w:t>
      </w:r>
      <w:r>
        <w:rPr>
          <w:rtl w:val="true"/>
        </w:rPr>
        <w:t>.</w:t>
      </w:r>
    </w:p>
    <w:p>
      <w:pPr>
        <w:pStyle w:val="Ruller42"/>
        <w:ind w:end="0"/>
        <w:jc w:val="both"/>
        <w:rPr/>
      </w:pPr>
      <w:r>
        <w:rPr>
          <w:rtl w:val="true"/>
        </w:rPr>
      </w:r>
    </w:p>
    <w:p>
      <w:pPr>
        <w:pStyle w:val="Ruller42"/>
        <w:ind w:end="0"/>
        <w:jc w:val="both"/>
        <w:rPr/>
      </w:pPr>
      <w:r>
        <w:rPr>
          <w:rFonts w:cs="Miriam"/>
          <w:spacing w:val="0"/>
          <w:sz w:val="24"/>
          <w:sz w:val="24"/>
          <w:szCs w:val="24"/>
          <w:rtl w:val="true"/>
        </w:rPr>
        <w:t>כתב</w:t>
      </w:r>
      <w:r>
        <w:rPr>
          <w:rFonts w:eastAsia="Arial TUR;Arial" w:cs="Arial TUR;Arial"/>
          <w:spacing w:val="0"/>
          <w:sz w:val="24"/>
          <w:sz w:val="24"/>
          <w:szCs w:val="24"/>
          <w:rtl w:val="true"/>
        </w:rPr>
        <w:t xml:space="preserve"> </w:t>
      </w:r>
      <w:r>
        <w:rPr>
          <w:rFonts w:cs="Miriam"/>
          <w:spacing w:val="0"/>
          <w:sz w:val="24"/>
          <w:sz w:val="24"/>
          <w:szCs w:val="24"/>
          <w:rtl w:val="true"/>
        </w:rPr>
        <w:t>האישום</w:t>
      </w:r>
      <w:r>
        <w:rPr>
          <w:rFonts w:eastAsia="Arial TUR;Arial" w:cs="Arial TUR;Arial"/>
          <w:spacing w:val="0"/>
          <w:sz w:val="24"/>
          <w:sz w:val="24"/>
          <w:szCs w:val="24"/>
          <w:rtl w:val="true"/>
        </w:rPr>
        <w:t xml:space="preserve"> </w:t>
      </w:r>
      <w:r>
        <w:rPr>
          <w:rFonts w:cs="Miriam"/>
          <w:spacing w:val="0"/>
          <w:sz w:val="24"/>
          <w:sz w:val="24"/>
          <w:szCs w:val="24"/>
          <w:rtl w:val="true"/>
        </w:rPr>
        <w:t>ויריעת</w:t>
      </w:r>
      <w:r>
        <w:rPr>
          <w:rFonts w:eastAsia="Arial TUR;Arial" w:cs="Arial TUR;Arial"/>
          <w:spacing w:val="0"/>
          <w:sz w:val="24"/>
          <w:sz w:val="24"/>
          <w:szCs w:val="24"/>
          <w:rtl w:val="true"/>
        </w:rPr>
        <w:t xml:space="preserve"> </w:t>
      </w:r>
      <w:r>
        <w:rPr>
          <w:rFonts w:cs="Miriam"/>
          <w:spacing w:val="0"/>
          <w:sz w:val="24"/>
          <w:sz w:val="24"/>
          <w:szCs w:val="24"/>
          <w:rtl w:val="true"/>
        </w:rPr>
        <w:t>המחלוקת</w:t>
      </w:r>
    </w:p>
    <w:p>
      <w:pPr>
        <w:pStyle w:val="Ruller42"/>
        <w:ind w:end="0"/>
        <w:jc w:val="both"/>
        <w:rPr/>
      </w:pPr>
      <w:r>
        <w:rPr>
          <w:rtl w:val="true"/>
        </w:rPr>
      </w:r>
    </w:p>
    <w:p>
      <w:pPr>
        <w:pStyle w:val="Ruller43"/>
        <w:numPr>
          <w:ilvl w:val="0"/>
          <w:numId w:val="1"/>
        </w:numPr>
        <w:ind w:hanging="0" w:start="0" w:end="0"/>
        <w:jc w:val="both"/>
        <w:rPr/>
      </w:pPr>
      <w:r>
        <w:rPr>
          <w:rtl w:val="true"/>
        </w:rPr>
        <w:t xml:space="preserve">ביום </w:t>
      </w:r>
      <w:r>
        <w:rPr/>
        <w:t>19.10.2015</w:t>
      </w:r>
      <w:r>
        <w:rPr>
          <w:rtl w:val="true"/>
        </w:rPr>
        <w:t xml:space="preserve"> </w:t>
      </w:r>
      <w:r>
        <w:rPr>
          <w:rtl w:val="true"/>
        </w:rPr>
        <w:t>הוגש נגד המערער כתב אישום אשר מייחס לו מעשה דקירה</w:t>
      </w:r>
      <w:r>
        <w:rPr>
          <w:rtl w:val="true"/>
        </w:rPr>
        <w:t xml:space="preserve">. </w:t>
      </w:r>
      <w:r>
        <w:rPr>
          <w:rtl w:val="true"/>
        </w:rPr>
        <w:t>נטען</w:t>
      </w:r>
      <w:r>
        <w:rPr>
          <w:rtl w:val="true"/>
        </w:rPr>
        <w:t xml:space="preserve">, </w:t>
      </w:r>
      <w:r>
        <w:rPr>
          <w:rtl w:val="true"/>
        </w:rPr>
        <w:t xml:space="preserve">כי ביום </w:t>
      </w:r>
      <w:r>
        <w:rPr/>
        <w:t>26.9.2015</w:t>
      </w:r>
      <w:r>
        <w:rPr>
          <w:rtl w:val="true"/>
        </w:rPr>
        <w:t xml:space="preserve">, </w:t>
      </w:r>
      <w:r>
        <w:rPr>
          <w:rtl w:val="true"/>
        </w:rPr>
        <w:t>סמוך לחצות</w:t>
      </w:r>
      <w:r>
        <w:rPr>
          <w:rtl w:val="true"/>
        </w:rPr>
        <w:t xml:space="preserve">, </w:t>
      </w:r>
      <w:r>
        <w:rPr>
          <w:rtl w:val="true"/>
        </w:rPr>
        <w:t xml:space="preserve">המתלונן </w:t>
      </w:r>
      <w:r>
        <w:rPr/>
        <w:t>1</w:t>
      </w:r>
      <w:r>
        <w:rPr>
          <w:rtl w:val="true"/>
        </w:rPr>
        <w:t xml:space="preserve">, </w:t>
      </w:r>
      <w:r>
        <w:rPr>
          <w:rtl w:val="true"/>
        </w:rPr>
        <w:t>בני משפחתו וחבריו בילו בטיילת באילת</w:t>
      </w:r>
      <w:r>
        <w:rPr>
          <w:rtl w:val="true"/>
        </w:rPr>
        <w:t xml:space="preserve">. </w:t>
      </w:r>
      <w:r>
        <w:rPr>
          <w:rtl w:val="true"/>
        </w:rPr>
        <w:t>המערער היה חלק מחבורת אנשים שאף היא בילתה בטיילת באותו זמן ובאותו מקום</w:t>
      </w:r>
      <w:r>
        <w:rPr>
          <w:rtl w:val="true"/>
        </w:rPr>
        <w:t xml:space="preserve">. </w:t>
      </w:r>
      <w:r>
        <w:rPr>
          <w:rtl w:val="true"/>
        </w:rPr>
        <w:t>אחד מאנשים אלה נשמע מקלל את אלוהים</w:t>
      </w:r>
      <w:r>
        <w:rPr>
          <w:rtl w:val="true"/>
        </w:rPr>
        <w:t xml:space="preserve">. </w:t>
      </w:r>
      <w:r>
        <w:rPr>
          <w:rtl w:val="true"/>
        </w:rPr>
        <w:t xml:space="preserve">דבר זה הפריע למתלונן </w:t>
      </w:r>
      <w:r>
        <w:rPr/>
        <w:t>1</w:t>
      </w:r>
      <w:r>
        <w:rPr>
          <w:rtl w:val="true"/>
        </w:rPr>
        <w:t xml:space="preserve"> </w:t>
      </w:r>
      <w:r>
        <w:rPr>
          <w:rtl w:val="true"/>
        </w:rPr>
        <w:t>ובני משפחתו והם העירו על כך לאותו אדם</w:t>
      </w:r>
      <w:r>
        <w:rPr>
          <w:rtl w:val="true"/>
        </w:rPr>
        <w:t xml:space="preserve">. </w:t>
      </w:r>
      <w:r>
        <w:rPr>
          <w:rtl w:val="true"/>
        </w:rPr>
        <w:t>הערה זו הובילה לריב מילולי ולהתקהלות במקום</w:t>
      </w:r>
      <w:r>
        <w:rPr>
          <w:rtl w:val="true"/>
        </w:rPr>
        <w:t xml:space="preserve">. </w:t>
      </w:r>
      <w:r>
        <w:rPr>
          <w:rtl w:val="true"/>
        </w:rPr>
        <w:t>בשלב מסוים</w:t>
      </w:r>
      <w:r>
        <w:rPr>
          <w:rtl w:val="true"/>
        </w:rPr>
        <w:t xml:space="preserve">, </w:t>
      </w:r>
      <w:r>
        <w:rPr>
          <w:rtl w:val="true"/>
        </w:rPr>
        <w:t xml:space="preserve">המתלונן </w:t>
      </w:r>
      <w:r>
        <w:rPr/>
        <w:t>1</w:t>
      </w:r>
      <w:r>
        <w:rPr>
          <w:rtl w:val="true"/>
        </w:rPr>
        <w:t xml:space="preserve">, </w:t>
      </w:r>
      <w:r>
        <w:rPr>
          <w:rtl w:val="true"/>
        </w:rPr>
        <w:t>חבריו ובני משפחתו החלו לעזוב את מקום האירוע</w:t>
      </w:r>
      <w:r>
        <w:rPr>
          <w:rtl w:val="true"/>
        </w:rPr>
        <w:t xml:space="preserve">, </w:t>
      </w:r>
      <w:r>
        <w:rPr>
          <w:rtl w:val="true"/>
        </w:rPr>
        <w:t xml:space="preserve">אולם בו בעת הגיע למקום המתלונן </w:t>
      </w:r>
      <w:r>
        <w:rPr/>
        <w:t>2</w:t>
      </w:r>
      <w:r>
        <w:rPr>
          <w:rtl w:val="true"/>
        </w:rPr>
        <w:t xml:space="preserve">, </w:t>
      </w:r>
      <w:r>
        <w:rPr>
          <w:rtl w:val="true"/>
        </w:rPr>
        <w:t xml:space="preserve">בנו של המתלונן </w:t>
      </w:r>
      <w:r>
        <w:rPr/>
        <w:t>1</w:t>
      </w:r>
      <w:r>
        <w:rPr>
          <w:rtl w:val="true"/>
        </w:rPr>
        <w:t xml:space="preserve">. </w:t>
      </w:r>
      <w:r>
        <w:rPr>
          <w:rtl w:val="true"/>
        </w:rPr>
        <w:t xml:space="preserve">המערער וכמה מהאנשים שהיו עמו הבחינו במתלונן </w:t>
      </w:r>
      <w:r>
        <w:rPr/>
        <w:t>2</w:t>
      </w:r>
      <w:r>
        <w:rPr>
          <w:rtl w:val="true"/>
        </w:rPr>
        <w:t xml:space="preserve">, </w:t>
      </w:r>
      <w:r>
        <w:rPr>
          <w:rtl w:val="true"/>
        </w:rPr>
        <w:t>התקרבו אליו במהירות והחליפו עמו מספר מילים</w:t>
      </w:r>
      <w:r>
        <w:rPr>
          <w:rtl w:val="true"/>
        </w:rPr>
        <w:t xml:space="preserve">. </w:t>
      </w:r>
      <w:r>
        <w:rPr>
          <w:rtl w:val="true"/>
        </w:rPr>
        <w:t>בהמשך</w:t>
      </w:r>
      <w:r>
        <w:rPr>
          <w:rtl w:val="true"/>
        </w:rPr>
        <w:t xml:space="preserve">, </w:t>
      </w:r>
      <w:r>
        <w:rPr>
          <w:rtl w:val="true"/>
        </w:rPr>
        <w:t xml:space="preserve">המערער שלף סכין שהיתה מוסתרת בבגדיו וניסה לדקור את המתלונן </w:t>
      </w:r>
      <w:r>
        <w:rPr/>
        <w:t>2</w:t>
      </w:r>
      <w:r>
        <w:rPr>
          <w:rtl w:val="true"/>
        </w:rPr>
        <w:t xml:space="preserve"> </w:t>
      </w:r>
      <w:r>
        <w:rPr>
          <w:rtl w:val="true"/>
        </w:rPr>
        <w:t>בפניו</w:t>
      </w:r>
      <w:r>
        <w:rPr>
          <w:rtl w:val="true"/>
        </w:rPr>
        <w:t xml:space="preserve">. </w:t>
      </w:r>
      <w:r>
        <w:rPr>
          <w:rtl w:val="true"/>
        </w:rPr>
        <w:t xml:space="preserve">המתלונן </w:t>
      </w:r>
      <w:r>
        <w:rPr/>
        <w:t>2</w:t>
      </w:r>
      <w:r>
        <w:rPr>
          <w:rtl w:val="true"/>
        </w:rPr>
        <w:t xml:space="preserve"> </w:t>
      </w:r>
      <w:r>
        <w:rPr>
          <w:rtl w:val="true"/>
        </w:rPr>
        <w:t xml:space="preserve">נסוג לאחור והמתלונן </w:t>
      </w:r>
      <w:r>
        <w:rPr/>
        <w:t>1</w:t>
      </w:r>
      <w:r>
        <w:rPr>
          <w:rtl w:val="true"/>
        </w:rPr>
        <w:t xml:space="preserve"> </w:t>
      </w:r>
      <w:r>
        <w:rPr>
          <w:rtl w:val="true"/>
        </w:rPr>
        <w:t>אשר הבחין במעשי המערער סטר לו בפניו כדי להגן על בנו</w:t>
      </w:r>
      <w:r>
        <w:rPr>
          <w:rtl w:val="true"/>
        </w:rPr>
        <w:t xml:space="preserve">. </w:t>
      </w:r>
      <w:r>
        <w:rPr>
          <w:rtl w:val="true"/>
        </w:rPr>
        <w:t>בתגובה</w:t>
      </w:r>
      <w:r>
        <w:rPr>
          <w:rtl w:val="true"/>
        </w:rPr>
        <w:t xml:space="preserve">, </w:t>
      </w:r>
      <w:r>
        <w:rPr>
          <w:rtl w:val="true"/>
        </w:rPr>
        <w:t xml:space="preserve">המערער תפס את המתלונן </w:t>
      </w:r>
      <w:r>
        <w:rPr/>
        <w:t>1</w:t>
      </w:r>
      <w:r>
        <w:rPr>
          <w:rtl w:val="true"/>
        </w:rPr>
        <w:t xml:space="preserve"> </w:t>
      </w:r>
      <w:r>
        <w:rPr>
          <w:rtl w:val="true"/>
        </w:rPr>
        <w:t>בבגדיו ודקר אותו מספר דקירות בפלג גופו העליון</w:t>
      </w:r>
      <w:r>
        <w:rPr>
          <w:rtl w:val="true"/>
        </w:rPr>
        <w:t xml:space="preserve">: </w:t>
      </w:r>
      <w:r>
        <w:rPr>
          <w:rtl w:val="true"/>
        </w:rPr>
        <w:t xml:space="preserve">דקירה בעומק של </w:t>
      </w:r>
      <w:r>
        <w:rPr/>
        <w:t>3</w:t>
      </w:r>
      <w:r>
        <w:rPr>
          <w:rtl w:val="true"/>
        </w:rPr>
        <w:t xml:space="preserve"> </w:t>
      </w:r>
      <w:r>
        <w:rPr>
          <w:rtl w:val="true"/>
        </w:rPr>
        <w:t>ס</w:t>
      </w:r>
      <w:r>
        <w:rPr>
          <w:rtl w:val="true"/>
        </w:rPr>
        <w:t>"</w:t>
      </w:r>
      <w:r>
        <w:rPr>
          <w:rtl w:val="true"/>
        </w:rPr>
        <w:t>מ בבטנו</w:t>
      </w:r>
      <w:r>
        <w:rPr>
          <w:rtl w:val="true"/>
        </w:rPr>
        <w:t xml:space="preserve">; </w:t>
      </w:r>
      <w:r>
        <w:rPr>
          <w:rtl w:val="true"/>
        </w:rPr>
        <w:t xml:space="preserve">דקירה בעומק של </w:t>
      </w:r>
      <w:r>
        <w:rPr/>
        <w:t>10</w:t>
      </w:r>
      <w:r>
        <w:rPr>
          <w:rtl w:val="true"/>
        </w:rPr>
        <w:t xml:space="preserve"> </w:t>
      </w:r>
      <w:r>
        <w:rPr>
          <w:rtl w:val="true"/>
        </w:rPr>
        <w:t>ס</w:t>
      </w:r>
      <w:r>
        <w:rPr>
          <w:rtl w:val="true"/>
        </w:rPr>
        <w:t>"</w:t>
      </w:r>
      <w:r>
        <w:rPr>
          <w:rtl w:val="true"/>
        </w:rPr>
        <w:t>מ במותנו</w:t>
      </w:r>
      <w:r>
        <w:rPr>
          <w:rtl w:val="true"/>
        </w:rPr>
        <w:t xml:space="preserve">; </w:t>
      </w:r>
      <w:r>
        <w:rPr>
          <w:rtl w:val="true"/>
        </w:rPr>
        <w:t>וכן חתך עמוק בצווארו</w:t>
      </w:r>
      <w:r>
        <w:rPr>
          <w:rtl w:val="true"/>
        </w:rPr>
        <w:t xml:space="preserve">. </w:t>
      </w:r>
      <w:r>
        <w:rPr>
          <w:rtl w:val="true"/>
        </w:rPr>
        <w:t>באותה עת</w:t>
      </w:r>
      <w:r>
        <w:rPr>
          <w:rtl w:val="true"/>
        </w:rPr>
        <w:t xml:space="preserve">, </w:t>
      </w:r>
      <w:r>
        <w:rPr>
          <w:rtl w:val="true"/>
        </w:rPr>
        <w:t xml:space="preserve">אחד האנשים שהיה עם המערער היכה את המתלונן </w:t>
      </w:r>
      <w:r>
        <w:rPr/>
        <w:t>1</w:t>
      </w:r>
      <w:r>
        <w:rPr>
          <w:rtl w:val="true"/>
        </w:rPr>
        <w:t xml:space="preserve"> </w:t>
      </w:r>
      <w:r>
        <w:rPr>
          <w:rtl w:val="true"/>
        </w:rPr>
        <w:t>בגבו באמצעות מכת אגרוף</w:t>
      </w:r>
      <w:r>
        <w:rPr>
          <w:rtl w:val="true"/>
        </w:rPr>
        <w:t xml:space="preserve">. </w:t>
      </w:r>
      <w:r>
        <w:rPr>
          <w:rtl w:val="true"/>
        </w:rPr>
        <w:t xml:space="preserve">המערער והאנשים שהיו עמו עזבו את המקום מיד לאחר מכן והותירו את המתלונן </w:t>
      </w:r>
      <w:r>
        <w:rPr/>
        <w:t>1</w:t>
      </w:r>
      <w:r>
        <w:rPr>
          <w:rtl w:val="true"/>
        </w:rPr>
        <w:t xml:space="preserve"> </w:t>
      </w:r>
      <w:r>
        <w:rPr>
          <w:rtl w:val="true"/>
        </w:rPr>
        <w:t>מדמם כשהוא מוקף על ידי בני משפחתו</w:t>
      </w:r>
      <w:r>
        <w:rPr>
          <w:rtl w:val="true"/>
        </w:rPr>
        <w:t xml:space="preserve">. </w:t>
      </w:r>
      <w:r>
        <w:rPr>
          <w:rtl w:val="true"/>
        </w:rPr>
        <w:t>כתוצאה מאירוע הדקירה</w:t>
      </w:r>
      <w:r>
        <w:rPr>
          <w:rtl w:val="true"/>
        </w:rPr>
        <w:t xml:space="preserve">, </w:t>
      </w:r>
      <w:r>
        <w:rPr>
          <w:rtl w:val="true"/>
        </w:rPr>
        <w:t xml:space="preserve">המתלונן </w:t>
      </w:r>
      <w:r>
        <w:rPr/>
        <w:t>1</w:t>
      </w:r>
      <w:r>
        <w:rPr>
          <w:rtl w:val="true"/>
        </w:rPr>
        <w:t xml:space="preserve"> </w:t>
      </w:r>
      <w:r>
        <w:rPr>
          <w:rtl w:val="true"/>
        </w:rPr>
        <w:t>נזקק לניתוח ולאשפוז בחדר טיפול נמרץ</w:t>
      </w:r>
      <w:r>
        <w:rPr>
          <w:rtl w:val="true"/>
        </w:rPr>
        <w:t xml:space="preserve">, </w:t>
      </w:r>
      <w:r>
        <w:rPr>
          <w:rtl w:val="true"/>
        </w:rPr>
        <w:t>שבמהלכו היה מונשם ומורדם</w:t>
      </w:r>
      <w:r>
        <w:rPr>
          <w:rtl w:val="true"/>
        </w:rPr>
        <w:t xml:space="preserve">. </w:t>
      </w:r>
      <w:r>
        <w:rPr>
          <w:rtl w:val="true"/>
        </w:rPr>
        <w:t xml:space="preserve">למתלונן </w:t>
      </w:r>
      <w:r>
        <w:rPr/>
        <w:t>1</w:t>
      </w:r>
      <w:r>
        <w:rPr>
          <w:rtl w:val="true"/>
        </w:rPr>
        <w:t xml:space="preserve"> </w:t>
      </w:r>
      <w:r>
        <w:rPr>
          <w:rtl w:val="true"/>
        </w:rPr>
        <w:t>נגרמו פצע מדמם ברום הבטן</w:t>
      </w:r>
      <w:r>
        <w:rPr>
          <w:rtl w:val="true"/>
        </w:rPr>
        <w:t xml:space="preserve">, </w:t>
      </w:r>
      <w:r>
        <w:rPr>
          <w:rtl w:val="true"/>
        </w:rPr>
        <w:t>פצע באונה השמאלית של הכבד ודימום בחלל הבטן עם קרישי דם</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המערער כפר במיוחס לו בכתב האישום</w:t>
      </w:r>
      <w:r>
        <w:rPr>
          <w:rtl w:val="true"/>
        </w:rPr>
        <w:t xml:space="preserve">. </w:t>
      </w:r>
      <w:r>
        <w:rPr>
          <w:rtl w:val="true"/>
        </w:rPr>
        <w:t>במענה לכתב האישום</w:t>
      </w:r>
      <w:r>
        <w:rPr>
          <w:rtl w:val="true"/>
        </w:rPr>
        <w:t xml:space="preserve">, </w:t>
      </w:r>
      <w:r>
        <w:rPr>
          <w:rtl w:val="true"/>
        </w:rPr>
        <w:t xml:space="preserve">אותו מסר ביום </w:t>
      </w:r>
      <w:r>
        <w:rPr/>
        <w:t>19.1.2016</w:t>
      </w:r>
      <w:r>
        <w:rPr>
          <w:rtl w:val="true"/>
        </w:rPr>
        <w:t xml:space="preserve">, </w:t>
      </w:r>
      <w:r>
        <w:rPr>
          <w:rtl w:val="true"/>
        </w:rPr>
        <w:t>הודה המערער כי אמנם שהה באילת</w:t>
      </w:r>
      <w:r>
        <w:rPr>
          <w:rtl w:val="true"/>
        </w:rPr>
        <w:t xml:space="preserve">, </w:t>
      </w:r>
      <w:r>
        <w:rPr>
          <w:rtl w:val="true"/>
        </w:rPr>
        <w:t>יחד עם בני משפחתו</w:t>
      </w:r>
      <w:r>
        <w:rPr>
          <w:rtl w:val="true"/>
        </w:rPr>
        <w:t xml:space="preserve">, </w:t>
      </w:r>
      <w:r>
        <w:rPr>
          <w:rtl w:val="true"/>
        </w:rPr>
        <w:t>בזמן האירוע</w:t>
      </w:r>
      <w:r>
        <w:rPr>
          <w:rtl w:val="true"/>
        </w:rPr>
        <w:t xml:space="preserve">, </w:t>
      </w:r>
      <w:r>
        <w:rPr>
          <w:rtl w:val="true"/>
        </w:rPr>
        <w:t>אך טען כי לא היה לו שום חלק באירוע</w:t>
      </w:r>
      <w:r>
        <w:rPr>
          <w:rtl w:val="true"/>
        </w:rPr>
        <w:t xml:space="preserve">. </w:t>
      </w:r>
      <w:r>
        <w:rPr>
          <w:rtl w:val="true"/>
        </w:rPr>
        <w:t>לטענת המערער</w:t>
      </w:r>
      <w:r>
        <w:rPr>
          <w:rtl w:val="true"/>
        </w:rPr>
        <w:t xml:space="preserve">, </w:t>
      </w:r>
      <w:r>
        <w:rPr>
          <w:rtl w:val="true"/>
        </w:rPr>
        <w:t>הוא לא שהה ב</w:t>
      </w:r>
      <w:r>
        <w:rPr>
          <w:rtl w:val="true"/>
        </w:rPr>
        <w:t>מקום</w:t>
      </w:r>
      <w:r>
        <w:rPr>
          <w:rtl w:val="true"/>
        </w:rPr>
        <w:t xml:space="preserve"> </w:t>
      </w:r>
      <w:r>
        <w:rPr>
          <w:rtl w:val="true"/>
        </w:rPr>
        <w:t>האירוע</w:t>
      </w:r>
      <w:r>
        <w:rPr>
          <w:rtl w:val="true"/>
        </w:rPr>
        <w:t xml:space="preserve"> ולפיכך נפלה טעות בזיהויו כדוקר</w:t>
      </w:r>
      <w:r>
        <w:rPr>
          <w:rtl w:val="true"/>
        </w:rPr>
        <w:t>.</w:t>
      </w:r>
    </w:p>
    <w:p>
      <w:pPr>
        <w:pStyle w:val="Ruller42"/>
        <w:ind w:end="0"/>
        <w:jc w:val="both"/>
        <w:rPr/>
      </w:pPr>
      <w:r>
        <w:rPr>
          <w:rtl w:val="true"/>
        </w:rPr>
      </w:r>
    </w:p>
    <w:p>
      <w:pPr>
        <w:pStyle w:val="Ruller42"/>
        <w:ind w:end="0"/>
        <w:jc w:val="both"/>
        <w:rPr/>
      </w:pPr>
      <w:r>
        <w:rPr>
          <w:rFonts w:cs="Miriam"/>
          <w:spacing w:val="0"/>
          <w:sz w:val="24"/>
          <w:sz w:val="24"/>
          <w:szCs w:val="24"/>
          <w:rtl w:val="true"/>
        </w:rPr>
        <w:t>פסק</w:t>
      </w:r>
      <w:r>
        <w:rPr>
          <w:rFonts w:eastAsia="Arial TUR;Arial" w:cs="Arial TUR;Arial"/>
          <w:spacing w:val="0"/>
          <w:sz w:val="24"/>
          <w:sz w:val="24"/>
          <w:szCs w:val="24"/>
          <w:rtl w:val="true"/>
        </w:rPr>
        <w:t xml:space="preserve"> </w:t>
      </w:r>
      <w:r>
        <w:rPr>
          <w:rFonts w:cs="Miriam"/>
          <w:spacing w:val="0"/>
          <w:sz w:val="24"/>
          <w:sz w:val="24"/>
          <w:szCs w:val="24"/>
          <w:rtl w:val="true"/>
        </w:rPr>
        <w:t>הדין</w:t>
      </w:r>
      <w:r>
        <w:rPr>
          <w:rFonts w:eastAsia="Arial TUR;Arial" w:cs="Arial TUR;Arial"/>
          <w:spacing w:val="0"/>
          <w:sz w:val="24"/>
          <w:sz w:val="24"/>
          <w:szCs w:val="24"/>
          <w:rtl w:val="true"/>
        </w:rPr>
        <w:t xml:space="preserve"> </w:t>
      </w:r>
      <w:r>
        <w:rPr>
          <w:rFonts w:cs="Miriam"/>
          <w:spacing w:val="0"/>
          <w:sz w:val="24"/>
          <w:sz w:val="24"/>
          <w:szCs w:val="24"/>
          <w:rtl w:val="true"/>
        </w:rPr>
        <w:t>של</w:t>
      </w:r>
      <w:r>
        <w:rPr>
          <w:rFonts w:eastAsia="Arial TUR;Arial" w:cs="Arial TUR;Arial"/>
          <w:spacing w:val="0"/>
          <w:sz w:val="24"/>
          <w:sz w:val="24"/>
          <w:szCs w:val="24"/>
          <w:rtl w:val="true"/>
        </w:rPr>
        <w:t xml:space="preserve"> </w:t>
      </w:r>
      <w:r>
        <w:rPr>
          <w:rFonts w:cs="Miriam"/>
          <w:spacing w:val="0"/>
          <w:sz w:val="24"/>
          <w:sz w:val="24"/>
          <w:szCs w:val="24"/>
          <w:rtl w:val="true"/>
        </w:rPr>
        <w:t>בית</w:t>
      </w:r>
      <w:r>
        <w:rPr>
          <w:rFonts w:eastAsia="Arial TUR;Arial" w:cs="Arial TUR;Arial"/>
          <w:spacing w:val="0"/>
          <w:sz w:val="24"/>
          <w:sz w:val="24"/>
          <w:szCs w:val="24"/>
          <w:rtl w:val="true"/>
        </w:rPr>
        <w:t xml:space="preserve"> </w:t>
      </w:r>
      <w:r>
        <w:rPr>
          <w:rFonts w:cs="Miriam"/>
          <w:spacing w:val="0"/>
          <w:sz w:val="24"/>
          <w:sz w:val="24"/>
          <w:szCs w:val="24"/>
          <w:rtl w:val="true"/>
        </w:rPr>
        <w:t>משפט</w:t>
      </w:r>
      <w:r>
        <w:rPr>
          <w:rFonts w:eastAsia="Arial TUR;Arial" w:cs="Arial TUR;Arial"/>
          <w:spacing w:val="0"/>
          <w:sz w:val="24"/>
          <w:sz w:val="24"/>
          <w:szCs w:val="24"/>
          <w:rtl w:val="true"/>
        </w:rPr>
        <w:t xml:space="preserve"> </w:t>
      </w:r>
      <w:r>
        <w:rPr>
          <w:rFonts w:cs="Miriam"/>
          <w:spacing w:val="0"/>
          <w:sz w:val="24"/>
          <w:sz w:val="24"/>
          <w:szCs w:val="24"/>
          <w:rtl w:val="true"/>
        </w:rPr>
        <w:t>קמא</w:t>
      </w:r>
    </w:p>
    <w:p>
      <w:pPr>
        <w:pStyle w:val="Ruller42"/>
        <w:ind w:end="0"/>
        <w:jc w:val="both"/>
        <w:rPr/>
      </w:pPr>
      <w:r>
        <w:rPr>
          <w:rtl w:val="true"/>
        </w:rPr>
      </w:r>
    </w:p>
    <w:p>
      <w:pPr>
        <w:pStyle w:val="Ruller43"/>
        <w:numPr>
          <w:ilvl w:val="0"/>
          <w:numId w:val="1"/>
        </w:numPr>
        <w:ind w:hanging="0" w:start="0" w:end="0"/>
        <w:jc w:val="both"/>
        <w:rPr/>
      </w:pPr>
      <w:r>
        <w:rPr>
          <w:rtl w:val="true"/>
        </w:rPr>
        <w:t>במרכז הדיון בבית משפט קמא עמדה שאלת זיהויו של המערער כדוקר</w:t>
      </w:r>
      <w:r>
        <w:rPr>
          <w:rtl w:val="true"/>
        </w:rPr>
        <w:t xml:space="preserve">. </w:t>
      </w:r>
      <w:r>
        <w:rPr>
          <w:rtl w:val="true"/>
        </w:rPr>
        <w:t>בית משפט קמא קבע</w:t>
      </w:r>
      <w:r>
        <w:rPr>
          <w:rtl w:val="true"/>
        </w:rPr>
        <w:t xml:space="preserve">, </w:t>
      </w:r>
      <w:r>
        <w:rPr>
          <w:rtl w:val="true"/>
        </w:rPr>
        <w:t>על יסוד הראיות שהובאו לפניו</w:t>
      </w:r>
      <w:r>
        <w:rPr>
          <w:rtl w:val="true"/>
        </w:rPr>
        <w:t xml:space="preserve">, </w:t>
      </w:r>
      <w:r>
        <w:rPr>
          <w:rtl w:val="true"/>
        </w:rPr>
        <w:t xml:space="preserve">כי המערער הוא זה שדקר את המתלונן </w:t>
      </w:r>
      <w:r>
        <w:rPr/>
        <w:t>1</w:t>
      </w:r>
      <w:r>
        <w:rPr>
          <w:rtl w:val="true"/>
        </w:rPr>
        <w:t xml:space="preserve"> </w:t>
      </w:r>
      <w:r>
        <w:rPr>
          <w:rtl w:val="true"/>
        </w:rPr>
        <w:t>בבטנו</w:t>
      </w:r>
      <w:r>
        <w:rPr>
          <w:rtl w:val="true"/>
        </w:rPr>
        <w:t xml:space="preserve">. </w:t>
      </w:r>
      <w:r>
        <w:rPr>
          <w:rtl w:val="true"/>
        </w:rPr>
        <w:t>ראשית</w:t>
      </w:r>
      <w:r>
        <w:rPr>
          <w:rtl w:val="true"/>
        </w:rPr>
        <w:t xml:space="preserve">, </w:t>
      </w:r>
      <w:r>
        <w:rPr>
          <w:rtl w:val="true"/>
        </w:rPr>
        <w:t xml:space="preserve">קבע בית המשפט כי ממצלמות האבטחה שצילמו את האירוע עלה כי אחד הדוקרים הוא אדם בגובה של </w:t>
      </w:r>
      <w:r>
        <w:rPr/>
        <w:t>1.80</w:t>
      </w:r>
      <w:r>
        <w:rPr>
          <w:rtl w:val="true"/>
        </w:rPr>
        <w:t xml:space="preserve"> </w:t>
      </w:r>
      <w:r>
        <w:rPr>
          <w:rtl w:val="true"/>
        </w:rPr>
        <w:t>מ</w:t>
      </w:r>
      <w:r>
        <w:rPr>
          <w:rtl w:val="true"/>
        </w:rPr>
        <w:t xml:space="preserve">', </w:t>
      </w:r>
      <w:r>
        <w:rPr>
          <w:rtl w:val="true"/>
        </w:rPr>
        <w:t>אשר לבש מכנס ג</w:t>
      </w:r>
      <w:r>
        <w:rPr>
          <w:rtl w:val="true"/>
        </w:rPr>
        <w:t>'</w:t>
      </w:r>
      <w:r>
        <w:rPr>
          <w:rtl w:val="true"/>
        </w:rPr>
        <w:t>ינס ארוך וגופיה שחורה</w:t>
      </w:r>
      <w:r>
        <w:rPr>
          <w:rtl w:val="true"/>
        </w:rPr>
        <w:t xml:space="preserve">, </w:t>
      </w:r>
      <w:r>
        <w:rPr>
          <w:rtl w:val="true"/>
        </w:rPr>
        <w:t>בדומה למראהו של המערער באותו יום</w:t>
      </w:r>
      <w:r>
        <w:rPr>
          <w:rtl w:val="true"/>
        </w:rPr>
        <w:t xml:space="preserve">; </w:t>
      </w:r>
      <w:r>
        <w:rPr>
          <w:rtl w:val="true"/>
        </w:rPr>
        <w:t>ושככל הנראה</w:t>
      </w:r>
      <w:r>
        <w:rPr>
          <w:rtl w:val="true"/>
        </w:rPr>
        <w:t xml:space="preserve">, </w:t>
      </w:r>
      <w:r>
        <w:rPr>
          <w:rtl w:val="true"/>
        </w:rPr>
        <w:t xml:space="preserve">הסכין שבאמצעותה דקר המערער את המתלונן </w:t>
      </w:r>
      <w:r>
        <w:rPr/>
        <w:t>1</w:t>
      </w:r>
      <w:r>
        <w:rPr>
          <w:rtl w:val="true"/>
        </w:rPr>
        <w:t xml:space="preserve"> </w:t>
      </w:r>
      <w:r>
        <w:rPr>
          <w:rtl w:val="true"/>
        </w:rPr>
        <w:t xml:space="preserve">היתה סכין יפנית עטופה בחלקה בבד שחור שגודלה היה </w:t>
      </w:r>
      <w:r>
        <w:rPr/>
        <w:t>5-10</w:t>
      </w:r>
      <w:r>
        <w:rPr>
          <w:rtl w:val="true"/>
        </w:rPr>
        <w:t xml:space="preserve"> </w:t>
      </w:r>
      <w:r>
        <w:rPr>
          <w:rtl w:val="true"/>
        </w:rPr>
        <w:t>ס</w:t>
      </w:r>
      <w:r>
        <w:rPr>
          <w:rtl w:val="true"/>
        </w:rPr>
        <w:t>"</w:t>
      </w:r>
      <w:r>
        <w:rPr>
          <w:rtl w:val="true"/>
        </w:rPr>
        <w:t>מ</w:t>
      </w:r>
      <w:r>
        <w:rPr>
          <w:rtl w:val="true"/>
        </w:rPr>
        <w:t xml:space="preserve">. </w:t>
      </w:r>
      <w:r>
        <w:rPr>
          <w:rtl w:val="true"/>
        </w:rPr>
        <w:t>בנוסף</w:t>
      </w:r>
      <w:r>
        <w:rPr>
          <w:rtl w:val="true"/>
        </w:rPr>
        <w:t xml:space="preserve">, </w:t>
      </w:r>
      <w:r>
        <w:rPr>
          <w:rtl w:val="true"/>
        </w:rPr>
        <w:t xml:space="preserve">נתן בית משפט קמא אמון מלא לעדותו של המתלונן </w:t>
      </w:r>
      <w:r>
        <w:rPr/>
        <w:t>2</w:t>
      </w:r>
      <w:r>
        <w:rPr>
          <w:rtl w:val="true"/>
        </w:rPr>
        <w:t xml:space="preserve">, </w:t>
      </w:r>
      <w:r>
        <w:rPr>
          <w:rtl w:val="true"/>
        </w:rPr>
        <w:t>אשר זיהה את המערער באופן פוזיטיבי כמי שדקר את אביו</w:t>
      </w:r>
      <w:r>
        <w:rPr>
          <w:rtl w:val="true"/>
        </w:rPr>
        <w:t xml:space="preserve">. </w:t>
      </w:r>
      <w:r>
        <w:rPr>
          <w:rtl w:val="true"/>
        </w:rPr>
        <w:t>אמון זה ניזון גם מקשת רחבה של ראיות אחרות שחיזקו אותה</w:t>
      </w:r>
      <w:r>
        <w:rPr>
          <w:rtl w:val="true"/>
        </w:rPr>
        <w:t xml:space="preserve">, </w:t>
      </w:r>
      <w:r>
        <w:rPr>
          <w:rtl w:val="true"/>
        </w:rPr>
        <w:t>ובכללן</w:t>
      </w:r>
      <w:r>
        <w:rPr>
          <w:rtl w:val="true"/>
        </w:rPr>
        <w:t xml:space="preserve">: </w:t>
      </w:r>
      <w:r>
        <w:rPr>
          <w:rtl w:val="true"/>
        </w:rPr>
        <w:t xml:space="preserve">מסדר זיהוי שנערך במשטרה ובמהלכו זיהה המתלונן </w:t>
      </w:r>
      <w:r>
        <w:rPr/>
        <w:t>2</w:t>
      </w:r>
      <w:r>
        <w:rPr>
          <w:rtl w:val="true"/>
        </w:rPr>
        <w:t xml:space="preserve"> </w:t>
      </w:r>
      <w:r>
        <w:rPr>
          <w:rtl w:val="true"/>
        </w:rPr>
        <w:t>את המערער כדוקר אביו</w:t>
      </w:r>
      <w:r>
        <w:rPr>
          <w:rtl w:val="true"/>
        </w:rPr>
        <w:t xml:space="preserve">; </w:t>
      </w:r>
      <w:r>
        <w:rPr>
          <w:rtl w:val="true"/>
        </w:rPr>
        <w:t xml:space="preserve">עימות בין המתלונן </w:t>
      </w:r>
      <w:r>
        <w:rPr/>
        <w:t>2</w:t>
      </w:r>
      <w:r>
        <w:rPr>
          <w:rtl w:val="true"/>
        </w:rPr>
        <w:t xml:space="preserve"> </w:t>
      </w:r>
      <w:r>
        <w:rPr>
          <w:rtl w:val="true"/>
        </w:rPr>
        <w:t>למערער</w:t>
      </w:r>
      <w:r>
        <w:rPr>
          <w:rtl w:val="true"/>
        </w:rPr>
        <w:t xml:space="preserve">, </w:t>
      </w:r>
      <w:r>
        <w:rPr>
          <w:rtl w:val="true"/>
        </w:rPr>
        <w:t>שאף הוא נערך במשטרה</w:t>
      </w:r>
      <w:r>
        <w:rPr>
          <w:rtl w:val="true"/>
        </w:rPr>
        <w:t xml:space="preserve">; </w:t>
      </w:r>
      <w:r>
        <w:rPr>
          <w:rtl w:val="true"/>
        </w:rPr>
        <w:t>תמונות וסרטונים ממצלמות אבטחה ממתחם האירוע</w:t>
      </w:r>
      <w:r>
        <w:rPr>
          <w:rtl w:val="true"/>
        </w:rPr>
        <w:t xml:space="preserve">; </w:t>
      </w:r>
      <w:r>
        <w:rPr>
          <w:rtl w:val="true"/>
        </w:rPr>
        <w:t>חוות דעת מומחה אשר מצאה זהות חזותית בין המערער לבין אדם שצולם בזירת האירוע על ידי מצלמות אבטחה</w:t>
      </w:r>
      <w:r>
        <w:rPr>
          <w:rtl w:val="true"/>
        </w:rPr>
        <w:t xml:space="preserve">; </w:t>
      </w:r>
      <w:r>
        <w:rPr>
          <w:rtl w:val="true"/>
        </w:rPr>
        <w:t>שרטוט שערך אחד העדים</w:t>
      </w:r>
      <w:r>
        <w:rPr>
          <w:rtl w:val="true"/>
        </w:rPr>
        <w:t xml:space="preserve">; </w:t>
      </w:r>
      <w:r>
        <w:rPr>
          <w:rtl w:val="true"/>
        </w:rPr>
        <w:t>איכוני מכשיר הטלפון הנייד של המערער</w:t>
      </w:r>
      <w:r>
        <w:rPr>
          <w:rtl w:val="true"/>
        </w:rPr>
        <w:t xml:space="preserve">; </w:t>
      </w:r>
      <w:r>
        <w:rPr>
          <w:rtl w:val="true"/>
        </w:rPr>
        <w:t>מזכרי שוטרים</w:t>
      </w:r>
      <w:r>
        <w:rPr>
          <w:rtl w:val="true"/>
        </w:rPr>
        <w:t xml:space="preserve">; </w:t>
      </w:r>
      <w:r>
        <w:rPr>
          <w:rtl w:val="true"/>
        </w:rPr>
        <w:t>ועדויות אחרות</w:t>
      </w:r>
      <w:r>
        <w:rPr>
          <w:rtl w:val="true"/>
        </w:rPr>
        <w:t xml:space="preserve">. </w:t>
      </w:r>
      <w:r>
        <w:rPr>
          <w:rtl w:val="true"/>
        </w:rPr>
        <w:t>לצד זאת</w:t>
      </w:r>
      <w:r>
        <w:rPr>
          <w:rtl w:val="true"/>
        </w:rPr>
        <w:t xml:space="preserve">, </w:t>
      </w:r>
      <w:r>
        <w:rPr>
          <w:rtl w:val="true"/>
        </w:rPr>
        <w:t>קבע בית משפט קמא כי גרסת המערער לא היתה אמינה לאחר ששונתה מספר פעמים ונמצאו בה סתירות פנימיות</w:t>
      </w:r>
      <w:r>
        <w:rPr>
          <w:rtl w:val="true"/>
        </w:rPr>
        <w:t xml:space="preserve">, </w:t>
      </w:r>
      <w:r>
        <w:rPr>
          <w:rtl w:val="true"/>
        </w:rPr>
        <w:t>כמו גם חוסר התאמה לראיות אובייקטיביות דוגמת סרטונים של מצלמות האבטחה ואיכוני הטלפון הנייד של המערער</w:t>
      </w:r>
      <w:r>
        <w:rPr>
          <w:rtl w:val="true"/>
        </w:rPr>
        <w:t xml:space="preserve">. </w:t>
      </w:r>
      <w:r>
        <w:rPr>
          <w:rtl w:val="true"/>
        </w:rPr>
        <w:t>על יסוד כל אלו</w:t>
      </w:r>
      <w:r>
        <w:rPr>
          <w:rtl w:val="true"/>
        </w:rPr>
        <w:t xml:space="preserve">, </w:t>
      </w:r>
      <w:r>
        <w:rPr>
          <w:rtl w:val="true"/>
        </w:rPr>
        <w:t xml:space="preserve">קבע בית המשפט כי התביעה הוכיחה מעל ומעבר לכל ספק סביר כי המערער הוא זה שדקר את המתלונן </w:t>
      </w:r>
      <w:r>
        <w:rPr/>
        <w:t>1</w:t>
      </w:r>
      <w:r>
        <w:rPr>
          <w:rtl w:val="true"/>
        </w:rPr>
        <w:t xml:space="preserve"> </w:t>
      </w:r>
      <w:r>
        <w:rPr>
          <w:rtl w:val="true"/>
        </w:rPr>
        <w:t>בבטנו</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באשר לדקירה בצווארו של המתלונן </w:t>
      </w:r>
      <w:r>
        <w:rPr/>
        <w:t>1</w:t>
      </w:r>
      <w:r>
        <w:rPr>
          <w:rtl w:val="true"/>
        </w:rPr>
        <w:t xml:space="preserve">, </w:t>
      </w:r>
      <w:r>
        <w:rPr>
          <w:rtl w:val="true"/>
        </w:rPr>
        <w:t>בית משפט קמא קבע כי ייתכן שזו בוצעה לא על ידי המערער</w:t>
      </w:r>
      <w:r>
        <w:rPr>
          <w:rtl w:val="true"/>
        </w:rPr>
        <w:t xml:space="preserve">, </w:t>
      </w:r>
      <w:r>
        <w:rPr>
          <w:rtl w:val="true"/>
        </w:rPr>
        <w:t>אלא על ידי אדם אחר שנטל חלק בתקיפה</w:t>
      </w:r>
      <w:r>
        <w:rPr>
          <w:rtl w:val="true"/>
        </w:rPr>
        <w:t xml:space="preserve">. </w:t>
      </w:r>
      <w:r>
        <w:rPr>
          <w:rtl w:val="true"/>
        </w:rPr>
        <w:t>יחד עם זאת</w:t>
      </w:r>
      <w:r>
        <w:rPr>
          <w:rtl w:val="true"/>
        </w:rPr>
        <w:t xml:space="preserve">, </w:t>
      </w:r>
      <w:r>
        <w:rPr>
          <w:rtl w:val="true"/>
        </w:rPr>
        <w:t xml:space="preserve">קבע בית המשפט כי אין בכך כדי לגרוע מאחריות המערער מאחר שהינו אחראי לדקירה זו בכל מקרה בשל היותו שותף לדבר עבירה </w:t>
      </w:r>
      <w:r>
        <w:rPr>
          <w:rtl w:val="true"/>
        </w:rPr>
        <w:t>(</w:t>
      </w:r>
      <w:r>
        <w:rPr>
          <w:rtl w:val="true"/>
        </w:rPr>
        <w:t>ככל שקיים ספק בנוגע להיותו המבצע העיקרי הבלעדי</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כמו</w:t>
      </w:r>
      <w:r>
        <w:rPr>
          <w:rtl w:val="true"/>
        </w:rPr>
        <w:t>-</w:t>
      </w:r>
      <w:r>
        <w:rPr>
          <w:rtl w:val="true"/>
        </w:rPr>
        <w:t>כן</w:t>
      </w:r>
      <w:r>
        <w:rPr>
          <w:rtl w:val="true"/>
        </w:rPr>
        <w:t xml:space="preserve">, </w:t>
      </w:r>
      <w:r>
        <w:rPr>
          <w:rtl w:val="true"/>
        </w:rPr>
        <w:t xml:space="preserve">קבע בית משפט קמא כי הוכח מעבר לכל ספק סביר כי המערער ניסה והתכוון לדקור את המתלונן </w:t>
      </w:r>
      <w:r>
        <w:rPr/>
        <w:t>2</w:t>
      </w:r>
      <w:r>
        <w:rPr>
          <w:rtl w:val="true"/>
        </w:rPr>
        <w:t xml:space="preserve">, </w:t>
      </w:r>
      <w:r>
        <w:rPr>
          <w:rtl w:val="true"/>
        </w:rPr>
        <w:t xml:space="preserve">אך בשל הרחקתו של המתלונן </w:t>
      </w:r>
      <w:r>
        <w:rPr/>
        <w:t>2</w:t>
      </w:r>
      <w:r>
        <w:rPr>
          <w:rtl w:val="true"/>
        </w:rPr>
        <w:t xml:space="preserve"> </w:t>
      </w:r>
      <w:r>
        <w:rPr>
          <w:rtl w:val="true"/>
        </w:rPr>
        <w:t>על ידי אביו</w:t>
      </w:r>
      <w:r>
        <w:rPr>
          <w:rtl w:val="true"/>
        </w:rPr>
        <w:t xml:space="preserve">, </w:t>
      </w:r>
      <w:r>
        <w:rPr>
          <w:rtl w:val="true"/>
        </w:rPr>
        <w:t xml:space="preserve">המתלונן </w:t>
      </w:r>
      <w:r>
        <w:rPr/>
        <w:t>1</w:t>
      </w:r>
      <w:r>
        <w:rPr>
          <w:rtl w:val="true"/>
        </w:rPr>
        <w:t xml:space="preserve">, </w:t>
      </w:r>
      <w:r>
        <w:rPr>
          <w:rtl w:val="true"/>
        </w:rPr>
        <w:t xml:space="preserve">הדבר לא עלה בידו ולכן דקר המערער את המתלונן </w:t>
      </w:r>
      <w:r>
        <w:rPr/>
        <w:t>1</w:t>
      </w:r>
      <w:r>
        <w:rPr>
          <w:rtl w:val="true"/>
        </w:rPr>
        <w:t xml:space="preserve"> </w:t>
      </w:r>
      <w:r>
        <w:rPr>
          <w:rtl w:val="true"/>
        </w:rPr>
        <w:t>במסגרתו של אותו ריב בכוונה לגרום לו חבלה חמורה</w:t>
      </w:r>
      <w:r>
        <w:rPr>
          <w:rtl w:val="true"/>
        </w:rPr>
        <w:t>.</w:t>
      </w:r>
    </w:p>
    <w:p>
      <w:pPr>
        <w:pStyle w:val="Ruller42"/>
        <w:ind w:end="0"/>
        <w:jc w:val="both"/>
        <w:rPr/>
      </w:pPr>
      <w:r>
        <w:rPr>
          <w:rtl w:val="true"/>
        </w:rPr>
      </w:r>
    </w:p>
    <w:p>
      <w:pPr>
        <w:pStyle w:val="Ruller43"/>
        <w:numPr>
          <w:ilvl w:val="0"/>
          <w:numId w:val="1"/>
        </w:numPr>
        <w:ind w:hanging="0" w:start="0" w:end="0"/>
        <w:jc w:val="both"/>
        <w:rPr>
          <w:sz w:val="28"/>
        </w:rPr>
      </w:pPr>
      <w:r>
        <w:rPr>
          <w:rtl w:val="true"/>
        </w:rPr>
        <w:t>בבואו לגזור את דינו של המערער</w:t>
      </w:r>
      <w:r>
        <w:rPr>
          <w:rtl w:val="true"/>
        </w:rPr>
        <w:t xml:space="preserve">, </w:t>
      </w:r>
      <w:r>
        <w:rPr>
          <w:rFonts w:ascii="Calibri" w:hAnsi="Calibri" w:eastAsia="Calibri" w:cs="Calibri"/>
          <w:sz w:val="28"/>
          <w:sz w:val="28"/>
          <w:rtl w:val="true"/>
        </w:rPr>
        <w:t xml:space="preserve">קבע </w:t>
      </w:r>
      <w:r>
        <w:rPr>
          <w:sz w:val="28"/>
          <w:sz w:val="28"/>
          <w:rtl w:val="true"/>
        </w:rPr>
        <w:t xml:space="preserve">בית משפט קמא כי </w:t>
      </w:r>
      <w:r>
        <w:rPr>
          <w:rtl w:val="true"/>
        </w:rPr>
        <w:t>מעשי המערער הסבו פגיעה קשה בערכים החברתיים המוגנים של כבוד האדם</w:t>
      </w:r>
      <w:r>
        <w:rPr>
          <w:rtl w:val="true"/>
        </w:rPr>
        <w:t xml:space="preserve">, </w:t>
      </w:r>
      <w:r>
        <w:rPr>
          <w:rtl w:val="true"/>
        </w:rPr>
        <w:t>שלמות הגוף</w:t>
      </w:r>
      <w:r>
        <w:rPr>
          <w:rtl w:val="true"/>
        </w:rPr>
        <w:t xml:space="preserve">, </w:t>
      </w:r>
      <w:r>
        <w:rPr>
          <w:rtl w:val="true"/>
        </w:rPr>
        <w:t>הזכות לאוטונומיה על הגוף</w:t>
      </w:r>
      <w:r>
        <w:rPr>
          <w:rtl w:val="true"/>
        </w:rPr>
        <w:t xml:space="preserve">, </w:t>
      </w:r>
      <w:r>
        <w:rPr>
          <w:rtl w:val="true"/>
        </w:rPr>
        <w:t>הביטחון האישי</w:t>
      </w:r>
      <w:r>
        <w:rPr>
          <w:rtl w:val="true"/>
        </w:rPr>
        <w:t xml:space="preserve">, </w:t>
      </w:r>
      <w:r>
        <w:rPr>
          <w:rtl w:val="true"/>
        </w:rPr>
        <w:t>הביטחון הציבורי ושלטון החוק</w:t>
      </w:r>
      <w:r>
        <w:rPr>
          <w:sz w:val="28"/>
          <w:rtl w:val="true"/>
        </w:rPr>
        <w:t xml:space="preserve">. </w:t>
      </w:r>
      <w:r>
        <w:rPr>
          <w:rtl w:val="true"/>
        </w:rPr>
        <w:t>לנוכח קביעה זו והנסיבות של אירוע הדקירה</w:t>
      </w:r>
      <w:r>
        <w:rPr>
          <w:rtl w:val="true"/>
        </w:rPr>
        <w:t xml:space="preserve">, </w:t>
      </w:r>
      <w:r>
        <w:rPr>
          <w:rtl w:val="true"/>
        </w:rPr>
        <w:t>החליט בית המשפט כי מתחם העונש ההולם בעניינו של המערער נע בין</w:t>
      </w:r>
      <w:r>
        <w:rPr>
          <w:sz w:val="28"/>
          <w:sz w:val="28"/>
          <w:rtl w:val="true"/>
        </w:rPr>
        <w:t xml:space="preserve"> ארבע לבין שבע שנות מאסר בפועל</w:t>
      </w:r>
      <w:r>
        <w:rPr>
          <w:sz w:val="28"/>
          <w:rtl w:val="true"/>
        </w:rPr>
        <w:t xml:space="preserve">. </w:t>
      </w:r>
      <w:r>
        <w:rPr>
          <w:rtl w:val="true"/>
        </w:rPr>
        <w:t>בית המשפט זקף לחובת המערער מספר נסיבות מחמירות ובהן</w:t>
      </w:r>
      <w:r>
        <w:rPr>
          <w:rtl w:val="true"/>
        </w:rPr>
        <w:t xml:space="preserve">: </w:t>
      </w:r>
      <w:r>
        <w:rPr>
          <w:sz w:val="28"/>
          <w:sz w:val="28"/>
          <w:rtl w:val="true"/>
        </w:rPr>
        <w:t xml:space="preserve">הכוונה והנחישות של המערער לפגוע במתלונן </w:t>
      </w:r>
      <w:r>
        <w:rPr>
          <w:sz w:val="28"/>
        </w:rPr>
        <w:t>2</w:t>
      </w:r>
      <w:r>
        <w:rPr>
          <w:sz w:val="28"/>
          <w:rtl w:val="true"/>
        </w:rPr>
        <w:t xml:space="preserve"> </w:t>
      </w:r>
      <w:r>
        <w:rPr>
          <w:sz w:val="28"/>
          <w:sz w:val="28"/>
          <w:rtl w:val="true"/>
        </w:rPr>
        <w:t xml:space="preserve">ובמתלונן </w:t>
      </w:r>
      <w:r>
        <w:rPr>
          <w:sz w:val="28"/>
        </w:rPr>
        <w:t>1</w:t>
      </w:r>
      <w:r>
        <w:rPr>
          <w:sz w:val="28"/>
          <w:rtl w:val="true"/>
        </w:rPr>
        <w:t xml:space="preserve">; </w:t>
      </w:r>
      <w:r>
        <w:rPr>
          <w:sz w:val="28"/>
          <w:sz w:val="28"/>
          <w:rtl w:val="true"/>
        </w:rPr>
        <w:t xml:space="preserve">הנזק החמור שנגרם למתלונן </w:t>
      </w:r>
      <w:r>
        <w:rPr>
          <w:sz w:val="28"/>
        </w:rPr>
        <w:t>1</w:t>
      </w:r>
      <w:r>
        <w:rPr>
          <w:sz w:val="28"/>
          <w:rtl w:val="true"/>
        </w:rPr>
        <w:t xml:space="preserve">, </w:t>
      </w:r>
      <w:r>
        <w:rPr>
          <w:sz w:val="28"/>
          <w:sz w:val="28"/>
          <w:rtl w:val="true"/>
        </w:rPr>
        <w:t>אשר פורט בתסקיר נפגע העבירה</w:t>
      </w:r>
      <w:r>
        <w:rPr>
          <w:sz w:val="28"/>
          <w:rtl w:val="true"/>
        </w:rPr>
        <w:t xml:space="preserve">; </w:t>
      </w:r>
      <w:r>
        <w:rPr>
          <w:sz w:val="28"/>
          <w:sz w:val="28"/>
          <w:rtl w:val="true"/>
        </w:rPr>
        <w:t>עברו הפלילי של המערער אשר כולל הרשעה בעבירות חמורות שבוצעו תוך שימוש בסכין</w:t>
      </w:r>
      <w:r>
        <w:rPr>
          <w:sz w:val="28"/>
          <w:rtl w:val="true"/>
        </w:rPr>
        <w:t xml:space="preserve">; </w:t>
      </w:r>
      <w:r>
        <w:rPr>
          <w:sz w:val="28"/>
          <w:sz w:val="28"/>
          <w:rtl w:val="true"/>
        </w:rPr>
        <w:t>תקופת המאסר שריצה המערער מבלי ללמוד ממנה לקח</w:t>
      </w:r>
      <w:r>
        <w:rPr>
          <w:sz w:val="28"/>
          <w:rtl w:val="true"/>
        </w:rPr>
        <w:t xml:space="preserve">; </w:t>
      </w:r>
      <w:r>
        <w:rPr>
          <w:sz w:val="28"/>
          <w:sz w:val="28"/>
          <w:rtl w:val="true"/>
        </w:rPr>
        <w:t xml:space="preserve">העובדה שהמערער לא היסס לדקור את המתלונן </w:t>
      </w:r>
      <w:r>
        <w:rPr>
          <w:sz w:val="28"/>
        </w:rPr>
        <w:t>1</w:t>
      </w:r>
      <w:r>
        <w:rPr>
          <w:sz w:val="28"/>
          <w:rtl w:val="true"/>
        </w:rPr>
        <w:t xml:space="preserve"> </w:t>
      </w:r>
      <w:r>
        <w:rPr>
          <w:sz w:val="28"/>
          <w:sz w:val="28"/>
          <w:rtl w:val="true"/>
        </w:rPr>
        <w:t>בשעה שהיו תלויים נגדו שני מאסרים מותנים</w:t>
      </w:r>
      <w:r>
        <w:rPr>
          <w:sz w:val="28"/>
          <w:rtl w:val="true"/>
        </w:rPr>
        <w:t xml:space="preserve">; </w:t>
      </w:r>
      <w:r>
        <w:rPr>
          <w:sz w:val="28"/>
          <w:sz w:val="28"/>
          <w:rtl w:val="true"/>
        </w:rPr>
        <w:t>וכן סירובו של המערער לקחת אחריות על מעשיו</w:t>
      </w:r>
      <w:r>
        <w:rPr>
          <w:sz w:val="28"/>
          <w:rtl w:val="true"/>
        </w:rPr>
        <w:t xml:space="preserve">. </w:t>
      </w:r>
      <w:r>
        <w:rPr>
          <w:rtl w:val="true"/>
        </w:rPr>
        <w:t>לזכותו של המערער זקף בית המשפט את</w:t>
      </w:r>
      <w:r>
        <w:rPr>
          <w:sz w:val="28"/>
          <w:sz w:val="28"/>
          <w:rtl w:val="true"/>
        </w:rPr>
        <w:t xml:space="preserve"> גילו הצעיר יחסית </w:t>
      </w:r>
      <w:r>
        <w:rPr>
          <w:sz w:val="28"/>
          <w:rtl w:val="true"/>
        </w:rPr>
        <w:t>(</w:t>
      </w:r>
      <w:r>
        <w:rPr>
          <w:sz w:val="28"/>
          <w:sz w:val="28"/>
          <w:rtl w:val="true"/>
        </w:rPr>
        <w:t xml:space="preserve">המערער הינו יליד </w:t>
      </w:r>
      <w:r>
        <w:rPr>
          <w:sz w:val="28"/>
        </w:rPr>
        <w:t>1991</w:t>
      </w:r>
      <w:r>
        <w:rPr>
          <w:sz w:val="28"/>
          <w:rtl w:val="true"/>
        </w:rPr>
        <w:t xml:space="preserve">). </w:t>
      </w:r>
      <w:r>
        <w:rPr>
          <w:rtl w:val="true"/>
        </w:rPr>
        <w:t>לאחר ששקל את מכלול השיקולים הללו</w:t>
      </w:r>
      <w:r>
        <w:rPr>
          <w:rtl w:val="true"/>
        </w:rPr>
        <w:t xml:space="preserve">, </w:t>
      </w:r>
      <w:r>
        <w:rPr>
          <w:rtl w:val="true"/>
        </w:rPr>
        <w:t>קבע בית משפט קמא כי יש למקם את עונשו של המערער בחלקו העליון של מתחם העונש ההולם</w:t>
      </w:r>
      <w:r>
        <w:rPr>
          <w:rtl w:val="true"/>
        </w:rPr>
        <w:t xml:space="preserve">, </w:t>
      </w:r>
      <w:r>
        <w:rPr>
          <w:rtl w:val="true"/>
        </w:rPr>
        <w:t>שנקבע על ידו כאמור לעיל</w:t>
      </w:r>
      <w:r>
        <w:rPr>
          <w:rtl w:val="true"/>
        </w:rPr>
        <w:t xml:space="preserve">, </w:t>
      </w:r>
      <w:r>
        <w:rPr>
          <w:rtl w:val="true"/>
        </w:rPr>
        <w:t>אך בהתחשב בגילו של המערער החליט לבסוף שלא לעשות כן</w:t>
      </w:r>
      <w:r>
        <w:rPr>
          <w:rtl w:val="true"/>
        </w:rPr>
        <w:t xml:space="preserve">. </w:t>
      </w:r>
      <w:r>
        <w:rPr>
          <w:rtl w:val="true"/>
        </w:rPr>
        <w:t>תחת זאת</w:t>
      </w:r>
      <w:r>
        <w:rPr>
          <w:rtl w:val="true"/>
        </w:rPr>
        <w:t xml:space="preserve">, </w:t>
      </w:r>
      <w:r>
        <w:rPr>
          <w:rtl w:val="true"/>
        </w:rPr>
        <w:t xml:space="preserve">הטיל בית משפט קמא על המערער </w:t>
      </w:r>
      <w:r>
        <w:rPr>
          <w:sz w:val="28"/>
          <w:sz w:val="28"/>
          <w:rtl w:val="true"/>
        </w:rPr>
        <w:t>את העונשים המפורטים לעיל</w:t>
      </w:r>
      <w:r>
        <w:rPr>
          <w:sz w:val="28"/>
          <w:rtl w:val="true"/>
        </w:rPr>
        <w:t xml:space="preserve">, </w:t>
      </w:r>
      <w:r>
        <w:rPr>
          <w:sz w:val="28"/>
          <w:sz w:val="28"/>
          <w:rtl w:val="true"/>
        </w:rPr>
        <w:t>שעיקרם</w:t>
      </w:r>
      <w:r>
        <w:rPr>
          <w:sz w:val="28"/>
          <w:rtl w:val="true"/>
        </w:rPr>
        <w:t xml:space="preserve">, </w:t>
      </w:r>
      <w:r>
        <w:rPr>
          <w:sz w:val="28"/>
          <w:sz w:val="28"/>
          <w:rtl w:val="true"/>
        </w:rPr>
        <w:t>לאחר הפעלת המאסרים המותנים</w:t>
      </w:r>
      <w:r>
        <w:rPr>
          <w:sz w:val="28"/>
          <w:rtl w:val="true"/>
        </w:rPr>
        <w:t xml:space="preserve">, </w:t>
      </w:r>
      <w:r>
        <w:rPr>
          <w:sz w:val="28"/>
          <w:sz w:val="28"/>
          <w:rtl w:val="true"/>
        </w:rPr>
        <w:t>שבע שנות מאסר לריצוי בפועל</w:t>
      </w:r>
      <w:r>
        <w:rPr>
          <w:sz w:val="28"/>
          <w:rtl w:val="true"/>
        </w:rPr>
        <w:t>.</w:t>
      </w:r>
    </w:p>
    <w:p>
      <w:pPr>
        <w:pStyle w:val="Ruller42"/>
        <w:ind w:end="0"/>
        <w:jc w:val="both"/>
        <w:rPr>
          <w:sz w:val="28"/>
        </w:rPr>
      </w:pPr>
      <w:r>
        <w:rPr>
          <w:sz w:val="28"/>
          <w:rtl w:val="true"/>
        </w:rPr>
      </w:r>
    </w:p>
    <w:p>
      <w:pPr>
        <w:pStyle w:val="Ruller42"/>
        <w:ind w:end="0"/>
        <w:jc w:val="both"/>
        <w:rPr/>
      </w:pPr>
      <w:r>
        <w:rPr>
          <w:rtl w:val="true"/>
        </w:rPr>
        <w:tab/>
      </w:r>
      <w:r>
        <w:rPr>
          <w:rtl w:val="true"/>
        </w:rPr>
        <w:t>מכאן</w:t>
      </w:r>
      <w:r>
        <w:rPr>
          <w:rFonts w:eastAsia="Arial TUR;Arial" w:cs="Arial TUR;Arial"/>
          <w:rtl w:val="true"/>
        </w:rPr>
        <w:t xml:space="preserve"> </w:t>
      </w:r>
      <w:r>
        <w:rPr>
          <w:rtl w:val="true"/>
        </w:rPr>
        <w:t>הערעור</w:t>
      </w:r>
      <w:r>
        <w:rPr>
          <w:rtl w:val="true"/>
        </w:rPr>
        <w:t>.</w:t>
      </w:r>
    </w:p>
    <w:p>
      <w:pPr>
        <w:pStyle w:val="Ruller42"/>
        <w:spacing w:before="0" w:after="0"/>
        <w:ind w:end="0"/>
        <w:contextualSpacing/>
        <w:jc w:val="both"/>
        <w:rPr>
          <w:rFonts w:ascii="Century" w:hAnsi="Century" w:cs="Miriam"/>
          <w:b/>
          <w:spacing w:val="0"/>
          <w:szCs w:val="24"/>
        </w:rPr>
      </w:pPr>
      <w:r>
        <w:rPr>
          <w:rFonts w:cs="Miriam" w:ascii="Century" w:hAnsi="Century"/>
          <w:b/>
          <w:spacing w:val="0"/>
          <w:szCs w:val="24"/>
          <w:rtl w:val="true"/>
        </w:rPr>
      </w:r>
    </w:p>
    <w:p>
      <w:pPr>
        <w:pStyle w:val="Ruller42"/>
        <w:spacing w:before="0" w:after="0"/>
        <w:ind w:end="0"/>
        <w:contextualSpacing/>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מערער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המערער חילק את טענותיו לארבעה ראשים</w:t>
      </w:r>
      <w:r>
        <w:rPr>
          <w:rtl w:val="true"/>
        </w:rPr>
        <w:t xml:space="preserve">. </w:t>
      </w:r>
      <w:r>
        <w:rPr>
          <w:rtl w:val="true"/>
        </w:rPr>
        <w:t xml:space="preserve">הראש הראשון מתייחס לזיהויו כמי שדקר את המתלונן </w:t>
      </w:r>
      <w:r>
        <w:rPr/>
        <w:t>1</w:t>
      </w:r>
      <w:r>
        <w:rPr>
          <w:rtl w:val="true"/>
        </w:rPr>
        <w:t xml:space="preserve"> </w:t>
      </w:r>
      <w:r>
        <w:rPr>
          <w:rtl w:val="true"/>
        </w:rPr>
        <w:t>באזור הבטן</w:t>
      </w:r>
      <w:r>
        <w:rPr>
          <w:rtl w:val="true"/>
        </w:rPr>
        <w:t xml:space="preserve">; </w:t>
      </w:r>
      <w:r>
        <w:rPr>
          <w:rtl w:val="true"/>
        </w:rPr>
        <w:t xml:space="preserve">הראש השני מתייחס לאחריותו לדקירה בצווארו של המתלונן </w:t>
      </w:r>
      <w:r>
        <w:rPr/>
        <w:t>1</w:t>
      </w:r>
      <w:r>
        <w:rPr>
          <w:rtl w:val="true"/>
        </w:rPr>
        <w:t xml:space="preserve">; </w:t>
      </w:r>
      <w:r>
        <w:rPr>
          <w:rtl w:val="true"/>
        </w:rPr>
        <w:t xml:space="preserve">הראש השלישי הוא טענת </w:t>
      </w:r>
      <w:r>
        <w:rPr>
          <w:rtl w:val="true"/>
        </w:rPr>
        <w:t>"</w:t>
      </w:r>
      <w:r>
        <w:rPr>
          <w:rtl w:val="true"/>
        </w:rPr>
        <w:t>ההגנה מן הצדק</w:t>
      </w:r>
      <w:r>
        <w:rPr>
          <w:rtl w:val="true"/>
        </w:rPr>
        <w:t xml:space="preserve">" </w:t>
      </w:r>
      <w:r>
        <w:rPr>
          <w:rtl w:val="true"/>
        </w:rPr>
        <w:t>שעל בסיסה מבקש המערער להביא לביטול הרשעתו</w:t>
      </w:r>
      <w:r>
        <w:rPr>
          <w:rtl w:val="true"/>
        </w:rPr>
        <w:t xml:space="preserve">; </w:t>
      </w:r>
      <w:r>
        <w:rPr>
          <w:rtl w:val="true"/>
        </w:rPr>
        <w:t>ואילו הראש הרביעי מתמקד בעונשו של המערער כטענה חלופית</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Fonts w:ascii="Century" w:hAnsi="Century" w:cs="Miriam"/>
          <w:b/>
          <w:b/>
          <w:spacing w:val="0"/>
          <w:szCs w:val="24"/>
          <w:rtl w:val="true"/>
        </w:rPr>
        <w:t>הראש</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tl w:val="true"/>
        </w:rPr>
        <w:t xml:space="preserve">: </w:t>
      </w:r>
      <w:r>
        <w:rPr>
          <w:rtl w:val="true"/>
        </w:rPr>
        <w:t xml:space="preserve">המערער טוען כי שגה בית משפט קמא בהאמינו לראיות שזיהו אותו כמי שדקר את המתלונן </w:t>
      </w:r>
      <w:r>
        <w:rPr/>
        <w:t>1</w:t>
      </w:r>
      <w:r>
        <w:rPr>
          <w:rtl w:val="true"/>
        </w:rPr>
        <w:t xml:space="preserve"> </w:t>
      </w:r>
      <w:r>
        <w:rPr>
          <w:rtl w:val="true"/>
        </w:rPr>
        <w:t>בבטנו</w:t>
      </w:r>
      <w:r>
        <w:rPr>
          <w:rtl w:val="true"/>
        </w:rPr>
        <w:t xml:space="preserve">. </w:t>
      </w:r>
      <w:r>
        <w:rPr>
          <w:rtl w:val="true"/>
        </w:rPr>
        <w:t>לטענתו</w:t>
      </w:r>
      <w:r>
        <w:rPr>
          <w:rtl w:val="true"/>
        </w:rPr>
        <w:t xml:space="preserve">, </w:t>
      </w:r>
      <w:r>
        <w:rPr>
          <w:rtl w:val="true"/>
        </w:rPr>
        <w:t>אין לתת משקל לעדות העיקרית עליה סמך בית המשפט את קביעתו זו מאחר שעדות זו עברה מספר גרסאות ונמצאו בה סתירות מהותיות</w:t>
      </w:r>
      <w:r>
        <w:rPr>
          <w:rtl w:val="true"/>
        </w:rPr>
        <w:t xml:space="preserve">, </w:t>
      </w:r>
      <w:r>
        <w:rPr>
          <w:rtl w:val="true"/>
        </w:rPr>
        <w:t xml:space="preserve">אותן כינה בית המשפט </w:t>
      </w:r>
      <w:r>
        <w:rPr>
          <w:rtl w:val="true"/>
        </w:rPr>
        <w:t>"</w:t>
      </w:r>
      <w:r>
        <w:rPr>
          <w:rtl w:val="true"/>
        </w:rPr>
        <w:t xml:space="preserve">אי דיוק בלבד או בלבול נוכח הקושי </w:t>
      </w:r>
      <w:r>
        <w:rPr>
          <w:rtl w:val="true"/>
        </w:rPr>
        <w:t>[</w:t>
      </w:r>
      <w:r>
        <w:rPr>
          <w:rtl w:val="true"/>
        </w:rPr>
        <w:t xml:space="preserve">שהעד </w:t>
      </w:r>
      <w:r>
        <w:rPr>
          <w:rtl w:val="true"/>
        </w:rPr>
        <w:t>–</w:t>
      </w:r>
      <w:r>
        <w:rPr>
          <w:rtl w:val="true"/>
        </w:rPr>
        <w:t xml:space="preserve"> א</w:t>
      </w:r>
      <w:r>
        <w:rPr>
          <w:rtl w:val="true"/>
        </w:rPr>
        <w:t>.</w:t>
      </w:r>
      <w:r>
        <w:rPr>
          <w:rtl w:val="true"/>
        </w:rPr>
        <w:t>ש</w:t>
      </w:r>
      <w:r>
        <w:rPr>
          <w:rtl w:val="true"/>
        </w:rPr>
        <w:t xml:space="preserve">.] </w:t>
      </w:r>
      <w:r>
        <w:rPr>
          <w:rtl w:val="true"/>
        </w:rPr>
        <w:t>חווה באירוע</w:t>
      </w:r>
      <w:r>
        <w:rPr>
          <w:rtl w:val="true"/>
        </w:rPr>
        <w:t>" (</w:t>
      </w:r>
      <w:r>
        <w:rPr>
          <w:rtl w:val="true"/>
        </w:rPr>
        <w:t>ראו עמ</w:t>
      </w:r>
      <w:r>
        <w:rPr>
          <w:rtl w:val="true"/>
        </w:rPr>
        <w:t xml:space="preserve">' </w:t>
      </w:r>
      <w:r>
        <w:rPr/>
        <w:t>157</w:t>
      </w:r>
      <w:r>
        <w:rPr>
          <w:rtl w:val="true"/>
        </w:rPr>
        <w:t xml:space="preserve">, </w:t>
      </w:r>
      <w:r>
        <w:rPr>
          <w:rtl w:val="true"/>
        </w:rPr>
        <w:t xml:space="preserve">שורות </w:t>
      </w:r>
      <w:r>
        <w:rPr/>
        <w:t>19-17</w:t>
      </w:r>
      <w:r>
        <w:rPr>
          <w:rtl w:val="true"/>
        </w:rPr>
        <w:t xml:space="preserve"> </w:t>
      </w:r>
      <w:r>
        <w:rPr>
          <w:rtl w:val="true"/>
        </w:rPr>
        <w:t xml:space="preserve">להכרעת הדין מיום </w:t>
      </w:r>
      <w:r>
        <w:rPr/>
        <w:t>27.9.2016</w:t>
      </w:r>
      <w:r>
        <w:rPr>
          <w:rtl w:val="true"/>
        </w:rPr>
        <w:t xml:space="preserve">). </w:t>
      </w:r>
      <w:r>
        <w:rPr>
          <w:rtl w:val="true"/>
        </w:rPr>
        <w:t>בנוסף</w:t>
      </w:r>
      <w:r>
        <w:rPr>
          <w:rtl w:val="true"/>
        </w:rPr>
        <w:t xml:space="preserve">, </w:t>
      </w:r>
      <w:r>
        <w:rPr>
          <w:rtl w:val="true"/>
        </w:rPr>
        <w:t>המערער טוען כי מצלמות האבטחה מראות כי הוא וחברו היו בקרבת האירוע</w:t>
      </w:r>
      <w:r>
        <w:rPr>
          <w:rtl w:val="true"/>
        </w:rPr>
        <w:t xml:space="preserve">, </w:t>
      </w:r>
      <w:r>
        <w:rPr>
          <w:rtl w:val="true"/>
        </w:rPr>
        <w:t>הא ותו לא</w:t>
      </w:r>
      <w:r>
        <w:rPr>
          <w:rtl w:val="true"/>
        </w:rPr>
        <w:t xml:space="preserve">, </w:t>
      </w:r>
      <w:r>
        <w:rPr>
          <w:rtl w:val="true"/>
        </w:rPr>
        <w:t>וכי אין שום סרטון שבאמצעותו ניתן לזהותו כדוקר</w:t>
      </w:r>
      <w:r>
        <w:rPr>
          <w:rtl w:val="true"/>
        </w:rPr>
        <w:t xml:space="preserve">. </w:t>
      </w:r>
      <w:r>
        <w:rPr>
          <w:rtl w:val="true"/>
        </w:rPr>
        <w:t>כמו כן טוען המערער</w:t>
      </w:r>
      <w:r>
        <w:rPr>
          <w:rtl w:val="true"/>
        </w:rPr>
        <w:t xml:space="preserve">, </w:t>
      </w:r>
      <w:r>
        <w:rPr>
          <w:rtl w:val="true"/>
        </w:rPr>
        <w:t>כי המשיבה הודתה בכך שבמקום האירוע נכחו שני אנשים שלבשו מכנס ג</w:t>
      </w:r>
      <w:r>
        <w:rPr>
          <w:rtl w:val="true"/>
        </w:rPr>
        <w:t>'</w:t>
      </w:r>
      <w:r>
        <w:rPr>
          <w:rtl w:val="true"/>
        </w:rPr>
        <w:t>ינס וגופיה שחורה</w:t>
      </w:r>
      <w:r>
        <w:rPr>
          <w:rtl w:val="true"/>
        </w:rPr>
        <w:t xml:space="preserve">, </w:t>
      </w:r>
      <w:r>
        <w:rPr>
          <w:rtl w:val="true"/>
        </w:rPr>
        <w:t>ולא אדם אחד בלבד</w:t>
      </w:r>
      <w:r>
        <w:rPr>
          <w:rtl w:val="true"/>
        </w:rPr>
        <w:t xml:space="preserve">; </w:t>
      </w:r>
      <w:r>
        <w:rPr>
          <w:rtl w:val="true"/>
        </w:rPr>
        <w:t>ולפיכך</w:t>
      </w:r>
      <w:r>
        <w:rPr>
          <w:rtl w:val="true"/>
        </w:rPr>
        <w:t xml:space="preserve">, </w:t>
      </w:r>
      <w:r>
        <w:rPr>
          <w:rtl w:val="true"/>
        </w:rPr>
        <w:t>היה על המשיבה לנסות לאתרם כדי לשלול את האפשרות של טעות בזיהוי</w:t>
      </w:r>
      <w:r>
        <w:rPr>
          <w:rtl w:val="true"/>
        </w:rPr>
        <w:t xml:space="preserve">. </w:t>
      </w:r>
      <w:r>
        <w:rPr>
          <w:rtl w:val="true"/>
        </w:rPr>
        <w:t>עוד טוען המערער</w:t>
      </w:r>
      <w:r>
        <w:rPr>
          <w:rtl w:val="true"/>
        </w:rPr>
        <w:t xml:space="preserve">, </w:t>
      </w:r>
      <w:r>
        <w:rPr>
          <w:rtl w:val="true"/>
        </w:rPr>
        <w:t>כי בית משפט קמא נתן משקל ראייתי מופרז לשקריו</w:t>
      </w:r>
      <w:r>
        <w:rPr>
          <w:rtl w:val="true"/>
        </w:rPr>
        <w:t xml:space="preserve">, </w:t>
      </w:r>
      <w:r>
        <w:rPr>
          <w:rtl w:val="true"/>
        </w:rPr>
        <w:t>מאחר שאלה לא היו שקרים מהותיים כלל ועיקר והם נבעו מהפחד שנלווה לחקירתו</w:t>
      </w:r>
      <w:r>
        <w:rPr>
          <w:rtl w:val="true"/>
        </w:rPr>
        <w:t xml:space="preserve">. </w:t>
      </w:r>
      <w:r>
        <w:rPr>
          <w:rtl w:val="true"/>
        </w:rPr>
        <w:t>המערער מלין גם על כך שבית משפט קמא לא נתן משקל ראייתי לעדותו של עד מטעמו שלדבריו היתה אמינה</w:t>
      </w:r>
      <w:r>
        <w:rPr>
          <w:rtl w:val="true"/>
        </w:rPr>
        <w:t>.</w:t>
      </w:r>
    </w:p>
    <w:p>
      <w:pPr>
        <w:pStyle w:val="Ruller42"/>
        <w:ind w:end="0"/>
        <w:jc w:val="both"/>
        <w:rPr/>
      </w:pPr>
      <w:r>
        <w:rPr>
          <w:rtl w:val="true"/>
        </w:rPr>
      </w:r>
    </w:p>
    <w:p>
      <w:pPr>
        <w:pStyle w:val="Ruller43"/>
        <w:numPr>
          <w:ilvl w:val="0"/>
          <w:numId w:val="1"/>
        </w:numPr>
        <w:ind w:hanging="0" w:start="0" w:end="0"/>
        <w:jc w:val="both"/>
        <w:rPr/>
      </w:pPr>
      <w:r>
        <w:rPr>
          <w:rFonts w:ascii="Century" w:hAnsi="Century" w:cs="Miriam"/>
          <w:b/>
          <w:b/>
          <w:spacing w:val="0"/>
          <w:szCs w:val="24"/>
          <w:rtl w:val="true"/>
        </w:rPr>
        <w:t>הראש</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 xml:space="preserve">המערער טוען כי שגה בית משפט קמא כאשר הטיל עליו אחריות לדקירה בצווארו של המתלונן </w:t>
      </w:r>
      <w:r>
        <w:rPr/>
        <w:t>1</w:t>
      </w:r>
      <w:r>
        <w:rPr>
          <w:rtl w:val="true"/>
        </w:rPr>
        <w:t xml:space="preserve"> </w:t>
      </w:r>
      <w:r>
        <w:rPr>
          <w:rtl w:val="true"/>
        </w:rPr>
        <w:t>מכוח היותו שותף לאותה דקירה</w:t>
      </w:r>
      <w:r>
        <w:rPr>
          <w:rtl w:val="true"/>
        </w:rPr>
        <w:t xml:space="preserve">. </w:t>
      </w:r>
      <w:r>
        <w:rPr>
          <w:rtl w:val="true"/>
        </w:rPr>
        <w:t>לטענת המערער</w:t>
      </w:r>
      <w:r>
        <w:rPr>
          <w:rtl w:val="true"/>
        </w:rPr>
        <w:t xml:space="preserve">, </w:t>
      </w:r>
      <w:r>
        <w:rPr>
          <w:rtl w:val="true"/>
        </w:rPr>
        <w:t>קיים ספק סביר לגבי זהות הדוקר והמשיבה לא הוכיחה קשר של שותפות בין המערער לבין אותו דוקר בלתי מזוהה</w:t>
      </w:r>
      <w:r>
        <w:rPr>
          <w:rtl w:val="true"/>
        </w:rPr>
        <w:t xml:space="preserve">. </w:t>
      </w:r>
      <w:r>
        <w:rPr>
          <w:rtl w:val="true"/>
        </w:rPr>
        <w:t>משכך</w:t>
      </w:r>
      <w:r>
        <w:rPr>
          <w:rtl w:val="true"/>
        </w:rPr>
        <w:t xml:space="preserve">, </w:t>
      </w:r>
      <w:r>
        <w:rPr>
          <w:rtl w:val="true"/>
        </w:rPr>
        <w:t xml:space="preserve">לא יכולה להתקיים שותפות פלילית בין המערער לבין מי שדקר את המתלונן </w:t>
      </w:r>
      <w:r>
        <w:rPr/>
        <w:t>1</w:t>
      </w:r>
      <w:r>
        <w:rPr>
          <w:rtl w:val="true"/>
        </w:rPr>
        <w:t xml:space="preserve"> </w:t>
      </w:r>
      <w:r>
        <w:rPr>
          <w:rtl w:val="true"/>
        </w:rPr>
        <w:t>בצווארו</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Fonts w:ascii="Century" w:hAnsi="Century" w:cs="Miriam"/>
          <w:b/>
          <w:b/>
          <w:spacing w:val="0"/>
          <w:sz w:val="22"/>
          <w:sz w:val="22"/>
          <w:szCs w:val="24"/>
          <w:rtl w:val="true"/>
        </w:rPr>
        <w:t>הראש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ascii="Century" w:hAnsi="Century" w:cs="Miriam"/>
          <w:b/>
          <w:b/>
          <w:spacing w:val="0"/>
          <w:sz w:val="22"/>
          <w:sz w:val="22"/>
          <w:szCs w:val="24"/>
          <w:rtl w:val="true"/>
        </w:rPr>
        <w:t>שלישי</w:t>
      </w:r>
      <w:r>
        <w:rPr>
          <w:rFonts w:cs="Century" w:ascii="Century" w:hAnsi="Century"/>
          <w:sz w:val="22"/>
          <w:rtl w:val="true"/>
        </w:rPr>
        <w:t>:</w:t>
      </w:r>
      <w:r>
        <w:rPr>
          <w:rtl w:val="true"/>
        </w:rPr>
        <w:t xml:space="preserve"> </w:t>
      </w:r>
      <w:r>
        <w:rPr>
          <w:rtl w:val="true"/>
        </w:rPr>
        <w:t>המערער טוען כי העובדה שהמשיבה לא הרחיבה את חקירתה באופן שזו תתמקד גם בשני אנשים אחרים</w:t>
      </w:r>
      <w:r>
        <w:rPr>
          <w:rtl w:val="true"/>
        </w:rPr>
        <w:t xml:space="preserve">, </w:t>
      </w:r>
      <w:r>
        <w:rPr>
          <w:rtl w:val="true"/>
        </w:rPr>
        <w:t>אשר זוהו על ידי מספר עדים כמבצעי הדקירות</w:t>
      </w:r>
      <w:r>
        <w:rPr>
          <w:rtl w:val="true"/>
        </w:rPr>
        <w:t xml:space="preserve">, </w:t>
      </w:r>
      <w:r>
        <w:rPr>
          <w:rtl w:val="true"/>
        </w:rPr>
        <w:t>וכתוצאה מכך לא העמידתם לדין</w:t>
      </w:r>
      <w:r>
        <w:rPr>
          <w:rtl w:val="true"/>
        </w:rPr>
        <w:t xml:space="preserve">, </w:t>
      </w:r>
      <w:r>
        <w:rPr>
          <w:rtl w:val="true"/>
        </w:rPr>
        <w:t>מהווה אכיפה בררנית</w:t>
      </w:r>
      <w:r>
        <w:rPr>
          <w:rtl w:val="true"/>
        </w:rPr>
        <w:t xml:space="preserve">. </w:t>
      </w:r>
      <w:r>
        <w:rPr>
          <w:rtl w:val="true"/>
        </w:rPr>
        <w:t>על בסיס טענה זו בדבר אכיפה בררנית</w:t>
      </w:r>
      <w:r>
        <w:rPr>
          <w:rtl w:val="true"/>
        </w:rPr>
        <w:t xml:space="preserve">, </w:t>
      </w:r>
      <w:r>
        <w:rPr>
          <w:rtl w:val="true"/>
        </w:rPr>
        <w:t>מוסיף המערער וטוען כי הינו זכאי ל</w:t>
      </w:r>
      <w:r>
        <w:rPr>
          <w:rtl w:val="true"/>
        </w:rPr>
        <w:t>"</w:t>
      </w:r>
      <w:r>
        <w:rPr>
          <w:rtl w:val="true"/>
        </w:rPr>
        <w:t>הגנה מן הצדק</w:t>
      </w:r>
      <w:r>
        <w:rPr>
          <w:rtl w:val="true"/>
        </w:rPr>
        <w:t xml:space="preserve">" </w:t>
      </w:r>
      <w:r>
        <w:rPr>
          <w:rtl w:val="true"/>
        </w:rPr>
        <w:t>שמכוחה</w:t>
      </w:r>
      <w:r>
        <w:rPr>
          <w:rtl w:val="true"/>
        </w:rPr>
        <w:t xml:space="preserve">, </w:t>
      </w:r>
      <w:r>
        <w:rPr>
          <w:rtl w:val="true"/>
        </w:rPr>
        <w:t>לפי דבריו</w:t>
      </w:r>
      <w:r>
        <w:rPr>
          <w:rtl w:val="true"/>
        </w:rPr>
        <w:t xml:space="preserve">, </w:t>
      </w:r>
      <w:r>
        <w:rPr>
          <w:rtl w:val="true"/>
        </w:rPr>
        <w:t>יש לזכותו</w:t>
      </w:r>
      <w:r>
        <w:rPr>
          <w:rtl w:val="true"/>
        </w:rPr>
        <w:t>.</w:t>
      </w:r>
    </w:p>
    <w:p>
      <w:pPr>
        <w:pStyle w:val="Ruller42"/>
        <w:ind w:end="0"/>
        <w:jc w:val="both"/>
        <w:rPr/>
      </w:pPr>
      <w:r>
        <w:rPr>
          <w:rtl w:val="true"/>
        </w:rPr>
      </w:r>
    </w:p>
    <w:p>
      <w:pPr>
        <w:pStyle w:val="Ruller43"/>
        <w:numPr>
          <w:ilvl w:val="0"/>
          <w:numId w:val="1"/>
        </w:numPr>
        <w:ind w:hanging="0" w:start="0" w:end="0"/>
        <w:jc w:val="both"/>
        <w:rPr/>
      </w:pPr>
      <w:r>
        <w:rPr>
          <w:rFonts w:ascii="Century" w:hAnsi="Century" w:cs="Miriam"/>
          <w:b/>
          <w:b/>
          <w:spacing w:val="0"/>
          <w:szCs w:val="24"/>
          <w:rtl w:val="true"/>
        </w:rPr>
        <w:t>הראש</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Fonts w:cs="Century" w:ascii="Century" w:hAnsi="Century"/>
          <w:sz w:val="22"/>
          <w:rtl w:val="true"/>
        </w:rPr>
        <w:t>:</w:t>
      </w:r>
      <w:r>
        <w:rPr>
          <w:rFonts w:cs="Miriam" w:ascii="Century" w:hAnsi="Century"/>
          <w:b/>
          <w:spacing w:val="0"/>
          <w:szCs w:val="24"/>
          <w:rtl w:val="true"/>
        </w:rPr>
        <w:t xml:space="preserve"> </w:t>
      </w:r>
      <w:r>
        <w:rPr>
          <w:rtl w:val="true"/>
        </w:rPr>
        <w:t>המערער טוען כי שגה בית משפט קמא בגזרו את עונשו בהתעלם מהנסיבות המקלות שלו ושל האירוע</w:t>
      </w:r>
      <w:r>
        <w:rPr>
          <w:rtl w:val="true"/>
        </w:rPr>
        <w:t xml:space="preserve">. </w:t>
      </w:r>
      <w:r>
        <w:rPr>
          <w:rtl w:val="true"/>
        </w:rPr>
        <w:t>לדברי המערער</w:t>
      </w:r>
      <w:r>
        <w:rPr>
          <w:rtl w:val="true"/>
        </w:rPr>
        <w:t xml:space="preserve">, </w:t>
      </w:r>
      <w:r>
        <w:rPr>
          <w:rtl w:val="true"/>
        </w:rPr>
        <w:t>נסיבות אלה כוללות העדר תכנון מוקדם מצדו</w:t>
      </w:r>
      <w:r>
        <w:rPr>
          <w:rtl w:val="true"/>
        </w:rPr>
        <w:t xml:space="preserve">; </w:t>
      </w:r>
      <w:r>
        <w:rPr>
          <w:rtl w:val="true"/>
        </w:rPr>
        <w:t>התגרות מצד המתלוננים</w:t>
      </w:r>
      <w:r>
        <w:rPr>
          <w:rtl w:val="true"/>
        </w:rPr>
        <w:t xml:space="preserve">; </w:t>
      </w:r>
      <w:r>
        <w:rPr>
          <w:rtl w:val="true"/>
        </w:rPr>
        <w:t xml:space="preserve">העובדה שמעשה הדקירה היה בגדר תגובה בלתי מחושבת לתקיפה מצד המתלונן </w:t>
      </w:r>
      <w:r>
        <w:rPr/>
        <w:t>1</w:t>
      </w:r>
      <w:r>
        <w:rPr>
          <w:rtl w:val="true"/>
        </w:rPr>
        <w:t xml:space="preserve">, </w:t>
      </w:r>
      <w:r>
        <w:rPr>
          <w:rtl w:val="true"/>
        </w:rPr>
        <w:t>שפגע בפניו של המערער</w:t>
      </w:r>
      <w:r>
        <w:rPr>
          <w:rtl w:val="true"/>
        </w:rPr>
        <w:t xml:space="preserve">; </w:t>
      </w:r>
      <w:r>
        <w:rPr>
          <w:rtl w:val="true"/>
        </w:rPr>
        <w:t>וכן העובדה שכל העבירות בהן המערער הורשע מהוות אירוע אחד בלבד</w:t>
      </w:r>
      <w:r>
        <w:rPr>
          <w:rtl w:val="true"/>
        </w:rPr>
        <w:t xml:space="preserve">, </w:t>
      </w:r>
      <w:r>
        <w:rPr>
          <w:rtl w:val="true"/>
        </w:rPr>
        <w:t>ולא מדובר ברצף של אירועים פליליים ובעבריינות סדרתית</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המשיבה</w:t>
      </w:r>
      <w:r>
        <w:rPr>
          <w:rtl w:val="true"/>
        </w:rPr>
        <w:t xml:space="preserve">, </w:t>
      </w:r>
      <w:r>
        <w:rPr>
          <w:rtl w:val="true"/>
        </w:rPr>
        <w:t>מנגד</w:t>
      </w:r>
      <w:r>
        <w:rPr>
          <w:rtl w:val="true"/>
        </w:rPr>
        <w:t xml:space="preserve">, </w:t>
      </w:r>
      <w:r>
        <w:rPr>
          <w:rtl w:val="true"/>
        </w:rPr>
        <w:t>ביקשה כי נדחה את הערעור על כל חלקיו</w:t>
      </w:r>
      <w:r>
        <w:rPr>
          <w:rtl w:val="true"/>
        </w:rPr>
        <w:t xml:space="preserve">. </w:t>
      </w:r>
      <w:r>
        <w:rPr>
          <w:rtl w:val="true"/>
        </w:rPr>
        <w:t>המשיבה טוענת כי הערעור מבוסס ברובו על טענות שבאות לתקוף את הממצאים העובדתיים של בית משפט קמא</w:t>
      </w:r>
      <w:r>
        <w:rPr>
          <w:rtl w:val="true"/>
        </w:rPr>
        <w:t xml:space="preserve">, </w:t>
      </w:r>
      <w:r>
        <w:rPr>
          <w:rtl w:val="true"/>
        </w:rPr>
        <w:t>ומסיבה זו הוא נדון לכישלון לנוכח הכלל כי ערכאת הערעור איננה מתערבת בממצאי מהימנות ובממצאים עובדתיים אשר נקבעו על ידי הערכאה הדיונית</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כמו</w:t>
      </w:r>
      <w:r>
        <w:rPr>
          <w:rtl w:val="true"/>
        </w:rPr>
        <w:t>-</w:t>
      </w:r>
      <w:r>
        <w:rPr>
          <w:rtl w:val="true"/>
        </w:rPr>
        <w:t>כן טוענת המשיבה כי בית משפט קמא בחן בקפדנות רבה את מכלול הראיות שהובאו בפניו וקבע באופן חד</w:t>
      </w:r>
      <w:r>
        <w:rPr>
          <w:rtl w:val="true"/>
        </w:rPr>
        <w:t>-</w:t>
      </w:r>
      <w:r>
        <w:rPr>
          <w:rtl w:val="true"/>
        </w:rPr>
        <w:t>משמעי כי המסקנה היחידה שניתן להסיק מהן היא שהמערער הוא הדוקר</w:t>
      </w:r>
      <w:r>
        <w:rPr>
          <w:rtl w:val="true"/>
        </w:rPr>
        <w:t xml:space="preserve">. </w:t>
      </w:r>
      <w:r>
        <w:rPr>
          <w:rtl w:val="true"/>
        </w:rPr>
        <w:t xml:space="preserve">קביעה זו התבססה על עדותו המהימנה של המתלונן </w:t>
      </w:r>
      <w:r>
        <w:rPr/>
        <w:t>2</w:t>
      </w:r>
      <w:r>
        <w:rPr>
          <w:rtl w:val="true"/>
        </w:rPr>
        <w:t xml:space="preserve"> </w:t>
      </w:r>
      <w:r>
        <w:rPr>
          <w:rtl w:val="true"/>
        </w:rPr>
        <w:t>ונתמכה בראיות נוספות אשר כוללות</w:t>
      </w:r>
      <w:r>
        <w:rPr>
          <w:rtl w:val="true"/>
        </w:rPr>
        <w:t xml:space="preserve">, </w:t>
      </w:r>
      <w:r>
        <w:rPr>
          <w:rtl w:val="true"/>
        </w:rPr>
        <w:t xml:space="preserve">בין היתר את הסרטונים שצולמו במצלמות האבטחה של החנות </w:t>
      </w:r>
      <w:r>
        <w:rPr>
          <w:rtl w:val="true"/>
        </w:rPr>
        <w:t>"</w:t>
      </w:r>
      <w:r>
        <w:rPr>
          <w:rtl w:val="true"/>
        </w:rPr>
        <w:t>דיוטי מוטי</w:t>
      </w:r>
      <w:r>
        <w:rPr>
          <w:rtl w:val="true"/>
        </w:rPr>
        <w:t xml:space="preserve">" </w:t>
      </w:r>
      <w:r>
        <w:rPr>
          <w:rtl w:val="true"/>
        </w:rPr>
        <w:t>ואת דו</w:t>
      </w:r>
      <w:r>
        <w:rPr>
          <w:rtl w:val="true"/>
        </w:rPr>
        <w:t>"</w:t>
      </w:r>
      <w:r>
        <w:rPr>
          <w:rtl w:val="true"/>
        </w:rPr>
        <w:t xml:space="preserve">חות השוטרים אשר צפו בסרטונים אלה ואשר זיהו את האנשים שנראים באירוע הדקירה כאותם אנשים שנצפו כמי שנכנסו לחנות </w:t>
      </w:r>
      <w:r>
        <w:rPr>
          <w:rtl w:val="true"/>
        </w:rPr>
        <w:t>"</w:t>
      </w:r>
      <w:r>
        <w:rPr>
          <w:rtl w:val="true"/>
        </w:rPr>
        <w:t>דיוטי מוטי</w:t>
      </w:r>
      <w:r>
        <w:rPr>
          <w:rtl w:val="true"/>
        </w:rPr>
        <w:t xml:space="preserve">" </w:t>
      </w:r>
      <w:r>
        <w:rPr>
          <w:rtl w:val="true"/>
        </w:rPr>
        <w:t>ואחר כך יצאו ממנה</w:t>
      </w:r>
      <w:r>
        <w:rPr>
          <w:rtl w:val="true"/>
        </w:rPr>
        <w:t xml:space="preserve">. </w:t>
      </w:r>
      <w:r>
        <w:rPr>
          <w:rtl w:val="true"/>
        </w:rPr>
        <w:t>בנוסף טוענת המשיבה כי שקרי המערער בנוגע למקום הימצאותו בזמן האירוע ובנוגע לטלפון הנייד שלו</w:t>
      </w:r>
      <w:r>
        <w:rPr>
          <w:rtl w:val="true"/>
        </w:rPr>
        <w:t xml:space="preserve">, </w:t>
      </w:r>
      <w:r>
        <w:rPr>
          <w:rtl w:val="true"/>
        </w:rPr>
        <w:t>כמו גם גרסאותיו השונות</w:t>
      </w:r>
      <w:r>
        <w:rPr>
          <w:rtl w:val="true"/>
        </w:rPr>
        <w:t xml:space="preserve">, </w:t>
      </w:r>
      <w:r>
        <w:rPr>
          <w:rtl w:val="true"/>
        </w:rPr>
        <w:t>אשר נמצאו רוויות סתירות</w:t>
      </w:r>
      <w:r>
        <w:rPr>
          <w:rtl w:val="true"/>
        </w:rPr>
        <w:t xml:space="preserve">, </w:t>
      </w:r>
      <w:r>
        <w:rPr>
          <w:rtl w:val="true"/>
        </w:rPr>
        <w:t>מחזקים את ראיות הזיהוי</w:t>
      </w:r>
      <w:r>
        <w:rPr>
          <w:rtl w:val="true"/>
        </w:rPr>
        <w:t xml:space="preserve">, </w:t>
      </w:r>
      <w:r>
        <w:rPr>
          <w:rtl w:val="true"/>
        </w:rPr>
        <w:t>ככל שחיזוק זה נחוץ</w:t>
      </w:r>
      <w:r>
        <w:rPr>
          <w:rtl w:val="true"/>
        </w:rPr>
        <w:t xml:space="preserve">. </w:t>
      </w:r>
      <w:r>
        <w:rPr>
          <w:rtl w:val="true"/>
        </w:rPr>
        <w:t>לדברי המשיבה</w:t>
      </w:r>
      <w:r>
        <w:rPr>
          <w:rtl w:val="true"/>
        </w:rPr>
        <w:t xml:space="preserve">, </w:t>
      </w:r>
      <w:r>
        <w:rPr>
          <w:rtl w:val="true"/>
        </w:rPr>
        <w:t>מדובר בשקרים ובגרסאות שנועדו להרחיק את המערער מהריב עם המתלוננים</w:t>
      </w:r>
      <w:r>
        <w:rPr>
          <w:rtl w:val="true"/>
        </w:rPr>
        <w:t xml:space="preserve">, </w:t>
      </w:r>
      <w:r>
        <w:rPr>
          <w:rtl w:val="true"/>
        </w:rPr>
        <w:t>ממעשה הדקירה</w:t>
      </w:r>
      <w:r>
        <w:rPr>
          <w:rtl w:val="true"/>
        </w:rPr>
        <w:t xml:space="preserve">, </w:t>
      </w:r>
      <w:r>
        <w:rPr>
          <w:rtl w:val="true"/>
        </w:rPr>
        <w:t>וממקום האירוע</w:t>
      </w:r>
      <w:r>
        <w:rPr>
          <w:rtl w:val="true"/>
        </w:rPr>
        <w:t xml:space="preserve">; </w:t>
      </w:r>
      <w:r>
        <w:rPr>
          <w:rtl w:val="true"/>
        </w:rPr>
        <w:t>ולפיכך</w:t>
      </w:r>
      <w:r>
        <w:rPr>
          <w:rtl w:val="true"/>
        </w:rPr>
        <w:t xml:space="preserve">, </w:t>
      </w:r>
      <w:r>
        <w:rPr>
          <w:rtl w:val="true"/>
        </w:rPr>
        <w:t>הם מעידים על תודעת האשמה של המערער</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בנוגע לדקירה בצווארו של המתלונן </w:t>
      </w:r>
      <w:r>
        <w:rPr/>
        <w:t>1</w:t>
      </w:r>
      <w:r>
        <w:rPr>
          <w:rtl w:val="true"/>
        </w:rPr>
        <w:t xml:space="preserve">, </w:t>
      </w:r>
      <w:r>
        <w:rPr>
          <w:rtl w:val="true"/>
        </w:rPr>
        <w:t xml:space="preserve">טוענת המשיבה כי מצלמות האבטחה מראות שהמערער תוקף את המתלונן </w:t>
      </w:r>
      <w:r>
        <w:rPr/>
        <w:t>1</w:t>
      </w:r>
      <w:r>
        <w:rPr>
          <w:rtl w:val="true"/>
        </w:rPr>
        <w:t xml:space="preserve"> </w:t>
      </w:r>
      <w:r>
        <w:rPr>
          <w:rtl w:val="true"/>
        </w:rPr>
        <w:t>יחד עם אדם נוסף</w:t>
      </w:r>
      <w:r>
        <w:rPr>
          <w:rtl w:val="true"/>
        </w:rPr>
        <w:t xml:space="preserve">. </w:t>
      </w:r>
      <w:r>
        <w:rPr>
          <w:rtl w:val="true"/>
        </w:rPr>
        <w:t>לטענת המשיבה</w:t>
      </w:r>
      <w:r>
        <w:rPr>
          <w:rtl w:val="true"/>
        </w:rPr>
        <w:t xml:space="preserve">, </w:t>
      </w:r>
      <w:r>
        <w:rPr>
          <w:rtl w:val="true"/>
        </w:rPr>
        <w:t xml:space="preserve">תיעוד ישיר זה של מעשי הדקירה מטיל על המערער את הנטל לשכנענו כי ההנחה של ניסיון החיים </w:t>
      </w:r>
      <w:r>
        <w:rPr>
          <w:rtl w:val="true"/>
        </w:rPr>
        <w:t>"</w:t>
      </w:r>
      <w:r>
        <w:rPr>
          <w:rtl w:val="true"/>
        </w:rPr>
        <w:t>הילכו שניהם יחדיו בלתי אם נועדו</w:t>
      </w:r>
      <w:r>
        <w:rPr>
          <w:rtl w:val="true"/>
        </w:rPr>
        <w:t>" (</w:t>
      </w:r>
      <w:r>
        <w:rPr>
          <w:rtl w:val="true"/>
        </w:rPr>
        <w:t>עמוס ג</w:t>
      </w:r>
      <w:r>
        <w:rPr>
          <w:rtl w:val="true"/>
        </w:rPr>
        <w:t xml:space="preserve">, </w:t>
      </w:r>
      <w:r>
        <w:rPr>
          <w:rtl w:val="true"/>
        </w:rPr>
        <w:t>ג</w:t>
      </w:r>
      <w:r>
        <w:rPr>
          <w:rtl w:val="true"/>
        </w:rPr>
        <w:t>)</w:t>
      </w:r>
      <w:r>
        <w:rPr>
          <w:color w:val="FF0000"/>
          <w:rtl w:val="true"/>
        </w:rPr>
        <w:t xml:space="preserve"> </w:t>
      </w:r>
      <w:r>
        <w:rPr>
          <w:rtl w:val="true"/>
        </w:rPr>
        <w:t>איננה חלה בעניינו</w:t>
      </w:r>
      <w:r>
        <w:rPr>
          <w:rtl w:val="true"/>
        </w:rPr>
        <w:t xml:space="preserve">. </w:t>
      </w:r>
      <w:r>
        <w:rPr>
          <w:rtl w:val="true"/>
        </w:rPr>
        <w:t>המשיבה מבהירה וטוענת בהקשר זה</w:t>
      </w:r>
      <w:r>
        <w:rPr>
          <w:rtl w:val="true"/>
        </w:rPr>
        <w:t xml:space="preserve">, </w:t>
      </w:r>
      <w:r>
        <w:rPr>
          <w:rtl w:val="true"/>
        </w:rPr>
        <w:t xml:space="preserve">כי לפי עמדתה כל שלוש הדקירות </w:t>
      </w:r>
      <w:r>
        <w:rPr>
          <w:rtl w:val="true"/>
        </w:rPr>
        <w:t>–</w:t>
      </w:r>
      <w:r>
        <w:rPr>
          <w:rtl w:val="true"/>
        </w:rPr>
        <w:t xml:space="preserve"> בבטנו</w:t>
      </w:r>
      <w:r>
        <w:rPr>
          <w:rtl w:val="true"/>
        </w:rPr>
        <w:t xml:space="preserve">, </w:t>
      </w:r>
      <w:r>
        <w:rPr>
          <w:rtl w:val="true"/>
        </w:rPr>
        <w:t xml:space="preserve">במותנו ובצווארו של המתלונן </w:t>
      </w:r>
      <w:r>
        <w:rPr/>
        <w:t>1</w:t>
      </w:r>
      <w:r>
        <w:rPr>
          <w:rtl w:val="true"/>
        </w:rPr>
        <w:t xml:space="preserve"> </w:t>
      </w:r>
      <w:r>
        <w:rPr>
          <w:rtl w:val="true"/>
        </w:rPr>
        <w:t>–</w:t>
      </w:r>
      <w:r>
        <w:rPr>
          <w:rtl w:val="true"/>
        </w:rPr>
        <w:t xml:space="preserve"> </w:t>
      </w:r>
      <w:r>
        <w:rPr>
          <w:rtl w:val="true"/>
        </w:rPr>
        <w:t>בוצעו על ידי המערער</w:t>
      </w:r>
      <w:r>
        <w:rPr>
          <w:rtl w:val="true"/>
        </w:rPr>
        <w:t xml:space="preserve">, </w:t>
      </w:r>
      <w:r>
        <w:rPr>
          <w:rtl w:val="true"/>
        </w:rPr>
        <w:t xml:space="preserve">ואילו התוקף האחר חבט בגבו של המתלונן </w:t>
      </w:r>
      <w:r>
        <w:rPr/>
        <w:t>1</w:t>
      </w:r>
      <w:r>
        <w:rPr>
          <w:rtl w:val="true"/>
        </w:rPr>
        <w:t xml:space="preserve"> </w:t>
      </w:r>
      <w:r>
        <w:rPr>
          <w:rtl w:val="true"/>
        </w:rPr>
        <w:t>באגרופו וללא סכין</w:t>
      </w:r>
      <w:r>
        <w:rPr>
          <w:rtl w:val="true"/>
        </w:rPr>
        <w:t xml:space="preserve">. </w:t>
      </w:r>
      <w:r>
        <w:rPr>
          <w:rtl w:val="true"/>
        </w:rPr>
        <w:t>טענת השותפות לדקירה בצוואר מועלית על ידי המשיבה אך ורק כטענה חלופית בשל הספק שהתעורר ביחס לזהותו של מי שביצע את אותה דקירה</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לדברי המשיבה</w:t>
      </w:r>
      <w:r>
        <w:rPr>
          <w:rtl w:val="true"/>
        </w:rPr>
        <w:t xml:space="preserve">, </w:t>
      </w:r>
      <w:r>
        <w:rPr>
          <w:rtl w:val="true"/>
        </w:rPr>
        <w:t>זיהויו הוודאי של המערער כדוקר גם מסביר את החלטתה שלא לחקור בעניינם של חשודים נוספים</w:t>
      </w:r>
      <w:r>
        <w:rPr>
          <w:rtl w:val="true"/>
        </w:rPr>
        <w:t xml:space="preserve">. </w:t>
      </w:r>
      <w:r>
        <w:rPr>
          <w:rtl w:val="true"/>
        </w:rPr>
        <w:t>הסבר זה שולל את טענת המערער בדבר אכיפה בררנית והופך את טענת ה</w:t>
      </w:r>
      <w:r>
        <w:rPr>
          <w:rtl w:val="true"/>
        </w:rPr>
        <w:t>"</w:t>
      </w:r>
      <w:r>
        <w:rPr>
          <w:rtl w:val="true"/>
        </w:rPr>
        <w:t>הגנה מן הצדק</w:t>
      </w:r>
      <w:r>
        <w:rPr>
          <w:rtl w:val="true"/>
        </w:rPr>
        <w:t xml:space="preserve">" </w:t>
      </w:r>
      <w:r>
        <w:rPr>
          <w:rtl w:val="true"/>
        </w:rPr>
        <w:t>הנישאת בפיו לחסרת בסיס</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Fonts w:ascii="Century" w:hAnsi="Century" w:cs="Century"/>
          <w:sz w:val="22"/>
          <w:sz w:val="22"/>
          <w:rtl w:val="true"/>
        </w:rPr>
        <w:t>לבסוף</w:t>
      </w:r>
      <w:r>
        <w:rPr>
          <w:rFonts w:cs="Century" w:ascii="Century" w:hAnsi="Century"/>
          <w:sz w:val="22"/>
          <w:rtl w:val="true"/>
        </w:rPr>
        <w:t>,</w:t>
      </w:r>
      <w:r>
        <w:rPr>
          <w:rtl w:val="true"/>
        </w:rPr>
        <w:t xml:space="preserve"> </w:t>
      </w:r>
      <w:r>
        <w:rPr>
          <w:rtl w:val="true"/>
        </w:rPr>
        <w:t>טוענת המשיבה</w:t>
      </w:r>
      <w:r>
        <w:rPr>
          <w:rtl w:val="true"/>
        </w:rPr>
        <w:t xml:space="preserve">, </w:t>
      </w:r>
      <w:r>
        <w:rPr>
          <w:rtl w:val="true"/>
        </w:rPr>
        <w:t>כי בית משפט קמא השית על המערער עונש ראוי אשר משקף את החומרה היתרה שבמעשיו האלימים</w:t>
      </w:r>
      <w:r>
        <w:rPr>
          <w:rtl w:val="true"/>
        </w:rPr>
        <w:t xml:space="preserve">. </w:t>
      </w:r>
      <w:r>
        <w:rPr>
          <w:rtl w:val="true"/>
        </w:rPr>
        <w:t>המשיבה מבקשת אפוא שלא נתערב בעונש זה</w:t>
      </w:r>
      <w:r>
        <w:rPr>
          <w:rtl w:val="true"/>
        </w:rPr>
        <w:t>.</w:t>
      </w:r>
    </w:p>
    <w:p>
      <w:pPr>
        <w:pStyle w:val="Ruller42"/>
        <w:ind w:end="0"/>
        <w:jc w:val="both"/>
        <w:rPr/>
      </w:pPr>
      <w:r>
        <w:rPr>
          <w:rtl w:val="true"/>
        </w:rPr>
      </w:r>
    </w:p>
    <w:p>
      <w:pPr>
        <w:pStyle w:val="Normal"/>
        <w:spacing w:before="0" w:after="0"/>
        <w:ind w:end="0"/>
        <w:contextualSpacing/>
        <w:jc w:val="both"/>
        <w:rPr>
          <w:rFonts w:cs="Miriam"/>
          <w:b/>
          <w:sz w:val="22"/>
        </w:rPr>
      </w:pPr>
      <w:r>
        <w:rPr>
          <w:rFonts w:cs="Miriam"/>
          <w:b/>
          <w:b/>
          <w:sz w:val="22"/>
          <w:sz w:val="22"/>
          <w:rtl w:val="true"/>
        </w:rPr>
        <w:t>דיון</w:t>
      </w:r>
      <w:r>
        <w:rPr>
          <w:rFonts w:cs="Times New Roman;Times New Roman"/>
          <w:b/>
          <w:b/>
          <w:sz w:val="22"/>
          <w:sz w:val="22"/>
          <w:rtl w:val="true"/>
        </w:rPr>
        <w:t xml:space="preserve"> </w:t>
      </w:r>
      <w:r>
        <w:rPr>
          <w:rFonts w:cs="Miriam"/>
          <w:b/>
          <w:b/>
          <w:sz w:val="22"/>
          <w:sz w:val="22"/>
          <w:rtl w:val="true"/>
        </w:rPr>
        <w:t>והכרעה</w:t>
      </w:r>
    </w:p>
    <w:p>
      <w:pPr>
        <w:pStyle w:val="Normal"/>
        <w:spacing w:before="0" w:after="0"/>
        <w:ind w:end="0"/>
        <w:contextualSpacing/>
        <w:jc w:val="both"/>
        <w:rPr>
          <w:rFonts w:ascii="Calibri" w:hAnsi="Calibri" w:cs="Miriam"/>
          <w:b/>
          <w:sz w:val="22"/>
        </w:rPr>
      </w:pPr>
      <w:r>
        <w:rPr>
          <w:rFonts w:cs="Miriam" w:ascii="Calibri" w:hAnsi="Calibri"/>
          <w:b/>
          <w:sz w:val="22"/>
          <w:rtl w:val="true"/>
        </w:rPr>
      </w:r>
    </w:p>
    <w:p>
      <w:pPr>
        <w:pStyle w:val="Normal"/>
        <w:spacing w:before="0" w:after="0"/>
        <w:ind w:end="0"/>
        <w:contextualSpacing/>
        <w:jc w:val="both"/>
        <w:rPr>
          <w:rFonts w:ascii="Calibri" w:hAnsi="Calibri" w:cs="Miriam"/>
        </w:rPr>
      </w:pPr>
      <w:r>
        <w:rPr>
          <w:rFonts w:cs="Miriam" w:ascii="Calibri" w:hAnsi="Calibri"/>
          <w:rtl w:val="true"/>
        </w:rPr>
      </w:r>
    </w:p>
    <w:p>
      <w:pPr>
        <w:pStyle w:val="Ruller43"/>
        <w:numPr>
          <w:ilvl w:val="0"/>
          <w:numId w:val="1"/>
        </w:numPr>
        <w:ind w:hanging="0" w:start="0" w:end="0"/>
        <w:jc w:val="both"/>
        <w:rPr/>
      </w:pPr>
      <w:r>
        <w:rPr>
          <w:rtl w:val="true"/>
        </w:rPr>
        <w:t>סבורני כי דין הערעור להידחות על כל חלקיו</w:t>
      </w:r>
      <w:r>
        <w:rPr>
          <w:rtl w:val="true"/>
        </w:rPr>
        <w:t xml:space="preserve">, </w:t>
      </w:r>
      <w:r>
        <w:rPr>
          <w:rtl w:val="true"/>
        </w:rPr>
        <w:t>ואלה הם טעמיי</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הדקירות</w:t>
      </w:r>
      <w:r>
        <w:rPr>
          <w:rFonts w:ascii="Century" w:hAnsi="Century" w:eastAsia="Century" w:cs="Century"/>
          <w:b/>
          <w:b/>
          <w:spacing w:val="0"/>
          <w:szCs w:val="24"/>
          <w:rtl w:val="true"/>
        </w:rPr>
        <w:t xml:space="preserve"> </w:t>
      </w:r>
      <w:r>
        <w:rPr>
          <w:rFonts w:ascii="Century" w:hAnsi="Century" w:cs="Miriam"/>
          <w:b/>
          <w:b/>
          <w:spacing w:val="0"/>
          <w:szCs w:val="24"/>
          <w:rtl w:val="true"/>
        </w:rPr>
        <w:t>באזור</w:t>
      </w:r>
      <w:r>
        <w:rPr>
          <w:rFonts w:ascii="Century" w:hAnsi="Century" w:eastAsia="Century" w:cs="Century"/>
          <w:b/>
          <w:b/>
          <w:spacing w:val="0"/>
          <w:szCs w:val="24"/>
          <w:rtl w:val="true"/>
        </w:rPr>
        <w:t xml:space="preserve"> </w:t>
      </w:r>
      <w:r>
        <w:rPr>
          <w:rFonts w:ascii="Century" w:hAnsi="Century" w:cs="Miriam"/>
          <w:b/>
          <w:b/>
          <w:spacing w:val="0"/>
          <w:szCs w:val="24"/>
          <w:rtl w:val="true"/>
        </w:rPr>
        <w:t>הבטן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 xml:space="preserve">בית משפט קמא ביסס את הרשעת המערער בגין דקירת המתלונן </w:t>
      </w:r>
      <w:r>
        <w:rPr/>
        <w:t>1</w:t>
      </w:r>
      <w:r>
        <w:rPr>
          <w:rtl w:val="true"/>
        </w:rPr>
        <w:t xml:space="preserve"> </w:t>
      </w:r>
      <w:r>
        <w:rPr>
          <w:rtl w:val="true"/>
        </w:rPr>
        <w:t>בבטנו ובמותנו על מגוון רחב של ראיות</w:t>
      </w:r>
      <w:r>
        <w:rPr>
          <w:rtl w:val="true"/>
        </w:rPr>
        <w:t xml:space="preserve">, </w:t>
      </w:r>
      <w:r>
        <w:rPr>
          <w:rtl w:val="true"/>
        </w:rPr>
        <w:t xml:space="preserve">אשר כללו את עדותו הישירה של המתלונן </w:t>
      </w:r>
      <w:r>
        <w:rPr/>
        <w:t>2</w:t>
      </w:r>
      <w:r>
        <w:rPr>
          <w:rtl w:val="true"/>
        </w:rPr>
        <w:t xml:space="preserve">, </w:t>
      </w:r>
      <w:r>
        <w:rPr>
          <w:rtl w:val="true"/>
        </w:rPr>
        <w:t>שכאמור זיהה את המערער כמי שדקר את אביו</w:t>
      </w:r>
      <w:r>
        <w:rPr>
          <w:rtl w:val="true"/>
        </w:rPr>
        <w:t xml:space="preserve">, </w:t>
      </w:r>
      <w:r>
        <w:rPr>
          <w:rtl w:val="true"/>
        </w:rPr>
        <w:t>והחיזוקים השונים לאותה עדות</w:t>
      </w:r>
      <w:r>
        <w:rPr>
          <w:rtl w:val="true"/>
        </w:rPr>
        <w:t xml:space="preserve">. </w:t>
      </w:r>
      <w:r>
        <w:rPr>
          <w:rtl w:val="true"/>
        </w:rPr>
        <w:t>בית המשפט גם לא האמין למערער</w:t>
      </w:r>
      <w:r>
        <w:rPr>
          <w:rtl w:val="true"/>
        </w:rPr>
        <w:t xml:space="preserve">, </w:t>
      </w:r>
      <w:r>
        <w:rPr>
          <w:rtl w:val="true"/>
        </w:rPr>
        <w:t>שכאמור שינה את גרסתו מספר פעמים הן במשטרה והן בבית המשפט</w:t>
      </w:r>
      <w:r>
        <w:rPr>
          <w:rtl w:val="true"/>
        </w:rPr>
        <w:t xml:space="preserve">. </w:t>
      </w:r>
      <w:r>
        <w:rPr>
          <w:rtl w:val="true"/>
        </w:rPr>
        <w:t>בית המשפט קבע כי עדות המערער איננה אמינה בשל הסתירות הפנימיות שנמצאו בה בכל הקשור להימצאותו בטיילת בזמן האירוע</w:t>
      </w:r>
      <w:r>
        <w:rPr>
          <w:rtl w:val="true"/>
        </w:rPr>
        <w:t xml:space="preserve">. </w:t>
      </w:r>
      <w:r>
        <w:rPr>
          <w:rtl w:val="true"/>
        </w:rPr>
        <w:t>בעניין הזה טען המערער לסירוגין</w:t>
      </w:r>
      <w:r>
        <w:rPr>
          <w:rtl w:val="true"/>
        </w:rPr>
        <w:t xml:space="preserve">, </w:t>
      </w:r>
      <w:r>
        <w:rPr>
          <w:rtl w:val="true"/>
        </w:rPr>
        <w:t>בחקירתו במשטרה ובעדותו במשפט</w:t>
      </w:r>
      <w:r>
        <w:rPr>
          <w:rtl w:val="true"/>
        </w:rPr>
        <w:t xml:space="preserve">, </w:t>
      </w:r>
      <w:r>
        <w:rPr>
          <w:rtl w:val="true"/>
        </w:rPr>
        <w:t>כי נכח בטיילת וכי לא נכח שם</w:t>
      </w:r>
      <w:r>
        <w:rPr>
          <w:rtl w:val="true"/>
        </w:rPr>
        <w:t xml:space="preserve">. </w:t>
      </w:r>
      <w:r>
        <w:rPr>
          <w:rtl w:val="true"/>
        </w:rPr>
        <w:t>כמו</w:t>
      </w:r>
      <w:r>
        <w:rPr>
          <w:rtl w:val="true"/>
        </w:rPr>
        <w:t>-</w:t>
      </w:r>
      <w:r>
        <w:rPr>
          <w:rtl w:val="true"/>
        </w:rPr>
        <w:t>כן מסר המערער</w:t>
      </w:r>
      <w:r>
        <w:rPr>
          <w:rtl w:val="true"/>
        </w:rPr>
        <w:t xml:space="preserve">, </w:t>
      </w:r>
      <w:r>
        <w:rPr>
          <w:rtl w:val="true"/>
        </w:rPr>
        <w:t>בחקירתו ובעדותו</w:t>
      </w:r>
      <w:r>
        <w:rPr>
          <w:rtl w:val="true"/>
        </w:rPr>
        <w:t xml:space="preserve">, </w:t>
      </w:r>
      <w:r>
        <w:rPr>
          <w:rtl w:val="true"/>
        </w:rPr>
        <w:t>גרסת חפות שאחד מפרטיה המהותיים הופרך על ידי ראיה אובייקטיבית</w:t>
      </w:r>
      <w:r>
        <w:rPr>
          <w:rtl w:val="true"/>
        </w:rPr>
        <w:t xml:space="preserve">. </w:t>
      </w:r>
      <w:r>
        <w:rPr>
          <w:rtl w:val="true"/>
        </w:rPr>
        <w:t>איכון מכשיר הטלפון הנייד של המערער זיהה אותו כמי שהיה במקום האירוע בטיילת בזמן הדקירה</w:t>
      </w:r>
      <w:r>
        <w:rPr>
          <w:rtl w:val="true"/>
        </w:rPr>
        <w:t xml:space="preserve">, </w:t>
      </w:r>
      <w:r>
        <w:rPr>
          <w:rtl w:val="true"/>
        </w:rPr>
        <w:t>והמערער ניסה לתרץ זאת בטענה כי המכשיר אבד לו ולא היה עמו</w:t>
      </w:r>
      <w:r>
        <w:rPr>
          <w:rtl w:val="true"/>
        </w:rPr>
        <w:t xml:space="preserve">. </w:t>
      </w:r>
      <w:r>
        <w:rPr>
          <w:rtl w:val="true"/>
        </w:rPr>
        <w:t>דא עקא</w:t>
      </w:r>
      <w:r>
        <w:rPr>
          <w:rtl w:val="true"/>
        </w:rPr>
        <w:t xml:space="preserve">, </w:t>
      </w:r>
      <w:r>
        <w:rPr>
          <w:rtl w:val="true"/>
        </w:rPr>
        <w:t>המערער נראה מצולם במצלמות האבטחה של בית החולים יוספטל</w:t>
      </w:r>
      <w:r>
        <w:rPr>
          <w:rtl w:val="true"/>
        </w:rPr>
        <w:t xml:space="preserve">, </w:t>
      </w:r>
      <w:r>
        <w:rPr>
          <w:rtl w:val="true"/>
        </w:rPr>
        <w:t>בו ביקר באותו יום ממש</w:t>
      </w:r>
      <w:r>
        <w:rPr>
          <w:rtl w:val="true"/>
        </w:rPr>
        <w:t xml:space="preserve">, </w:t>
      </w:r>
      <w:r>
        <w:rPr>
          <w:rtl w:val="true"/>
        </w:rPr>
        <w:t>כאשר הוא מוציא טלפון נייד מכיסו</w:t>
      </w:r>
      <w:r>
        <w:rPr>
          <w:rtl w:val="true"/>
        </w:rPr>
        <w:t xml:space="preserve">. </w:t>
      </w:r>
      <w:r>
        <w:rPr>
          <w:rtl w:val="true"/>
        </w:rPr>
        <w:t>באחת מהודעותיו במשטרה</w:t>
      </w:r>
      <w:r>
        <w:rPr>
          <w:rtl w:val="true"/>
        </w:rPr>
        <w:t xml:space="preserve">, </w:t>
      </w:r>
      <w:r>
        <w:rPr>
          <w:rtl w:val="true"/>
        </w:rPr>
        <w:t>המערער ניסה לתרץ ממצא זה באומרו כי היה זה מכשיר של חבר</w:t>
      </w:r>
      <w:r>
        <w:rPr>
          <w:rtl w:val="true"/>
        </w:rPr>
        <w:t xml:space="preserve">, </w:t>
      </w:r>
      <w:r>
        <w:rPr>
          <w:rtl w:val="true"/>
        </w:rPr>
        <w:t>ולא שלו</w:t>
      </w:r>
      <w:r>
        <w:rPr>
          <w:rtl w:val="true"/>
        </w:rPr>
        <w:t xml:space="preserve">, </w:t>
      </w:r>
      <w:r>
        <w:rPr>
          <w:rtl w:val="true"/>
        </w:rPr>
        <w:t>אולם בעדותו בבית המשפט טען כי אינו זוכר למי שייך הטלפון שהוציא מכיסו</w:t>
      </w:r>
      <w:r>
        <w:rPr>
          <w:rtl w:val="true"/>
        </w:rPr>
        <w:t xml:space="preserve">. </w:t>
      </w:r>
      <w:r>
        <w:rPr>
          <w:rtl w:val="true"/>
        </w:rPr>
        <w:t xml:space="preserve">אין תמה אפוא שבית המשפט דחה תירוצים אלה בשתי ידיים וקבע כי </w:t>
      </w:r>
      <w:r>
        <w:rPr>
          <w:rtl w:val="true"/>
        </w:rPr>
        <w:t>הם</w:t>
      </w:r>
      <w:r>
        <w:rPr>
          <w:rtl w:val="true"/>
        </w:rPr>
        <w:t xml:space="preserve"> </w:t>
      </w:r>
      <w:r>
        <w:rPr>
          <w:rtl w:val="true"/>
        </w:rPr>
        <w:t>שקריים</w:t>
      </w:r>
      <w:r>
        <w:rPr>
          <w:rtl w:val="true"/>
        </w:rPr>
        <w:t xml:space="preserve">. </w:t>
      </w:r>
    </w:p>
    <w:p>
      <w:pPr>
        <w:pStyle w:val="Ruller43"/>
        <w:numPr>
          <w:ilvl w:val="0"/>
          <w:numId w:val="0"/>
        </w:numPr>
        <w:ind w:hanging="0" w:start="0" w:end="0"/>
        <w:jc w:val="both"/>
        <w:rPr>
          <w:rFonts w:eastAsia="Garamond"/>
        </w:rPr>
      </w:pPr>
      <w:r>
        <w:rPr>
          <w:rFonts w:eastAsia="Garamond"/>
          <w:rtl w:val="true"/>
        </w:rPr>
        <w:t xml:space="preserve"> </w:t>
      </w:r>
    </w:p>
    <w:p>
      <w:pPr>
        <w:pStyle w:val="Ruller43"/>
        <w:numPr>
          <w:ilvl w:val="0"/>
          <w:numId w:val="1"/>
        </w:numPr>
        <w:ind w:hanging="0" w:start="0" w:end="0"/>
        <w:jc w:val="both"/>
        <w:rPr/>
      </w:pPr>
      <w:r>
        <w:rPr>
          <w:rtl w:val="true"/>
        </w:rPr>
        <w:t>בהקשר זה חשוב להדגיש כי בית משפט קמא לא ביסס את הרשעת המערער על שקריו ולא מילא חורים בתשתית הראייתית באמצעות שקרים אלו</w:t>
      </w:r>
      <w:r>
        <w:rPr>
          <w:rtl w:val="true"/>
        </w:rPr>
        <w:t xml:space="preserve">, </w:t>
      </w:r>
      <w:r>
        <w:rPr>
          <w:rtl w:val="true"/>
        </w:rPr>
        <w:t>אלא התייחס אליהם כאל חיזוק בלבד</w:t>
      </w:r>
      <w:r>
        <w:rPr>
          <w:rtl w:val="true"/>
        </w:rPr>
        <w:t xml:space="preserve">, </w:t>
      </w:r>
      <w:r>
        <w:rPr>
          <w:rtl w:val="true"/>
        </w:rPr>
        <w:t xml:space="preserve">כפי שהוא מצווה על פי דיני הראיות </w:t>
      </w:r>
      <w:r>
        <w:rPr>
          <w:rtl w:val="true"/>
        </w:rPr>
        <w:t>(</w:t>
      </w:r>
      <w:r>
        <w:rPr>
          <w:rtl w:val="true"/>
        </w:rPr>
        <w:t xml:space="preserve">ראו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8808/14</w:t>
        </w:r>
      </w:hyperlink>
      <w:r>
        <w:rPr>
          <w:rtl w:val="true"/>
        </w:rPr>
        <w:t xml:space="preserve"> </w:t>
      </w:r>
      <w:r>
        <w:rPr>
          <w:rFonts w:ascii="Century" w:hAnsi="Century" w:cs="Miriam"/>
          <w:b/>
          <w:b/>
          <w:spacing w:val="0"/>
          <w:szCs w:val="24"/>
          <w:rtl w:val="true"/>
        </w:rPr>
        <w:t>פחימה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10.1.2017</w:t>
      </w:r>
      <w:r>
        <w:rPr>
          <w:rtl w:val="true"/>
        </w:rPr>
        <w:t xml:space="preserve">); </w:t>
      </w:r>
      <w:hyperlink r:id="rId20">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3151/08</w:t>
        </w:r>
      </w:hyperlink>
      <w:r>
        <w:rPr>
          <w:rtl w:val="true"/>
        </w:rPr>
        <w:t xml:space="preserve"> </w:t>
      </w:r>
      <w:r>
        <w:rPr>
          <w:rFonts w:cs="Miriam"/>
          <w:szCs w:val="24"/>
          <w:rtl w:val="true"/>
        </w:rPr>
        <w:t>דוידוב</w:t>
      </w:r>
      <w:r>
        <w:rPr>
          <w:rFonts w:eastAsia="Garamond"/>
          <w:szCs w:val="24"/>
          <w:rtl w:val="true"/>
        </w:rPr>
        <w:t xml:space="preserve"> </w:t>
      </w:r>
      <w:r>
        <w:rPr>
          <w:rFonts w:cs="Miriam"/>
          <w:szCs w:val="24"/>
          <w:rtl w:val="true"/>
        </w:rPr>
        <w:t>נ</w:t>
      </w:r>
      <w:r>
        <w:rPr>
          <w:rFonts w:cs="Miriam"/>
          <w:szCs w:val="24"/>
          <w:rtl w:val="true"/>
        </w:rPr>
        <w:t xml:space="preserve">' </w:t>
      </w:r>
      <w:r>
        <w:rPr>
          <w:rFonts w:cs="Miriam"/>
          <w:szCs w:val="24"/>
          <w:rtl w:val="true"/>
        </w:rPr>
        <w:t>מדינת</w:t>
      </w:r>
      <w:r>
        <w:rPr>
          <w:rFonts w:eastAsia="Garamond"/>
          <w:szCs w:val="24"/>
          <w:rtl w:val="true"/>
        </w:rPr>
        <w:t xml:space="preserve"> </w:t>
      </w:r>
      <w:r>
        <w:rPr>
          <w:rFonts w:cs="Miriam"/>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16</w:t>
      </w:r>
      <w:r>
        <w:rPr>
          <w:rtl w:val="true"/>
        </w:rPr>
        <w:t xml:space="preserve"> </w:t>
      </w:r>
      <w:r>
        <w:rPr>
          <w:rtl w:val="true"/>
        </w:rPr>
        <w:t xml:space="preserve">והאסמכתאות המובאות שם </w:t>
      </w:r>
      <w:r>
        <w:rPr>
          <w:rtl w:val="true"/>
        </w:rPr>
        <w:t>(</w:t>
      </w:r>
      <w:r>
        <w:rPr/>
        <w:t>26.5.2010</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2014/94</w:t>
        </w:r>
        <w:r>
          <w:rPr>
            <w:rStyle w:val="Hyperlink"/>
            <w:color w:val="0000FF"/>
            <w:u w:val="single"/>
            <w:rtl w:val="true"/>
          </w:rPr>
          <w:t xml:space="preserve"> </w:t>
        </w:r>
        <w:r>
          <w:rPr>
            <w:rStyle w:val="Hyperlink"/>
            <w:color w:val="0000FF"/>
            <w:u w:val="single"/>
            <w:rtl w:val="true"/>
          </w:rPr>
          <w:t>סאלח</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w:t>
        </w:r>
      </w:hyperlink>
      <w:r>
        <w:rPr>
          <w:rtl w:val="true"/>
        </w:rPr>
        <w:t>(</w:t>
      </w:r>
      <w:r>
        <w:rPr/>
        <w:t>2</w:t>
      </w:r>
      <w:r>
        <w:rPr>
          <w:rtl w:val="true"/>
        </w:rPr>
        <w:t xml:space="preserve">) </w:t>
      </w:r>
      <w:r>
        <w:rPr/>
        <w:t>624</w:t>
      </w:r>
      <w:r>
        <w:rPr>
          <w:rtl w:val="true"/>
        </w:rPr>
        <w:t xml:space="preserve">, </w:t>
      </w:r>
      <w:r>
        <w:rPr/>
        <w:t>637</w:t>
      </w:r>
      <w:r>
        <w:rPr>
          <w:rtl w:val="true"/>
        </w:rPr>
        <w:t xml:space="preserve"> (</w:t>
      </w:r>
      <w:r>
        <w:rPr/>
        <w:t>1996</w:t>
      </w:r>
      <w:r>
        <w:rPr>
          <w:rtl w:val="true"/>
        </w:rPr>
        <w:t xml:space="preserve">); </w:t>
      </w:r>
      <w:r>
        <w:rPr>
          <w:rtl w:val="true"/>
        </w:rPr>
        <w:t xml:space="preserve">וכן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426/67</w:t>
        </w:r>
        <w:r>
          <w:rPr>
            <w:rStyle w:val="Hyperlink"/>
            <w:color w:val="0000FF"/>
            <w:u w:val="single"/>
            <w:rtl w:val="true"/>
          </w:rPr>
          <w:t xml:space="preserve"> </w:t>
        </w:r>
        <w:r>
          <w:rPr>
            <w:rStyle w:val="Hyperlink"/>
            <w:color w:val="0000FF"/>
            <w:u w:val="single"/>
            <w:rtl w:val="true"/>
          </w:rPr>
          <w:t>בארי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כב</w:t>
        </w:r>
      </w:hyperlink>
      <w:r>
        <w:rPr>
          <w:rtl w:val="true"/>
        </w:rPr>
        <w:t>(</w:t>
      </w:r>
      <w:r>
        <w:rPr/>
        <w:t>1</w:t>
      </w:r>
      <w:r>
        <w:rPr>
          <w:rtl w:val="true"/>
        </w:rPr>
        <w:t xml:space="preserve">) </w:t>
      </w:r>
      <w:r>
        <w:rPr/>
        <w:t>477</w:t>
      </w:r>
      <w:r>
        <w:rPr>
          <w:rtl w:val="true"/>
        </w:rPr>
        <w:t xml:space="preserve"> (</w:t>
      </w:r>
      <w:r>
        <w:rPr/>
        <w:t>1968</w:t>
      </w:r>
      <w:r>
        <w:rPr>
          <w:rtl w:val="true"/>
        </w:rPr>
        <w:t xml:space="preserve">)). </w:t>
      </w:r>
      <w:r>
        <w:rPr>
          <w:rtl w:val="true"/>
        </w:rPr>
        <w:t>בנוסף</w:t>
      </w:r>
      <w:r>
        <w:rPr>
          <w:rtl w:val="true"/>
        </w:rPr>
        <w:t xml:space="preserve">, </w:t>
      </w:r>
      <w:r>
        <w:rPr>
          <w:rtl w:val="true"/>
        </w:rPr>
        <w:t>קבע בית המשפט כי אין לתת משקל לעדותו של עד ההגנה שזומן על ידי המערער מאחר שזו איננה עולה בקנה אחד עם עדות המערער עצמו ומכיוון שעד זה נמנע מלומר באופן חד משמעי כי שהה עם המערער בזמן ביצוע הדקירה</w:t>
      </w:r>
      <w:r>
        <w:rPr>
          <w:rtl w:val="true"/>
        </w:rPr>
        <w:t xml:space="preserve">. </w:t>
      </w:r>
      <w:r>
        <w:rPr>
          <w:rtl w:val="true"/>
        </w:rPr>
        <w:t>לפיכך</w:t>
      </w:r>
      <w:r>
        <w:rPr>
          <w:rtl w:val="true"/>
        </w:rPr>
        <w:t xml:space="preserve">, </w:t>
      </w:r>
      <w:r>
        <w:rPr>
          <w:rtl w:val="true"/>
        </w:rPr>
        <w:t xml:space="preserve">קבע בית משפט קמא כי המערער הוא זה שדקר את המתלונן </w:t>
      </w:r>
      <w:r>
        <w:rPr/>
        <w:t>1</w:t>
      </w:r>
      <w:r>
        <w:rPr>
          <w:rtl w:val="true"/>
        </w:rPr>
        <w:t xml:space="preserve"> </w:t>
      </w:r>
      <w:r>
        <w:rPr>
          <w:rtl w:val="true"/>
        </w:rPr>
        <w:t>בבטנו ובמותנו – וזאת</w:t>
      </w:r>
      <w:r>
        <w:rPr>
          <w:rtl w:val="true"/>
        </w:rPr>
        <w:t xml:space="preserve">, </w:t>
      </w:r>
      <w:r>
        <w:rPr>
          <w:rtl w:val="true"/>
        </w:rPr>
        <w:t>כאמור</w:t>
      </w:r>
      <w:r>
        <w:rPr>
          <w:rtl w:val="true"/>
        </w:rPr>
        <w:t xml:space="preserve">, </w:t>
      </w:r>
      <w:r>
        <w:rPr>
          <w:rtl w:val="true"/>
        </w:rPr>
        <w:t xml:space="preserve">אחרי שניתח בקפידה את מארג הראיות והעדויות שנפרס לפניו ובפרט את עדות המתלונן </w:t>
      </w:r>
      <w:r>
        <w:rPr/>
        <w:t>2</w:t>
      </w:r>
      <w:r>
        <w:rPr>
          <w:rtl w:val="true"/>
        </w:rPr>
        <w:t xml:space="preserve"> </w:t>
      </w:r>
      <w:r>
        <w:rPr>
          <w:rtl w:val="true"/>
        </w:rPr>
        <w:t>–</w:t>
      </w:r>
      <w:r>
        <w:rPr>
          <w:rtl w:val="true"/>
        </w:rPr>
        <w:t xml:space="preserve"> </w:t>
      </w:r>
      <w:r>
        <w:rPr>
          <w:rtl w:val="true"/>
        </w:rPr>
        <w:t>העד הישיר שתיאר את אירוע הדקירה ועדותו נמצאה על ידי בית המשפט אמינה מעבר לכל ספק סביר</w:t>
      </w:r>
      <w:r>
        <w:rPr>
          <w:rtl w:val="true"/>
        </w:rPr>
        <w:t>.</w:t>
      </w:r>
    </w:p>
    <w:p>
      <w:pPr>
        <w:pStyle w:val="Ruller42"/>
        <w:ind w:end="0"/>
        <w:jc w:val="both"/>
        <w:rPr>
          <w:color w:val="FF0000"/>
        </w:rPr>
      </w:pPr>
      <w:r>
        <w:rPr>
          <w:color w:val="FF0000"/>
          <w:rtl w:val="true"/>
        </w:rPr>
      </w:r>
    </w:p>
    <w:p>
      <w:pPr>
        <w:pStyle w:val="Ruller43"/>
        <w:numPr>
          <w:ilvl w:val="0"/>
          <w:numId w:val="1"/>
        </w:numPr>
        <w:ind w:hanging="0" w:start="0" w:end="0"/>
        <w:jc w:val="both"/>
        <w:rPr>
          <w:color w:val="FF0000"/>
        </w:rPr>
      </w:pPr>
      <w:r>
        <w:rPr>
          <w:rtl w:val="true"/>
        </w:rPr>
        <w:t>הלכה עמנו היא כי ערכאת ערעור נוטה שלא להתערב בקביעות מהימנות ובממצאי עובדה של הערכאה הדיונית</w:t>
      </w:r>
      <w:r>
        <w:rPr>
          <w:rtl w:val="true"/>
        </w:rPr>
        <w:t xml:space="preserve">. </w:t>
      </w:r>
      <w:r>
        <w:rPr>
          <w:rtl w:val="true"/>
        </w:rPr>
        <w:t>זאת</w:t>
      </w:r>
      <w:r>
        <w:rPr>
          <w:rtl w:val="true"/>
        </w:rPr>
        <w:t xml:space="preserve">, </w:t>
      </w:r>
      <w:r>
        <w:rPr>
          <w:rtl w:val="true"/>
        </w:rPr>
        <w:t xml:space="preserve">בשל היתרון המצוי בידי הערכאה הדיונית אשר מתרשמת באופן ישיר ובלתי אמצעי מן העדים אשר מופיעים לפניה ובוחנת את המארג הראייתי בכללותו </w:t>
      </w:r>
      <w:r>
        <w:rPr>
          <w:rtl w:val="true"/>
        </w:rPr>
        <w:t>(</w:t>
      </w:r>
      <w:r>
        <w:rPr>
          <w:rtl w:val="true"/>
        </w:rPr>
        <w:t xml:space="preserve">ראו </w:t>
      </w:r>
      <w:hyperlink r:id="rId2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4655/12</w:t>
        </w:r>
      </w:hyperlink>
      <w:r>
        <w:rPr>
          <w:rtl w:val="true"/>
        </w:rPr>
        <w:t xml:space="preserve"> </w:t>
      </w:r>
      <w:r>
        <w:rPr>
          <w:rFonts w:ascii="Century" w:hAnsi="Century" w:cs="Miriam"/>
          <w:b/>
          <w:b/>
          <w:spacing w:val="0"/>
          <w:szCs w:val="24"/>
          <w:rtl w:val="true"/>
        </w:rPr>
        <w:t>אדרי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25</w:t>
      </w:r>
      <w:r>
        <w:rPr>
          <w:rtl w:val="true"/>
        </w:rPr>
        <w:t xml:space="preserve"> (</w:t>
      </w:r>
      <w:r>
        <w:rPr/>
        <w:t>29.9.2014</w:t>
      </w:r>
      <w:r>
        <w:rPr>
          <w:rtl w:val="true"/>
        </w:rPr>
        <w:t xml:space="preserve">); </w:t>
      </w:r>
      <w:hyperlink r:id="rId2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993/00</w:t>
        </w:r>
        <w:r>
          <w:rPr>
            <w:rStyle w:val="Hyperlink"/>
            <w:color w:val="0000FF"/>
            <w:sz w:val="28"/>
            <w:u w:val="single"/>
            <w:rtl w:val="true"/>
          </w:rPr>
          <w:t xml:space="preserve"> </w:t>
        </w:r>
        <w:r>
          <w:rPr>
            <w:rStyle w:val="Hyperlink"/>
            <w:color w:val="0000FF"/>
            <w:sz w:val="28"/>
            <w:sz w:val="28"/>
            <w:u w:val="single"/>
            <w:rtl w:val="true"/>
          </w:rPr>
          <w:t>נור</w:t>
        </w:r>
        <w:r>
          <w:rPr>
            <w:rStyle w:val="Hyperlink"/>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color w:val="0000FF"/>
            <w:sz w:val="28"/>
            <w:sz w:val="28"/>
            <w:u w:val="single"/>
            <w:rtl w:val="true"/>
          </w:rPr>
          <w:t xml:space="preserve"> </w:t>
        </w:r>
        <w:r>
          <w:rPr>
            <w:rStyle w:val="Hyperlink"/>
            <w:color w:val="0000FF"/>
            <w:sz w:val="28"/>
            <w:sz w:val="28"/>
            <w:u w:val="single"/>
            <w:rtl w:val="true"/>
          </w:rPr>
          <w:t>נו</w:t>
        </w:r>
      </w:hyperlink>
      <w:r>
        <w:rPr>
          <w:rtl w:val="true"/>
        </w:rPr>
        <w:t>(</w:t>
      </w:r>
      <w:r>
        <w:rPr/>
        <w:t>6</w:t>
      </w:r>
      <w:r>
        <w:rPr>
          <w:rtl w:val="true"/>
        </w:rPr>
        <w:t xml:space="preserve">) </w:t>
      </w:r>
      <w:r>
        <w:rPr/>
        <w:t>205</w:t>
      </w:r>
      <w:r>
        <w:rPr>
          <w:rtl w:val="true"/>
        </w:rPr>
        <w:t xml:space="preserve">, </w:t>
      </w:r>
      <w:r>
        <w:rPr/>
        <w:t>220-219</w:t>
      </w:r>
      <w:r>
        <w:rPr>
          <w:rtl w:val="true"/>
        </w:rPr>
        <w:t xml:space="preserve"> (</w:t>
      </w:r>
      <w:r>
        <w:rPr/>
        <w:t>2002</w:t>
      </w:r>
      <w:r>
        <w:rPr>
          <w:rtl w:val="true"/>
        </w:rPr>
        <w:t xml:space="preserve">); </w:t>
      </w:r>
      <w:r>
        <w:rPr>
          <w:rtl w:val="true"/>
        </w:rPr>
        <w:t>ע</w:t>
      </w:r>
      <w:r>
        <w:rPr>
          <w:rtl w:val="true"/>
        </w:rPr>
        <w:t>"</w:t>
      </w:r>
      <w:r>
        <w:rPr>
          <w:rtl w:val="true"/>
        </w:rPr>
        <w:t xml:space="preserve">פ </w:t>
      </w:r>
      <w:r>
        <w:rPr/>
        <w:t>9352/99</w:t>
      </w:r>
      <w:r>
        <w:rPr>
          <w:rtl w:val="true"/>
        </w:rPr>
        <w:t xml:space="preserve"> </w:t>
      </w:r>
      <w:hyperlink r:id="rId25">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9352/99</w:t>
        </w:r>
        <w:r>
          <w:rPr>
            <w:rStyle w:val="Hyperlink"/>
            <w:rFonts w:cs="Miriam" w:ascii="Century" w:hAnsi="Century"/>
            <w:b/>
            <w:color w:val="0000FF"/>
            <w:spacing w:val="0"/>
            <w:szCs w:val="24"/>
            <w:u w:val="single"/>
            <w:rtl w:val="true"/>
          </w:rPr>
          <w:t xml:space="preserve"> </w:t>
        </w:r>
        <w:r>
          <w:rPr>
            <w:rStyle w:val="Hyperlink"/>
            <w:rFonts w:ascii="Century" w:hAnsi="Century" w:cs="Miriam"/>
            <w:b/>
            <w:b/>
            <w:color w:val="0000FF"/>
            <w:spacing w:val="0"/>
            <w:szCs w:val="24"/>
            <w:u w:val="single"/>
            <w:rtl w:val="true"/>
          </w:rPr>
          <w:t>יומטוביאן</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נ</w:t>
        </w:r>
        <w:r>
          <w:rPr>
            <w:rStyle w:val="Hyperlink"/>
            <w:rFonts w:cs="Miriam" w:ascii="Century" w:hAnsi="Century"/>
            <w:b/>
            <w:color w:val="0000FF"/>
            <w:spacing w:val="0"/>
            <w:szCs w:val="24"/>
            <w:u w:val="single"/>
            <w:rtl w:val="true"/>
          </w:rPr>
          <w:t xml:space="preserve">' </w:t>
        </w:r>
        <w:r>
          <w:rPr>
            <w:rStyle w:val="Hyperlink"/>
            <w:rFonts w:ascii="Century" w:hAnsi="Century" w:cs="Miriam"/>
            <w:b/>
            <w:b/>
            <w:color w:val="0000FF"/>
            <w:spacing w:val="0"/>
            <w:szCs w:val="24"/>
            <w:u w:val="single"/>
            <w:rtl w:val="true"/>
          </w:rPr>
          <w:t>מדינת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ישראל</w:t>
        </w:r>
        <w:r>
          <w:rPr>
            <w:rStyle w:val="Hyperlink"/>
            <w:rFonts w:cs="Miriam" w:ascii="Century" w:hAnsi="Century"/>
            <w:b/>
            <w:color w:val="0000FF"/>
            <w:spacing w:val="0"/>
            <w:szCs w:val="24"/>
            <w:u w:val="single"/>
            <w:rtl w:val="true"/>
          </w:rPr>
          <w:t xml:space="preserve">, </w:t>
        </w:r>
        <w:r>
          <w:rPr>
            <w:rStyle w:val="Hyperlink"/>
            <w:rFonts w:ascii="Century" w:hAnsi="Century" w:cs="Miriam"/>
            <w:b/>
            <w:b/>
            <w:color w:val="0000FF"/>
            <w:spacing w:val="0"/>
            <w:szCs w:val="24"/>
            <w:u w:val="single"/>
            <w:rtl w:val="true"/>
          </w:rPr>
          <w:t>פ</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ד</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נד</w:t>
        </w:r>
      </w:hyperlink>
      <w:r>
        <w:rPr>
          <w:rtl w:val="true"/>
        </w:rPr>
        <w:t>(</w:t>
      </w:r>
      <w:r>
        <w:rPr/>
        <w:t>4</w:t>
      </w:r>
      <w:r>
        <w:rPr>
          <w:rtl w:val="true"/>
        </w:rPr>
        <w:t xml:space="preserve">) </w:t>
      </w:r>
      <w:r>
        <w:rPr/>
        <w:t>632</w:t>
      </w:r>
      <w:r>
        <w:rPr>
          <w:rtl w:val="true"/>
        </w:rPr>
        <w:t xml:space="preserve">, </w:t>
      </w:r>
      <w:r>
        <w:rPr/>
        <w:t>645-643</w:t>
      </w:r>
      <w:r>
        <w:rPr>
          <w:rtl w:val="true"/>
        </w:rPr>
        <w:t xml:space="preserve"> (</w:t>
      </w:r>
      <w:r>
        <w:rPr/>
        <w:t>2000</w:t>
      </w:r>
      <w:r>
        <w:rPr>
          <w:rtl w:val="true"/>
        </w:rPr>
        <w:t xml:space="preserve">); </w:t>
      </w:r>
      <w:r>
        <w:rPr>
          <w:rtl w:val="true"/>
        </w:rPr>
        <w:t xml:space="preserve">וכן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316/85</w:t>
        </w:r>
        <w:r>
          <w:rPr>
            <w:rStyle w:val="Hyperlink"/>
            <w:color w:val="0000FF"/>
            <w:u w:val="single"/>
            <w:rtl w:val="true"/>
          </w:rPr>
          <w:t xml:space="preserve"> </w:t>
        </w:r>
        <w:r>
          <w:rPr>
            <w:rStyle w:val="Hyperlink"/>
            <w:color w:val="0000FF"/>
            <w:u w:val="single"/>
            <w:rtl w:val="true"/>
          </w:rPr>
          <w:t>גרינוולד</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w:t>
        </w:r>
      </w:hyperlink>
      <w:r>
        <w:rPr>
          <w:rtl w:val="true"/>
        </w:rPr>
        <w:t>(</w:t>
      </w:r>
      <w:r>
        <w:rPr/>
        <w:t>2</w:t>
      </w:r>
      <w:r>
        <w:rPr>
          <w:rtl w:val="true"/>
        </w:rPr>
        <w:t xml:space="preserve">) </w:t>
      </w:r>
      <w:r>
        <w:rPr/>
        <w:t>564</w:t>
      </w:r>
      <w:r>
        <w:rPr>
          <w:rtl w:val="true"/>
        </w:rPr>
        <w:t xml:space="preserve">, </w:t>
      </w:r>
      <w:r>
        <w:rPr/>
        <w:t>574</w:t>
      </w:r>
      <w:r>
        <w:rPr>
          <w:rtl w:val="true"/>
        </w:rPr>
        <w:t xml:space="preserve"> (</w:t>
      </w:r>
      <w:r>
        <w:rPr/>
        <w:t>1986</w:t>
      </w:r>
      <w:r>
        <w:rPr>
          <w:rtl w:val="true"/>
        </w:rPr>
        <w:t xml:space="preserve">)). </w:t>
      </w:r>
      <w:r>
        <w:rPr>
          <w:rtl w:val="true"/>
        </w:rPr>
        <w:t xml:space="preserve">לכלל זה נקבעו מספר חריגים אשר מאפשרים סטייה ממנו בהתקיים נסיבות מיוחדות </w:t>
      </w:r>
      <w:r>
        <w:rPr>
          <w:rtl w:val="true"/>
        </w:rPr>
        <w:t>(</w:t>
      </w:r>
      <w:r>
        <w:rPr>
          <w:rtl w:val="true"/>
        </w:rPr>
        <w:t xml:space="preserve">ראו </w:t>
      </w:r>
      <w:hyperlink r:id="rId27">
        <w:r>
          <w:rPr>
            <w:rStyle w:val="Hyperlink"/>
            <w:sz w:val="28"/>
            <w:sz w:val="28"/>
            <w:rtl w:val="true"/>
          </w:rPr>
          <w:t>ע</w:t>
        </w:r>
        <w:r>
          <w:rPr>
            <w:rStyle w:val="Hyperlink"/>
            <w:sz w:val="28"/>
            <w:rtl w:val="true"/>
          </w:rPr>
          <w:t>"</w:t>
        </w:r>
        <w:r>
          <w:rPr>
            <w:rStyle w:val="Hyperlink"/>
            <w:sz w:val="28"/>
            <w:sz w:val="28"/>
            <w:rtl w:val="true"/>
          </w:rPr>
          <w:t>פ</w:t>
        </w:r>
        <w:r>
          <w:rPr>
            <w:rStyle w:val="Hyperlink"/>
            <w:sz w:val="28"/>
            <w:sz w:val="28"/>
            <w:rtl w:val="true"/>
          </w:rPr>
          <w:t xml:space="preserve"> </w:t>
        </w:r>
        <w:r>
          <w:rPr>
            <w:rStyle w:val="Hyperlink"/>
            <w:sz w:val="28"/>
          </w:rPr>
          <w:t>7401/07</w:t>
        </w:r>
        <w:r>
          <w:rPr>
            <w:rStyle w:val="Hyperlink"/>
            <w:sz w:val="28"/>
            <w:rtl w:val="true"/>
          </w:rPr>
          <w:t xml:space="preserve"> </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5</w:t>
      </w:r>
      <w:r>
        <w:rPr>
          <w:rtl w:val="true"/>
        </w:rPr>
        <w:t xml:space="preserve"> </w:t>
      </w:r>
      <w:r>
        <w:rPr>
          <w:rtl w:val="true"/>
        </w:rPr>
        <w:t xml:space="preserve">לפסק דינו של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דנציגר</w:t>
      </w:r>
      <w:r>
        <w:rPr>
          <w:rFonts w:ascii="Century" w:hAnsi="Century" w:eastAsia="Century" w:cs="Century"/>
          <w:b/>
          <w:b/>
          <w:spacing w:val="0"/>
          <w:szCs w:val="24"/>
          <w:rtl w:val="true"/>
        </w:rPr>
        <w:t xml:space="preserve"> </w:t>
      </w:r>
      <w:r>
        <w:rPr>
          <w:rtl w:val="true"/>
        </w:rPr>
        <w:t>(</w:t>
      </w:r>
      <w:r>
        <w:rPr/>
        <w:t>31.7.2008</w:t>
      </w:r>
      <w:r>
        <w:rPr>
          <w:rtl w:val="true"/>
        </w:rPr>
        <w:t xml:space="preserve">); </w:t>
      </w:r>
      <w:r>
        <w:rPr>
          <w:rtl w:val="true"/>
        </w:rPr>
        <w:t xml:space="preserve">וכן את פסק דינו החשוב של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אלון</w:t>
      </w:r>
      <w:r>
        <w:rPr>
          <w:rtl w:val="true"/>
        </w:rPr>
        <w:t xml:space="preserve"> </w:t>
      </w:r>
      <w:r>
        <w:rPr>
          <w:rtl w:val="true"/>
        </w:rPr>
        <w:t>(</w:t>
      </w:r>
      <w:r>
        <w:rPr>
          <w:rtl w:val="true"/>
        </w:rPr>
        <w:t>כתוארו אז</w:t>
      </w:r>
      <w:r>
        <w:rPr>
          <w:rtl w:val="true"/>
        </w:rPr>
        <w:t xml:space="preserve">) </w:t>
      </w:r>
      <w:r>
        <w:rPr>
          <w:rtl w:val="true"/>
        </w:rPr>
        <w:t>ב</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190/82</w:t>
        </w:r>
        <w:r>
          <w:rPr>
            <w:rStyle w:val="Hyperlink"/>
            <w:color w:val="0000FF"/>
            <w:u w:val="single"/>
            <w:rtl w:val="true"/>
          </w:rPr>
          <w:t xml:space="preserve"> </w:t>
        </w:r>
        <w:r>
          <w:rPr>
            <w:rStyle w:val="Hyperlink"/>
            <w:color w:val="0000FF"/>
            <w:u w:val="single"/>
            <w:rtl w:val="true"/>
          </w:rPr>
          <w:t>מרקוס</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לז</w:t>
        </w:r>
      </w:hyperlink>
      <w:r>
        <w:rPr>
          <w:rtl w:val="true"/>
        </w:rPr>
        <w:t>(</w:t>
      </w:r>
      <w:r>
        <w:rPr/>
        <w:t>1</w:t>
      </w:r>
      <w:r>
        <w:rPr>
          <w:rtl w:val="true"/>
        </w:rPr>
        <w:t xml:space="preserve">) </w:t>
      </w:r>
      <w:r>
        <w:rPr/>
        <w:t>225</w:t>
      </w:r>
      <w:r>
        <w:rPr>
          <w:rtl w:val="true"/>
        </w:rPr>
        <w:t xml:space="preserve">, </w:t>
      </w:r>
      <w:r>
        <w:rPr/>
        <w:t>237-236</w:t>
      </w:r>
      <w:r>
        <w:rPr>
          <w:rtl w:val="true"/>
        </w:rPr>
        <w:t xml:space="preserve"> (</w:t>
      </w:r>
      <w:r>
        <w:rPr/>
        <w:t>1983</w:t>
      </w:r>
      <w:r>
        <w:rPr>
          <w:rtl w:val="true"/>
        </w:rPr>
        <w:t>)</w:t>
      </w:r>
      <w:r>
        <w:rPr>
          <w:rtl w:val="true"/>
        </w:rPr>
        <w:t>).</w:t>
      </w:r>
      <w:r>
        <w:rPr>
          <w:color w:val="FF0000"/>
          <w:rtl w:val="true"/>
        </w:rPr>
        <w:t xml:space="preserve"> </w:t>
      </w:r>
      <w:r>
        <w:rPr>
          <w:rtl w:val="true"/>
        </w:rPr>
        <w:t>נסיבות כאמור אינן מתקיימות במקרה דנן</w:t>
      </w:r>
      <w:r>
        <w:rPr>
          <w:rtl w:val="true"/>
        </w:rPr>
        <w:t xml:space="preserve">. </w:t>
      </w:r>
      <w:r>
        <w:rPr>
          <w:rtl w:val="true"/>
        </w:rPr>
        <w:t>לפיכך</w:t>
      </w:r>
      <w:r>
        <w:rPr>
          <w:rtl w:val="true"/>
        </w:rPr>
        <w:t xml:space="preserve">, </w:t>
      </w:r>
      <w:r>
        <w:rPr>
          <w:rtl w:val="true"/>
        </w:rPr>
        <w:t>סבורני כי אין מקום להתערב בממצאיו העובדתיים של בית משפט קמא</w:t>
      </w:r>
      <w:r>
        <w:rPr>
          <w:rtl w:val="true"/>
        </w:rPr>
        <w:t>.</w:t>
      </w:r>
    </w:p>
    <w:p>
      <w:pPr>
        <w:pStyle w:val="Ruller42"/>
        <w:ind w:end="0"/>
        <w:jc w:val="both"/>
        <w:rPr>
          <w:color w:val="FF0000"/>
        </w:rPr>
      </w:pPr>
      <w:r>
        <w:rPr>
          <w:color w:val="FF0000"/>
          <w:rtl w:val="true"/>
        </w:rPr>
      </w:r>
    </w:p>
    <w:p>
      <w:pPr>
        <w:pStyle w:val="Ruller43"/>
        <w:numPr>
          <w:ilvl w:val="0"/>
          <w:numId w:val="1"/>
        </w:numPr>
        <w:ind w:hanging="0" w:start="0" w:end="0"/>
        <w:jc w:val="both"/>
        <w:rPr/>
      </w:pPr>
      <w:r>
        <w:rPr>
          <w:rtl w:val="true"/>
        </w:rPr>
        <w:t>למעלה מן הנדרש אוסיף</w:t>
      </w:r>
      <w:r>
        <w:rPr>
          <w:rtl w:val="true"/>
        </w:rPr>
        <w:t xml:space="preserve">, </w:t>
      </w:r>
      <w:r>
        <w:rPr>
          <w:rtl w:val="true"/>
        </w:rPr>
        <w:t>כי בית משפט קמא נימק את ממצאיו באופן ברור ומשכנע</w:t>
      </w:r>
      <w:r>
        <w:rPr>
          <w:rtl w:val="true"/>
        </w:rPr>
        <w:t xml:space="preserve">, </w:t>
      </w:r>
      <w:r>
        <w:rPr>
          <w:rtl w:val="true"/>
        </w:rPr>
        <w:t>ודוק</w:t>
      </w:r>
      <w:r>
        <w:rPr>
          <w:rtl w:val="true"/>
        </w:rPr>
        <w:t xml:space="preserve">: </w:t>
      </w:r>
      <w:r>
        <w:rPr>
          <w:rtl w:val="true"/>
        </w:rPr>
        <w:t xml:space="preserve">ממצאים אלה מושתתים על עדותו של המתלונן </w:t>
      </w:r>
      <w:r>
        <w:rPr/>
        <w:t>2</w:t>
      </w:r>
      <w:r>
        <w:rPr>
          <w:rtl w:val="true"/>
        </w:rPr>
        <w:t xml:space="preserve">, </w:t>
      </w:r>
      <w:r>
        <w:rPr>
          <w:rtl w:val="true"/>
        </w:rPr>
        <w:t>שכאמור זיהה את המערער כמי שדקר את אביו</w:t>
      </w:r>
      <w:r>
        <w:rPr>
          <w:rtl w:val="true"/>
        </w:rPr>
        <w:t xml:space="preserve">. </w:t>
      </w:r>
      <w:r>
        <w:rPr>
          <w:rtl w:val="true"/>
        </w:rPr>
        <w:t>עדות זו קיבלה חיזוק ממסדר הזיהוי שבו</w:t>
      </w:r>
      <w:r>
        <w:rPr>
          <w:rtl w:val="true"/>
        </w:rPr>
        <w:t xml:space="preserve">, </w:t>
      </w:r>
      <w:r>
        <w:rPr>
          <w:rtl w:val="true"/>
        </w:rPr>
        <w:t>כאמור</w:t>
      </w:r>
      <w:r>
        <w:rPr>
          <w:rtl w:val="true"/>
        </w:rPr>
        <w:t xml:space="preserve">, </w:t>
      </w:r>
      <w:r>
        <w:rPr>
          <w:rtl w:val="true"/>
        </w:rPr>
        <w:t xml:space="preserve">זיהה המתלונן </w:t>
      </w:r>
      <w:r>
        <w:rPr/>
        <w:t>2</w:t>
      </w:r>
      <w:r>
        <w:rPr>
          <w:rtl w:val="true"/>
        </w:rPr>
        <w:t xml:space="preserve"> </w:t>
      </w:r>
      <w:r>
        <w:rPr>
          <w:rtl w:val="true"/>
        </w:rPr>
        <w:t>את המערער כמי שדקר את אביו</w:t>
      </w:r>
      <w:r>
        <w:rPr>
          <w:rtl w:val="true"/>
        </w:rPr>
        <w:t xml:space="preserve">, </w:t>
      </w:r>
      <w:r>
        <w:rPr>
          <w:rtl w:val="true"/>
        </w:rPr>
        <w:t xml:space="preserve">מהעימות שנערך בין המתלונן </w:t>
      </w:r>
      <w:r>
        <w:rPr/>
        <w:t>2</w:t>
      </w:r>
      <w:r>
        <w:rPr>
          <w:rtl w:val="true"/>
        </w:rPr>
        <w:t xml:space="preserve"> </w:t>
      </w:r>
      <w:r>
        <w:rPr>
          <w:rtl w:val="true"/>
        </w:rPr>
        <w:t>למערער</w:t>
      </w:r>
      <w:r>
        <w:rPr>
          <w:rtl w:val="true"/>
        </w:rPr>
        <w:t xml:space="preserve">, </w:t>
      </w:r>
      <w:r>
        <w:rPr>
          <w:rtl w:val="true"/>
        </w:rPr>
        <w:t xml:space="preserve">ומראיות נוספות אשר פורטו על ידי בית משפט קמא בהכרעת הדין </w:t>
      </w:r>
      <w:r>
        <w:rPr>
          <w:rtl w:val="true"/>
        </w:rPr>
        <w:t>(</w:t>
      </w:r>
      <w:r>
        <w:rPr>
          <w:rtl w:val="true"/>
        </w:rPr>
        <w:t xml:space="preserve">כפי שפירטתי בפסקה </w:t>
      </w:r>
      <w:r>
        <w:rPr/>
        <w:t>4</w:t>
      </w:r>
      <w:r>
        <w:rPr>
          <w:rtl w:val="true"/>
        </w:rPr>
        <w:t xml:space="preserve"> </w:t>
      </w:r>
      <w:r>
        <w:rPr>
          <w:rtl w:val="true"/>
        </w:rPr>
        <w:t>לעיל</w:t>
      </w:r>
      <w:r>
        <w:rPr>
          <w:rtl w:val="true"/>
        </w:rPr>
        <w:t xml:space="preserve">). </w:t>
      </w:r>
      <w:r>
        <w:rPr>
          <w:rtl w:val="true"/>
        </w:rPr>
        <w:t>חיזוקים נוספים המאמתים מארג עשיר זה של ראיות</w:t>
      </w:r>
      <w:r>
        <w:rPr>
          <w:rtl w:val="true"/>
        </w:rPr>
        <w:t xml:space="preserve">, </w:t>
      </w:r>
      <w:r>
        <w:rPr>
          <w:rtl w:val="true"/>
        </w:rPr>
        <w:t>כוללים את עדותו של ע</w:t>
      </w:r>
      <w:r>
        <w:rPr>
          <w:rtl w:val="true"/>
        </w:rPr>
        <w:t>.</w:t>
      </w:r>
      <w:r>
        <w:rPr>
          <w:rtl w:val="true"/>
        </w:rPr>
        <w:t>ת</w:t>
      </w:r>
      <w:r>
        <w:rPr>
          <w:rtl w:val="true"/>
        </w:rPr>
        <w:t xml:space="preserve">. </w:t>
      </w:r>
      <w:r>
        <w:rPr/>
        <w:t>10</w:t>
      </w:r>
      <w:r>
        <w:rPr>
          <w:rtl w:val="true"/>
        </w:rPr>
        <w:t xml:space="preserve"> </w:t>
      </w:r>
      <w:r>
        <w:rPr>
          <w:rtl w:val="true"/>
        </w:rPr>
        <w:t>שנכח באירוע ואת תיאור מראהו החיצוני של הדוקר כפי שעולה מעדויות אשר באו מפיהם של נוכחים נוספים באירוע</w:t>
      </w:r>
      <w:r>
        <w:rPr>
          <w:rtl w:val="true"/>
        </w:rPr>
        <w:t xml:space="preserve">. </w:t>
      </w:r>
      <w:r>
        <w:rPr>
          <w:rtl w:val="true"/>
        </w:rPr>
        <w:t xml:space="preserve">לכל אלה יש להוסיף את עדותו של המתלונן </w:t>
      </w:r>
      <w:r>
        <w:rPr/>
        <w:t>1</w:t>
      </w:r>
      <w:r>
        <w:rPr>
          <w:rtl w:val="true"/>
        </w:rPr>
        <w:t xml:space="preserve">, </w:t>
      </w:r>
      <w:r>
        <w:rPr>
          <w:rtl w:val="true"/>
        </w:rPr>
        <w:t>ממנה עולה כי הדוקר לבש גופיה שחורה</w:t>
      </w:r>
      <w:r>
        <w:rPr>
          <w:rtl w:val="true"/>
        </w:rPr>
        <w:t xml:space="preserve">; </w:t>
      </w:r>
      <w:r>
        <w:rPr>
          <w:rtl w:val="true"/>
        </w:rPr>
        <w:t xml:space="preserve">את סרטוני מצלמות האבטחה של החנות </w:t>
      </w:r>
      <w:r>
        <w:rPr>
          <w:rtl w:val="true"/>
        </w:rPr>
        <w:t>"</w:t>
      </w:r>
      <w:r>
        <w:rPr>
          <w:rtl w:val="true"/>
        </w:rPr>
        <w:t>דיוטי מוטי</w:t>
      </w:r>
      <w:r>
        <w:rPr>
          <w:rtl w:val="true"/>
        </w:rPr>
        <w:t xml:space="preserve">" </w:t>
      </w:r>
      <w:r>
        <w:rPr>
          <w:rtl w:val="true"/>
        </w:rPr>
        <w:t>–</w:t>
      </w:r>
      <w:r>
        <w:rPr>
          <w:rtl w:val="true"/>
        </w:rPr>
        <w:t xml:space="preserve"> </w:t>
      </w:r>
      <w:r>
        <w:rPr>
          <w:rtl w:val="true"/>
        </w:rPr>
        <w:t>בהם נצפה המערער כמי שנכנס לחנות ויוצא ממנה ואחר כך יורד במדרגות לכיוון הטיילת</w:t>
      </w:r>
      <w:r>
        <w:rPr>
          <w:rtl w:val="true"/>
        </w:rPr>
        <w:t xml:space="preserve">; </w:t>
      </w:r>
      <w:r>
        <w:rPr>
          <w:rtl w:val="true"/>
        </w:rPr>
        <w:t xml:space="preserve">את סרטוני מצלמות האבטחה בטיילת בהם נצפה אדם שמראהו דומה לזה של המערער כאחד התוקפים אשר דקרו את המתלונן </w:t>
      </w:r>
      <w:r>
        <w:rPr/>
        <w:t>1</w:t>
      </w:r>
      <w:r>
        <w:rPr>
          <w:rtl w:val="true"/>
        </w:rPr>
        <w:t xml:space="preserve">; </w:t>
      </w:r>
      <w:r>
        <w:rPr>
          <w:rtl w:val="true"/>
        </w:rPr>
        <w:t>ועוד ראיות נסיבתיות כהנה וכהנה</w:t>
      </w:r>
      <w:r>
        <w:rPr>
          <w:rtl w:val="true"/>
        </w:rPr>
        <w:t xml:space="preserve">. </w:t>
      </w:r>
      <w:r>
        <w:rPr>
          <w:rtl w:val="true"/>
        </w:rPr>
        <w:t>מקבץ ראיות זה איננו עומד בזכות עצמו</w:t>
      </w:r>
      <w:r>
        <w:rPr>
          <w:rtl w:val="true"/>
        </w:rPr>
        <w:t xml:space="preserve">, </w:t>
      </w:r>
      <w:r>
        <w:rPr>
          <w:rtl w:val="true"/>
        </w:rPr>
        <w:t>שכן אין בו זיהוי פוזיטיבי חד</w:t>
      </w:r>
      <w:r>
        <w:rPr>
          <w:rtl w:val="true"/>
        </w:rPr>
        <w:t>-</w:t>
      </w:r>
      <w:r>
        <w:rPr>
          <w:rtl w:val="true"/>
        </w:rPr>
        <w:t>משמעי של המערער כדוקר</w:t>
      </w:r>
      <w:r>
        <w:rPr>
          <w:rtl w:val="true"/>
        </w:rPr>
        <w:t xml:space="preserve">, </w:t>
      </w:r>
      <w:r>
        <w:rPr>
          <w:rtl w:val="true"/>
        </w:rPr>
        <w:t xml:space="preserve">אך הוא משווה אמינות בלתי מעורערת לעדותו של המתלונן </w:t>
      </w:r>
      <w:r>
        <w:rPr/>
        <w:t>2</w:t>
      </w:r>
      <w:r>
        <w:rPr>
          <w:rtl w:val="true"/>
        </w:rPr>
        <w:t xml:space="preserve"> </w:t>
      </w:r>
      <w:r>
        <w:rPr>
          <w:rtl w:val="true"/>
        </w:rPr>
        <w:t>שכאמור זיהה את המערער כמי שדקר את אביו</w:t>
      </w:r>
      <w:r>
        <w:rPr>
          <w:rtl w:val="true"/>
        </w:rPr>
        <w:t xml:space="preserve">. </w:t>
      </w:r>
      <w:r>
        <w:rPr>
          <w:rtl w:val="true"/>
        </w:rPr>
        <w:t>לזאת אוסיף כי למערער היה מניע למעשה התקיפה</w:t>
      </w:r>
      <w:r>
        <w:rPr>
          <w:rtl w:val="true"/>
        </w:rPr>
        <w:t xml:space="preserve">: </w:t>
      </w:r>
      <w:r>
        <w:rPr>
          <w:rtl w:val="true"/>
        </w:rPr>
        <w:t xml:space="preserve">העובדה שהמתלונן </w:t>
      </w:r>
      <w:r>
        <w:rPr/>
        <w:t>1</w:t>
      </w:r>
      <w:r>
        <w:rPr>
          <w:rtl w:val="true"/>
        </w:rPr>
        <w:t xml:space="preserve"> </w:t>
      </w:r>
      <w:r>
        <w:rPr>
          <w:rtl w:val="true"/>
        </w:rPr>
        <w:t xml:space="preserve">ובני משפחתו העירו לחברו על שקילל את אלוהים </w:t>
      </w:r>
      <w:r>
        <w:rPr>
          <w:rtl w:val="true"/>
        </w:rPr>
        <w:t>–</w:t>
      </w:r>
      <w:r>
        <w:rPr>
          <w:rtl w:val="true"/>
        </w:rPr>
        <w:t xml:space="preserve"> הערה שהובילה לוויכוח אשר הוביל לאלימות </w:t>
      </w:r>
      <w:r>
        <w:rPr>
          <w:rtl w:val="true"/>
        </w:rPr>
        <w:t>–</w:t>
      </w:r>
      <w:r>
        <w:rPr>
          <w:rtl w:val="true"/>
        </w:rPr>
        <w:t xml:space="preserve"> וכן העובדה שהמתלונן </w:t>
      </w:r>
      <w:r>
        <w:rPr/>
        <w:t>1</w:t>
      </w:r>
      <w:r>
        <w:rPr>
          <w:rtl w:val="true"/>
        </w:rPr>
        <w:t xml:space="preserve"> </w:t>
      </w:r>
      <w:r>
        <w:rPr>
          <w:rtl w:val="true"/>
        </w:rPr>
        <w:t>סטר בפניו</w:t>
      </w:r>
      <w:r>
        <w:rPr>
          <w:rtl w:val="true"/>
        </w:rPr>
        <w:t xml:space="preserve">.  </w:t>
      </w:r>
      <w:r>
        <w:rPr>
          <w:color w:val="FF0000"/>
          <w:rtl w:val="true"/>
        </w:rPr>
        <w:t xml:space="preserve"> </w:t>
      </w:r>
    </w:p>
    <w:p>
      <w:pPr>
        <w:pStyle w:val="Ruller42"/>
        <w:ind w:end="0"/>
        <w:jc w:val="both"/>
        <w:rPr>
          <w:color w:val="FF0000"/>
        </w:rPr>
      </w:pPr>
      <w:r>
        <w:rPr>
          <w:color w:val="FF0000"/>
          <w:rtl w:val="true"/>
        </w:rPr>
      </w:r>
    </w:p>
    <w:p>
      <w:pPr>
        <w:pStyle w:val="Ruller43"/>
        <w:numPr>
          <w:ilvl w:val="0"/>
          <w:numId w:val="1"/>
        </w:numPr>
        <w:ind w:hanging="0" w:start="0" w:end="0"/>
        <w:jc w:val="both"/>
        <w:rPr/>
      </w:pPr>
      <w:r>
        <w:rPr>
          <w:rtl w:val="true"/>
        </w:rPr>
        <w:t xml:space="preserve">הפועל היוצא מכל אלה הוא שהראיות אשר נפרסו לפני בית משפט קמא מוכיחות מעל ומעבר לספק סביר כי המערער הוא זה שדקר את המתלונן </w:t>
      </w:r>
      <w:r>
        <w:rPr/>
        <w:t>1</w:t>
      </w:r>
      <w:r>
        <w:rPr>
          <w:rtl w:val="true"/>
        </w:rPr>
        <w:t xml:space="preserve"> </w:t>
      </w:r>
      <w:r>
        <w:rPr>
          <w:rtl w:val="true"/>
        </w:rPr>
        <w:t>בבטנו ובמותנו</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הדקירה</w:t>
      </w:r>
      <w:r>
        <w:rPr>
          <w:rFonts w:ascii="Century" w:hAnsi="Century" w:eastAsia="Century" w:cs="Century"/>
          <w:b/>
          <w:b/>
          <w:spacing w:val="0"/>
          <w:szCs w:val="24"/>
          <w:rtl w:val="true"/>
        </w:rPr>
        <w:t xml:space="preserve"> </w:t>
      </w:r>
      <w:r>
        <w:rPr>
          <w:rFonts w:ascii="Century" w:hAnsi="Century" w:cs="Miriam"/>
          <w:b/>
          <w:b/>
          <w:spacing w:val="0"/>
          <w:szCs w:val="24"/>
          <w:rtl w:val="true"/>
        </w:rPr>
        <w:t>בצוואר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 xml:space="preserve">בית משפט קמא קבע בהכרעת דינו כי </w:t>
      </w:r>
      <w:r>
        <w:rPr>
          <w:rtl w:val="true"/>
        </w:rPr>
        <w:t>"</w:t>
      </w:r>
      <w:r>
        <w:rPr>
          <w:rtl w:val="true"/>
        </w:rPr>
        <w:t>יכול ובשלב מסויים השתתף בדקירות אדם נוסף</w:t>
      </w:r>
      <w:r>
        <w:rPr>
          <w:rtl w:val="true"/>
        </w:rPr>
        <w:t xml:space="preserve">, </w:t>
      </w:r>
      <w:r>
        <w:rPr>
          <w:rtl w:val="true"/>
        </w:rPr>
        <w:t xml:space="preserve">אולם אין בכך כדי לגרוע מאחריות הנאשם </w:t>
      </w:r>
      <w:r>
        <w:rPr>
          <w:rtl w:val="true"/>
        </w:rPr>
        <w:t xml:space="preserve">[...] </w:t>
      </w:r>
      <w:r>
        <w:rPr>
          <w:rtl w:val="true"/>
        </w:rPr>
        <w:t>בשלב מסויים</w:t>
      </w:r>
      <w:r>
        <w:rPr>
          <w:rtl w:val="true"/>
        </w:rPr>
        <w:t xml:space="preserve">, </w:t>
      </w:r>
      <w:r>
        <w:rPr>
          <w:rtl w:val="true"/>
        </w:rPr>
        <w:t xml:space="preserve">הנאשם פנה למתלונן </w:t>
      </w:r>
      <w:r>
        <w:rPr/>
        <w:t>2</w:t>
      </w:r>
      <w:r>
        <w:rPr>
          <w:rtl w:val="true"/>
        </w:rPr>
        <w:t xml:space="preserve"> </w:t>
      </w:r>
      <w:r>
        <w:rPr>
          <w:rtl w:val="true"/>
        </w:rPr>
        <w:t>בניסיון לפגוע בו</w:t>
      </w:r>
      <w:r>
        <w:rPr>
          <w:rtl w:val="true"/>
        </w:rPr>
        <w:t xml:space="preserve">, </w:t>
      </w:r>
      <w:r>
        <w:rPr>
          <w:rtl w:val="true"/>
        </w:rPr>
        <w:t xml:space="preserve">המתלונן </w:t>
      </w:r>
      <w:r>
        <w:rPr/>
        <w:t>1</w:t>
      </w:r>
      <w:r>
        <w:rPr>
          <w:rtl w:val="true"/>
        </w:rPr>
        <w:t xml:space="preserve"> </w:t>
      </w:r>
      <w:r>
        <w:rPr>
          <w:rtl w:val="true"/>
        </w:rPr>
        <w:t>דחף את בנו</w:t>
      </w:r>
      <w:r>
        <w:rPr>
          <w:rtl w:val="true"/>
        </w:rPr>
        <w:t xml:space="preserve">, </w:t>
      </w:r>
      <w:r>
        <w:rPr>
          <w:rtl w:val="true"/>
        </w:rPr>
        <w:t xml:space="preserve">והנאשם דקר את המתלונן </w:t>
      </w:r>
      <w:r>
        <w:rPr/>
        <w:t>1</w:t>
      </w:r>
      <w:r>
        <w:rPr>
          <w:rtl w:val="true"/>
        </w:rPr>
        <w:t xml:space="preserve"> </w:t>
      </w:r>
      <w:r>
        <w:rPr>
          <w:rtl w:val="true"/>
        </w:rPr>
        <w:t>בבטנו</w:t>
      </w:r>
      <w:r>
        <w:rPr>
          <w:rtl w:val="true"/>
        </w:rPr>
        <w:t xml:space="preserve">, </w:t>
      </w:r>
      <w:r>
        <w:rPr>
          <w:rtl w:val="true"/>
        </w:rPr>
        <w:t>וייתכן שגם בצווארו</w:t>
      </w:r>
      <w:r>
        <w:rPr>
          <w:rtl w:val="true"/>
        </w:rPr>
        <w:t xml:space="preserve">. </w:t>
      </w:r>
      <w:r>
        <w:rPr>
          <w:rtl w:val="true"/>
        </w:rPr>
        <w:t>לגבי הדקירה בצוואר</w:t>
      </w:r>
      <w:r>
        <w:rPr>
          <w:rtl w:val="true"/>
        </w:rPr>
        <w:t xml:space="preserve">, </w:t>
      </w:r>
      <w:r>
        <w:rPr>
          <w:rtl w:val="true"/>
        </w:rPr>
        <w:t>ייתכן ובוצעה ע</w:t>
      </w:r>
      <w:r>
        <w:rPr>
          <w:rtl w:val="true"/>
        </w:rPr>
        <w:t>"</w:t>
      </w:r>
      <w:r>
        <w:rPr>
          <w:rtl w:val="true"/>
        </w:rPr>
        <w:t>י הנאשם וייתכן ובוצעה ע</w:t>
      </w:r>
      <w:r>
        <w:rPr>
          <w:rtl w:val="true"/>
        </w:rPr>
        <w:t>"</w:t>
      </w:r>
      <w:r>
        <w:rPr>
          <w:rtl w:val="true"/>
        </w:rPr>
        <w:t>י אחר</w:t>
      </w:r>
      <w:r>
        <w:rPr>
          <w:rtl w:val="true"/>
        </w:rPr>
        <w:t xml:space="preserve">, </w:t>
      </w:r>
      <w:r>
        <w:rPr>
          <w:rtl w:val="true"/>
        </w:rPr>
        <w:t xml:space="preserve">במהלך האירוע בו הנאשם דוקר את המתלונן </w:t>
      </w:r>
      <w:r>
        <w:rPr/>
        <w:t>1</w:t>
      </w:r>
      <w:r>
        <w:rPr>
          <w:rtl w:val="true"/>
        </w:rPr>
        <w:t xml:space="preserve">. </w:t>
      </w:r>
      <w:r>
        <w:rPr>
          <w:rtl w:val="true"/>
        </w:rPr>
        <w:t>בשלב זה</w:t>
      </w:r>
      <w:r>
        <w:rPr>
          <w:rtl w:val="true"/>
        </w:rPr>
        <w:t xml:space="preserve">, </w:t>
      </w:r>
      <w:r>
        <w:rPr>
          <w:rtl w:val="true"/>
        </w:rPr>
        <w:t xml:space="preserve">המתלונן </w:t>
      </w:r>
      <w:r>
        <w:rPr/>
        <w:t>1</w:t>
      </w:r>
      <w:r>
        <w:rPr>
          <w:rtl w:val="true"/>
        </w:rPr>
        <w:t xml:space="preserve"> </w:t>
      </w:r>
      <w:r>
        <w:rPr>
          <w:rtl w:val="true"/>
        </w:rPr>
        <w:t>נדקר פעם או פעמיים נוספות</w:t>
      </w:r>
      <w:r>
        <w:rPr>
          <w:rtl w:val="true"/>
        </w:rPr>
        <w:t xml:space="preserve">, </w:t>
      </w:r>
      <w:r>
        <w:rPr>
          <w:rtl w:val="true"/>
        </w:rPr>
        <w:t>קיים במקום אדם נוסף המשתתף בתקיפה</w:t>
      </w:r>
      <w:r>
        <w:rPr>
          <w:rtl w:val="true"/>
        </w:rPr>
        <w:t xml:space="preserve">, </w:t>
      </w:r>
      <w:r>
        <w:rPr>
          <w:rtl w:val="true"/>
        </w:rPr>
        <w:t>ואין זה ברור אלו מהדקירות הנוספות נגרמו ע</w:t>
      </w:r>
      <w:r>
        <w:rPr>
          <w:rtl w:val="true"/>
        </w:rPr>
        <w:t>"</w:t>
      </w:r>
      <w:r>
        <w:rPr>
          <w:rtl w:val="true"/>
        </w:rPr>
        <w:t>י האדם הנוסף שנכח באירוע ואילו ע</w:t>
      </w:r>
      <w:r>
        <w:rPr>
          <w:rtl w:val="true"/>
        </w:rPr>
        <w:t>"</w:t>
      </w:r>
      <w:r>
        <w:rPr>
          <w:rtl w:val="true"/>
        </w:rPr>
        <w:t xml:space="preserve">י הנאשם עצמו </w:t>
      </w:r>
      <w:r>
        <w:rPr>
          <w:rtl w:val="true"/>
        </w:rPr>
        <w:t>[...]" (</w:t>
      </w:r>
      <w:r>
        <w:rPr>
          <w:rtl w:val="true"/>
        </w:rPr>
        <w:t>ראו עמ</w:t>
      </w:r>
      <w:r>
        <w:rPr>
          <w:rtl w:val="true"/>
        </w:rPr>
        <w:t xml:space="preserve">' </w:t>
      </w:r>
      <w:r>
        <w:rPr/>
        <w:t>156</w:t>
      </w:r>
      <w:r>
        <w:rPr>
          <w:rtl w:val="true"/>
        </w:rPr>
        <w:t xml:space="preserve">, </w:t>
      </w:r>
      <w:r>
        <w:rPr>
          <w:rtl w:val="true"/>
        </w:rPr>
        <w:t xml:space="preserve">שורות </w:t>
      </w:r>
      <w:r>
        <w:rPr/>
        <w:t>3</w:t>
      </w:r>
      <w:r>
        <w:rPr>
          <w:rtl w:val="true"/>
        </w:rPr>
        <w:t xml:space="preserve"> </w:t>
      </w:r>
      <w:r>
        <w:rPr>
          <w:rtl w:val="true"/>
        </w:rPr>
        <w:t>ו</w:t>
      </w:r>
      <w:r>
        <w:rPr>
          <w:rtl w:val="true"/>
        </w:rPr>
        <w:t>-</w:t>
      </w:r>
      <w:r>
        <w:rPr/>
        <w:t>24-19</w:t>
      </w:r>
      <w:r>
        <w:rPr>
          <w:rtl w:val="true"/>
        </w:rPr>
        <w:t xml:space="preserve"> </w:t>
      </w:r>
      <w:r>
        <w:rPr>
          <w:rtl w:val="true"/>
        </w:rPr>
        <w:t>להכרעת הדין</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בהמשך</w:t>
      </w:r>
      <w:r>
        <w:rPr>
          <w:rtl w:val="true"/>
        </w:rPr>
        <w:t xml:space="preserve">, </w:t>
      </w:r>
      <w:r>
        <w:rPr>
          <w:rtl w:val="true"/>
        </w:rPr>
        <w:t xml:space="preserve">קבע בית המשפט כי </w:t>
      </w:r>
      <w:r>
        <w:rPr>
          <w:rtl w:val="true"/>
        </w:rPr>
        <w:t>"</w:t>
      </w:r>
      <w:r>
        <w:rPr>
          <w:rtl w:val="true"/>
        </w:rPr>
        <w:t xml:space="preserve">המתלונן </w:t>
      </w:r>
      <w:r>
        <w:rPr/>
        <w:t>1</w:t>
      </w:r>
      <w:r>
        <w:rPr>
          <w:rtl w:val="true"/>
        </w:rPr>
        <w:t xml:space="preserve"> </w:t>
      </w:r>
      <w:r>
        <w:rPr>
          <w:rtl w:val="true"/>
        </w:rPr>
        <w:t>נדקר בנוסף גם בצווארו</w:t>
      </w:r>
      <w:r>
        <w:rPr>
          <w:rtl w:val="true"/>
        </w:rPr>
        <w:t xml:space="preserve">, </w:t>
      </w:r>
      <w:r>
        <w:rPr>
          <w:rtl w:val="true"/>
        </w:rPr>
        <w:t>אולם לא הוכח אם בפועל הדקירות בצוואר בוצעו על ידי הנאשם</w:t>
      </w:r>
      <w:r>
        <w:rPr>
          <w:rtl w:val="true"/>
        </w:rPr>
        <w:t xml:space="preserve">. </w:t>
      </w:r>
      <w:r>
        <w:rPr>
          <w:rtl w:val="true"/>
        </w:rPr>
        <w:t>מכל מקום</w:t>
      </w:r>
      <w:r>
        <w:rPr>
          <w:rtl w:val="true"/>
        </w:rPr>
        <w:t xml:space="preserve">, </w:t>
      </w:r>
      <w:r>
        <w:rPr>
          <w:rtl w:val="true"/>
        </w:rPr>
        <w:t>דקירות אלו בצוואר בוצעו באירוע</w:t>
      </w:r>
      <w:r>
        <w:rPr>
          <w:rtl w:val="true"/>
        </w:rPr>
        <w:t xml:space="preserve">, </w:t>
      </w:r>
      <w:r>
        <w:rPr>
          <w:rtl w:val="true"/>
        </w:rPr>
        <w:t>ואם אחר שהיה עם הנאשם ביצע דקירות אלו בצוואר</w:t>
      </w:r>
      <w:r>
        <w:rPr>
          <w:rtl w:val="true"/>
        </w:rPr>
        <w:t xml:space="preserve">, </w:t>
      </w:r>
      <w:r>
        <w:rPr>
          <w:rtl w:val="true"/>
        </w:rPr>
        <w:t>הרי שאחריות הנאשם לדקירות בצוואר הינה מכוח היותו שותף וחלק בלתי נפרד מאירוע הדקירה</w:t>
      </w:r>
      <w:r>
        <w:rPr>
          <w:rtl w:val="true"/>
        </w:rPr>
        <w:t>" (</w:t>
      </w:r>
      <w:r>
        <w:rPr>
          <w:rtl w:val="true"/>
        </w:rPr>
        <w:t>ראו עמ</w:t>
      </w:r>
      <w:r>
        <w:rPr>
          <w:rtl w:val="true"/>
        </w:rPr>
        <w:t xml:space="preserve">' </w:t>
      </w:r>
      <w:r>
        <w:rPr/>
        <w:t>182</w:t>
      </w:r>
      <w:r>
        <w:rPr>
          <w:rtl w:val="true"/>
        </w:rPr>
        <w:t xml:space="preserve">, </w:t>
      </w:r>
      <w:r>
        <w:rPr>
          <w:rtl w:val="true"/>
        </w:rPr>
        <w:t xml:space="preserve">שורות </w:t>
      </w:r>
      <w:r>
        <w:rPr/>
        <w:t>24-22</w:t>
      </w:r>
      <w:r>
        <w:rPr>
          <w:rtl w:val="true"/>
        </w:rPr>
        <w:t xml:space="preserve"> </w:t>
      </w:r>
      <w:r>
        <w:rPr>
          <w:rtl w:val="true"/>
        </w:rPr>
        <w:t>להכרעת הדין</w:t>
      </w:r>
      <w:r>
        <w:rPr>
          <w:rtl w:val="true"/>
        </w:rPr>
        <w:t xml:space="preserve">). </w:t>
      </w:r>
      <w:r>
        <w:rPr>
          <w:rtl w:val="true"/>
        </w:rPr>
        <w:t>לצד זאת</w:t>
      </w:r>
      <w:r>
        <w:rPr>
          <w:rtl w:val="true"/>
        </w:rPr>
        <w:t xml:space="preserve">, </w:t>
      </w:r>
      <w:r>
        <w:rPr>
          <w:rtl w:val="true"/>
        </w:rPr>
        <w:t>הוסיף בית משפט קמא בגזר דינו את האמירה הבאה</w:t>
      </w:r>
      <w:r>
        <w:rPr>
          <w:rtl w:val="true"/>
        </w:rPr>
        <w:t>: "</w:t>
      </w:r>
      <w:r>
        <w:rPr>
          <w:rtl w:val="true"/>
        </w:rPr>
        <w:t>הגם שלא הוכח כי הנאשם עצמו ביצע את הדקירות בצוואר</w:t>
      </w:r>
      <w:r>
        <w:rPr>
          <w:rtl w:val="true"/>
        </w:rPr>
        <w:t xml:space="preserve">, </w:t>
      </w:r>
      <w:r>
        <w:rPr>
          <w:rtl w:val="true"/>
        </w:rPr>
        <w:t>הרי שהואיל ומדובר באותו אירוע</w:t>
      </w:r>
      <w:r>
        <w:rPr>
          <w:rtl w:val="true"/>
        </w:rPr>
        <w:t xml:space="preserve">, </w:t>
      </w:r>
      <w:r>
        <w:rPr>
          <w:rtl w:val="true"/>
        </w:rPr>
        <w:t>ובאותה מסכת של דקירות</w:t>
      </w:r>
      <w:r>
        <w:rPr>
          <w:rtl w:val="true"/>
        </w:rPr>
        <w:t xml:space="preserve">, </w:t>
      </w:r>
      <w:r>
        <w:rPr>
          <w:rtl w:val="true"/>
        </w:rPr>
        <w:t>הרי שהמשקל שיש לתת לכך שייתכן ולא הוא הדוקר</w:t>
      </w:r>
      <w:r>
        <w:rPr>
          <w:rtl w:val="true"/>
        </w:rPr>
        <w:t xml:space="preserve">, </w:t>
      </w:r>
      <w:r>
        <w:rPr>
          <w:rtl w:val="true"/>
        </w:rPr>
        <w:t>אינו גבוה</w:t>
      </w:r>
      <w:r>
        <w:rPr>
          <w:rtl w:val="true"/>
        </w:rPr>
        <w:t>" (</w:t>
      </w:r>
      <w:r>
        <w:rPr>
          <w:rtl w:val="true"/>
        </w:rPr>
        <w:t>ראו עמ</w:t>
      </w:r>
      <w:r>
        <w:rPr>
          <w:rtl w:val="true"/>
        </w:rPr>
        <w:t xml:space="preserve">' </w:t>
      </w:r>
      <w:r>
        <w:rPr/>
        <w:t>199</w:t>
      </w:r>
      <w:r>
        <w:rPr>
          <w:rtl w:val="true"/>
        </w:rPr>
        <w:t xml:space="preserve">, </w:t>
      </w:r>
      <w:r>
        <w:rPr>
          <w:rtl w:val="true"/>
        </w:rPr>
        <w:t xml:space="preserve">שורות </w:t>
      </w:r>
      <w:r>
        <w:rPr/>
        <w:t>26-24</w:t>
      </w:r>
      <w:r>
        <w:rPr>
          <w:rtl w:val="true"/>
        </w:rPr>
        <w:t xml:space="preserve"> </w:t>
      </w:r>
      <w:r>
        <w:rPr>
          <w:rtl w:val="true"/>
        </w:rPr>
        <w:t xml:space="preserve">לגזר הדין מיום </w:t>
      </w:r>
      <w:r>
        <w:rPr/>
        <w:t>22.12.2016</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הווה אומר</w:t>
      </w:r>
      <w:r>
        <w:rPr>
          <w:rtl w:val="true"/>
        </w:rPr>
        <w:t xml:space="preserve">: </w:t>
      </w:r>
      <w:r>
        <w:rPr>
          <w:rtl w:val="true"/>
        </w:rPr>
        <w:t xml:space="preserve">קיים ספק סביר בנוגע לזהות התוקף שדקר את המתלונן </w:t>
      </w:r>
      <w:r>
        <w:rPr/>
        <w:t>1</w:t>
      </w:r>
      <w:r>
        <w:rPr>
          <w:rtl w:val="true"/>
        </w:rPr>
        <w:t xml:space="preserve"> </w:t>
      </w:r>
      <w:r>
        <w:rPr>
          <w:rtl w:val="true"/>
        </w:rPr>
        <w:t>בצווארו</w:t>
      </w:r>
      <w:r>
        <w:rPr>
          <w:rtl w:val="true"/>
        </w:rPr>
        <w:t xml:space="preserve">. </w:t>
      </w:r>
      <w:r>
        <w:rPr>
          <w:rtl w:val="true"/>
        </w:rPr>
        <w:t>בעטיו של ספק זה</w:t>
      </w:r>
      <w:r>
        <w:rPr>
          <w:rtl w:val="true"/>
        </w:rPr>
        <w:t xml:space="preserve">, </w:t>
      </w:r>
      <w:r>
        <w:rPr>
          <w:rtl w:val="true"/>
        </w:rPr>
        <w:t>הניח בית משפט קמא לטובת המערער כי מי שביצע דקירה זו היה אדם אחר</w:t>
      </w:r>
      <w:r>
        <w:rPr>
          <w:rtl w:val="true"/>
        </w:rPr>
        <w:t xml:space="preserve">. </w:t>
      </w:r>
      <w:r>
        <w:rPr>
          <w:rtl w:val="true"/>
        </w:rPr>
        <w:t>הנחה זו הטיבה עם המערער מבחינת דיני הראיות אולם לא מבחינת דיני העונשין</w:t>
      </w:r>
      <w:r>
        <w:rPr>
          <w:rtl w:val="true"/>
        </w:rPr>
        <w:t xml:space="preserve">, </w:t>
      </w:r>
      <w:r>
        <w:rPr>
          <w:rtl w:val="true"/>
        </w:rPr>
        <w:t>שכן בית המשפט קבע כי המערער והאחר פעלו בצוותא חדא</w:t>
      </w:r>
      <w:r>
        <w:rPr>
          <w:rtl w:val="true"/>
        </w:rPr>
        <w:t xml:space="preserve">. </w:t>
      </w:r>
      <w:r>
        <w:rPr>
          <w:rtl w:val="true"/>
        </w:rPr>
        <w:t>על יסוד קביעה זו</w:t>
      </w:r>
      <w:r>
        <w:rPr>
          <w:rtl w:val="true"/>
        </w:rPr>
        <w:t xml:space="preserve">, </w:t>
      </w:r>
      <w:r>
        <w:rPr>
          <w:rtl w:val="true"/>
        </w:rPr>
        <w:t>הוסיף בית המשפט וקבע כי השניים היו שותפים למעשה הדקירה בצוואר</w:t>
      </w:r>
      <w:r>
        <w:rPr>
          <w:rtl w:val="true"/>
        </w:rPr>
        <w:t xml:space="preserve">, </w:t>
      </w:r>
      <w:r>
        <w:rPr>
          <w:rtl w:val="true"/>
        </w:rPr>
        <w:t>ולפיכך המערער אחראי בפלילים גם לדקירה זו ולתוצאותיה</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המערער טוען כי בית משפט קמא שגה בקביעתו האמורה מאחר שזו איננה נתמכת בחומר הראיות</w:t>
      </w:r>
      <w:r>
        <w:rPr>
          <w:rtl w:val="true"/>
        </w:rPr>
        <w:t xml:space="preserve">. </w:t>
      </w:r>
      <w:r>
        <w:rPr>
          <w:rtl w:val="true"/>
        </w:rPr>
        <w:t>המערער מוסיף וטוען בהקשר זה</w:t>
      </w:r>
      <w:r>
        <w:rPr>
          <w:rtl w:val="true"/>
        </w:rPr>
        <w:t xml:space="preserve">, </w:t>
      </w:r>
      <w:r>
        <w:rPr>
          <w:rtl w:val="true"/>
        </w:rPr>
        <w:t>כי זהותו של התוקף האחר</w:t>
      </w:r>
      <w:r>
        <w:rPr>
          <w:rtl w:val="true"/>
        </w:rPr>
        <w:t xml:space="preserve">, </w:t>
      </w:r>
      <w:r>
        <w:rPr>
          <w:rtl w:val="true"/>
        </w:rPr>
        <w:t>מידת קרבתו למערער ושיתוף הפעולה שבין השניים נשארו לוטים בערפל שממנו עולה ספק סביר</w:t>
      </w:r>
      <w:r>
        <w:rPr>
          <w:rtl w:val="true"/>
        </w:rPr>
        <w:t xml:space="preserve">, </w:t>
      </w:r>
      <w:r>
        <w:rPr>
          <w:rtl w:val="true"/>
        </w:rPr>
        <w:t>אם לא למעלה מכך</w:t>
      </w:r>
      <w:r>
        <w:rPr>
          <w:rtl w:val="true"/>
        </w:rPr>
        <w:t xml:space="preserve">. </w:t>
      </w:r>
      <w:r>
        <w:rPr>
          <w:rtl w:val="true"/>
        </w:rPr>
        <w:t>לדברי המערער</w:t>
      </w:r>
      <w:r>
        <w:rPr>
          <w:rtl w:val="true"/>
        </w:rPr>
        <w:t xml:space="preserve">, </w:t>
      </w:r>
      <w:r>
        <w:rPr>
          <w:rtl w:val="true"/>
        </w:rPr>
        <w:t>ספק זה איננו מאפשר הסקת מסקנה על היותו שותף לדבר עבירה</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המשיבה חולקת על טענה זו</w:t>
      </w:r>
      <w:r>
        <w:rPr>
          <w:rtl w:val="true"/>
        </w:rPr>
        <w:t xml:space="preserve">. </w:t>
      </w:r>
      <w:r>
        <w:rPr>
          <w:rtl w:val="true"/>
        </w:rPr>
        <w:t>לשיטתה</w:t>
      </w:r>
      <w:r>
        <w:rPr>
          <w:rtl w:val="true"/>
        </w:rPr>
        <w:t xml:space="preserve">, </w:t>
      </w:r>
      <w:r>
        <w:rPr>
          <w:rtl w:val="true"/>
        </w:rPr>
        <w:t xml:space="preserve">צפייה במצלמות האבטחה שפעלו במקום האירוע ובחינת שאר הראיות הרלוונטיות מלמדות כי המערער והדוקר הנוסף תקפו את המתלונן </w:t>
      </w:r>
      <w:r>
        <w:rPr/>
        <w:t>1</w:t>
      </w:r>
      <w:r>
        <w:rPr>
          <w:rtl w:val="true"/>
        </w:rPr>
        <w:t xml:space="preserve"> </w:t>
      </w:r>
      <w:r>
        <w:rPr>
          <w:rtl w:val="true"/>
        </w:rPr>
        <w:t>יחדיו</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סבורני כי הצדק עם המשיבה</w:t>
      </w:r>
      <w:r>
        <w:rPr>
          <w:rtl w:val="true"/>
        </w:rPr>
        <w:t xml:space="preserve">. </w:t>
      </w:r>
      <w:r>
        <w:rPr>
          <w:rtl w:val="true"/>
        </w:rPr>
        <w:t>התזה כי אלמוני</w:t>
      </w:r>
      <w:r>
        <w:rPr>
          <w:rtl w:val="true"/>
        </w:rPr>
        <w:t xml:space="preserve">, </w:t>
      </w:r>
      <w:r>
        <w:rPr>
          <w:rtl w:val="true"/>
        </w:rPr>
        <w:t>שכלל איננו קשור למערער</w:t>
      </w:r>
      <w:r>
        <w:rPr>
          <w:rtl w:val="true"/>
        </w:rPr>
        <w:t xml:space="preserve">, </w:t>
      </w:r>
      <w:r>
        <w:rPr>
          <w:rtl w:val="true"/>
        </w:rPr>
        <w:t xml:space="preserve">הופיע לפתע במקום האירוע כדי לדקור את המתלונן </w:t>
      </w:r>
      <w:r>
        <w:rPr/>
        <w:t>1</w:t>
      </w:r>
      <w:r>
        <w:rPr>
          <w:rtl w:val="true"/>
        </w:rPr>
        <w:t xml:space="preserve"> </w:t>
      </w:r>
      <w:r>
        <w:rPr>
          <w:rtl w:val="true"/>
        </w:rPr>
        <w:t>בצווארו בזמן שהלה נדקר בבטנו ובמותנו על ידי המערער</w:t>
      </w:r>
      <w:r>
        <w:rPr>
          <w:rtl w:val="true"/>
        </w:rPr>
        <w:t xml:space="preserve">, </w:t>
      </w:r>
      <w:r>
        <w:rPr>
          <w:rtl w:val="true"/>
        </w:rPr>
        <w:t>היא בגדר מקריות שאין מופלאה ממנה</w:t>
      </w:r>
      <w:r>
        <w:rPr>
          <w:rtl w:val="true"/>
        </w:rPr>
        <w:t xml:space="preserve">. </w:t>
      </w:r>
      <w:r>
        <w:rPr>
          <w:rtl w:val="true"/>
        </w:rPr>
        <w:t>תזה זו לא עולה בקנה אחד עם ניסיון החיים ואין בה כדי לעורר ספק סביר לטובת המערער</w:t>
      </w:r>
      <w:r>
        <w:rPr>
          <w:rtl w:val="true"/>
        </w:rPr>
        <w:t xml:space="preserve">. </w:t>
      </w:r>
      <w:r>
        <w:rPr>
          <w:rtl w:val="true"/>
        </w:rPr>
        <w:t>בהינתן מסקנה זו</w:t>
      </w:r>
      <w:r>
        <w:rPr>
          <w:rtl w:val="true"/>
        </w:rPr>
        <w:t xml:space="preserve">, </w:t>
      </w:r>
      <w:r>
        <w:rPr>
          <w:rtl w:val="true"/>
        </w:rPr>
        <w:t xml:space="preserve">עדיין חובה עלינו לבדוק אם המערער אחראי לדקירת המתלונן </w:t>
      </w:r>
      <w:r>
        <w:rPr/>
        <w:t>1</w:t>
      </w:r>
      <w:r>
        <w:rPr>
          <w:rtl w:val="true"/>
        </w:rPr>
        <w:t xml:space="preserve"> </w:t>
      </w:r>
      <w:r>
        <w:rPr>
          <w:rtl w:val="true"/>
        </w:rPr>
        <w:t>בצווארו לפי דיני השותפות לדבר עבירה</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לפי דינים אלה</w:t>
      </w:r>
      <w:r>
        <w:rPr>
          <w:rtl w:val="true"/>
        </w:rPr>
        <w:t xml:space="preserve">, </w:t>
      </w:r>
      <w:r>
        <w:rPr>
          <w:rtl w:val="true"/>
        </w:rPr>
        <w:t>לא די בקביעה כי הדקירות בוצעו באותו אירוע וכחלק ממנו על מנת להטיל אחריות פלילית על המערער בגין מעשה דקירה אשר בוצע על ידי אדם אחר</w:t>
      </w:r>
      <w:r>
        <w:rPr>
          <w:rtl w:val="true"/>
        </w:rPr>
        <w:t xml:space="preserve">. </w:t>
      </w:r>
      <w:r>
        <w:rPr>
          <w:rtl w:val="true"/>
        </w:rPr>
        <w:t>המערער יהא אחראי לאותה דקירה רק בהתקיים הוכחה מעבר לספק סביר כי הוא ואותו אדם אחר פעלו בצוותא חדא</w:t>
      </w:r>
      <w:r>
        <w:rPr>
          <w:rtl w:val="true"/>
        </w:rPr>
        <w:t xml:space="preserve">. </w:t>
      </w:r>
      <w:r>
        <w:rPr>
          <w:rtl w:val="true"/>
        </w:rPr>
        <w:t>לדעתי</w:t>
      </w:r>
      <w:r>
        <w:rPr>
          <w:rtl w:val="true"/>
        </w:rPr>
        <w:t xml:space="preserve">, </w:t>
      </w:r>
      <w:r>
        <w:rPr>
          <w:rtl w:val="true"/>
        </w:rPr>
        <w:t>הראיות שהביאה התביעה להוכחת אשמתו של המערער מספקות את ההוכחה הנדרשת</w:t>
      </w:r>
      <w:r>
        <w:rPr>
          <w:rtl w:val="true"/>
        </w:rPr>
        <w:t xml:space="preserve">. </w:t>
      </w:r>
      <w:r>
        <w:rPr>
          <w:rtl w:val="true"/>
        </w:rPr>
        <w:t>בטרם אדון בראיות אלה</w:t>
      </w:r>
      <w:r>
        <w:rPr>
          <w:rtl w:val="true"/>
        </w:rPr>
        <w:t xml:space="preserve">, </w:t>
      </w:r>
      <w:r>
        <w:rPr>
          <w:rtl w:val="true"/>
        </w:rPr>
        <w:t>אציג את הכללים שמכוחם נקבעת אחריותו של שותף למעשה פלילי של שותפו</w:t>
      </w:r>
      <w:r>
        <w:rPr>
          <w:rtl w:val="true"/>
        </w:rPr>
        <w:t>.</w:t>
      </w:r>
    </w:p>
    <w:p>
      <w:pPr>
        <w:pStyle w:val="Ruller42"/>
        <w:ind w:end="0"/>
        <w:jc w:val="both"/>
        <w:rPr>
          <w:color w:val="FF0000"/>
        </w:rPr>
      </w:pPr>
      <w:r>
        <w:rPr>
          <w:color w:val="FF0000"/>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hyperlink r:id="rId29">
        <w:r>
          <w:rPr>
            <w:rStyle w:val="Hyperlink"/>
            <w:color w:val="0000FF"/>
            <w:u w:val="single"/>
            <w:rtl w:val="true"/>
          </w:rPr>
          <w:t>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w:t>
      </w:r>
      <w:hyperlink r:id="rId3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 כדלקמן</w:t>
      </w:r>
      <w:r>
        <w:rPr>
          <w:rtl w:val="true"/>
        </w:rPr>
        <w:t>:</w:t>
      </w:r>
    </w:p>
    <w:p>
      <w:pPr>
        <w:pStyle w:val="Ruller42"/>
        <w:ind w:end="0"/>
        <w:jc w:val="both"/>
        <w:rPr/>
      </w:pPr>
      <w:r>
        <w:rPr>
          <w:rtl w:val="true"/>
        </w:rPr>
      </w:r>
    </w:p>
    <w:p>
      <w:pPr>
        <w:pStyle w:val="Ruller51"/>
        <w:ind w:end="1282"/>
        <w:jc w:val="both"/>
        <w:rPr/>
      </w:pPr>
      <w:r>
        <w:rPr>
          <w:rtl w:val="true"/>
        </w:rPr>
        <w:t>(</w:t>
      </w:r>
      <w:r>
        <w:rPr>
          <w:rtl w:val="true"/>
        </w:rPr>
        <w:t>א</w:t>
      </w:r>
      <w:r>
        <w:rPr>
          <w:rtl w:val="true"/>
        </w:rPr>
        <w:t xml:space="preserve">) </w:t>
      </w:r>
      <w:r>
        <w:rPr>
          <w:rtl w:val="true"/>
        </w:rPr>
        <w:t>מבצע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 xml:space="preserve">- </w:t>
      </w:r>
      <w:r>
        <w:rPr>
          <w:rtl w:val="true"/>
        </w:rPr>
        <w:t>לרבות</w:t>
      </w:r>
      <w:r>
        <w:rPr>
          <w:rFonts w:eastAsia="Arial TUR;Arial" w:cs="Arial TUR;Arial"/>
          <w:rtl w:val="true"/>
        </w:rPr>
        <w:t xml:space="preserve"> </w:t>
      </w:r>
      <w:r>
        <w:rPr>
          <w:rtl w:val="true"/>
        </w:rPr>
        <w:t>מבצעה</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אחר</w:t>
      </w:r>
      <w:r>
        <w:rPr>
          <w:rtl w:val="true"/>
        </w:rPr>
        <w:t>.</w:t>
      </w:r>
    </w:p>
    <w:p>
      <w:pPr>
        <w:pStyle w:val="Ruller51"/>
        <w:ind w:end="1282"/>
        <w:jc w:val="both"/>
        <w:rPr/>
      </w:pPr>
      <w:r>
        <w:rPr>
          <w:rtl w:val="true"/>
        </w:rPr>
      </w:r>
    </w:p>
    <w:p>
      <w:pPr>
        <w:pStyle w:val="Ruller51"/>
        <w:ind w:end="1282"/>
        <w:jc w:val="both"/>
        <w:rPr/>
      </w:pPr>
      <w:r>
        <w:rPr>
          <w:rtl w:val="true"/>
        </w:rPr>
        <w:t>(</w:t>
      </w:r>
      <w:r>
        <w:rPr>
          <w:rtl w:val="true"/>
        </w:rPr>
        <w:t>ב</w:t>
      </w:r>
      <w:r>
        <w:rPr>
          <w:rtl w:val="true"/>
        </w:rPr>
        <w:t xml:space="preserve">) </w:t>
      </w:r>
      <w:r>
        <w:rPr>
          <w:rtl w:val="true"/>
        </w:rPr>
        <w:t>המשתתפים</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לביצועה</w:t>
      </w:r>
      <w:r>
        <w:rPr>
          <w:rtl w:val="true"/>
        </w:rPr>
        <w:t xml:space="preserve">, </w:t>
      </w:r>
      <w:r>
        <w:rPr>
          <w:rtl w:val="true"/>
        </w:rPr>
        <w:t>הם</w:t>
      </w:r>
      <w:r>
        <w:rPr>
          <w:rFonts w:eastAsia="Arial TUR;Arial" w:cs="Arial TUR;Arial"/>
          <w:rtl w:val="true"/>
        </w:rPr>
        <w:t xml:space="preserve"> </w:t>
      </w:r>
      <w:r>
        <w:rPr>
          <w:rtl w:val="true"/>
        </w:rPr>
        <w:t>מבצעים</w:t>
      </w:r>
      <w:r>
        <w:rPr>
          <w:rFonts w:eastAsia="Arial TUR;Arial" w:cs="Arial TUR;Arial"/>
          <w:rtl w:val="true"/>
        </w:rPr>
        <w:t xml:space="preserve"> </w:t>
      </w:r>
      <w:r>
        <w:rPr>
          <w:rtl w:val="true"/>
        </w:rPr>
        <w:t>בצוותא</w:t>
      </w:r>
      <w:r>
        <w:rPr>
          <w:rtl w:val="true"/>
        </w:rPr>
        <w:t xml:space="preserve">, </w:t>
      </w:r>
      <w:r>
        <w:rPr>
          <w:rtl w:val="true"/>
        </w:rPr>
        <w:t>ואין</w:t>
      </w:r>
      <w:r>
        <w:rPr>
          <w:rFonts w:eastAsia="Arial TUR;Arial" w:cs="Arial TUR;Arial"/>
          <w:rtl w:val="true"/>
        </w:rPr>
        <w:t xml:space="preserve"> </w:t>
      </w:r>
      <w:r>
        <w:rPr>
          <w:rtl w:val="true"/>
        </w:rPr>
        <w:t>נפקה</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ביחד</w:t>
      </w:r>
      <w:r>
        <w:rPr>
          <w:rtl w:val="true"/>
        </w:rPr>
        <w:t xml:space="preserve">, </w:t>
      </w:r>
      <w:r>
        <w:rPr>
          <w:rtl w:val="true"/>
        </w:rPr>
        <w:t>או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מקצתם</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ומקצתם</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אחר</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ab/>
      </w:r>
      <w:r>
        <w:rPr>
          <w:rtl w:val="true"/>
        </w:rPr>
        <w:t>לפי הוראה זו</w:t>
      </w:r>
      <w:r>
        <w:rPr>
          <w:rtl w:val="true"/>
        </w:rPr>
        <w:t xml:space="preserve">, </w:t>
      </w:r>
      <w:r>
        <w:rPr>
          <w:rtl w:val="true"/>
        </w:rPr>
        <w:t>מבצע בצוותא הוא מי שפועל יחד עם אדם אחר כ</w:t>
      </w:r>
      <w:r>
        <w:rPr>
          <w:rtl w:val="true"/>
        </w:rPr>
        <w:t>"</w:t>
      </w:r>
      <w:r>
        <w:rPr>
          <w:rFonts w:ascii="Century" w:hAnsi="Century" w:cs="Miriam"/>
          <w:b/>
          <w:b/>
          <w:spacing w:val="0"/>
          <w:sz w:val="22"/>
          <w:sz w:val="22"/>
          <w:szCs w:val="24"/>
          <w:rtl w:val="true"/>
        </w:rPr>
        <w:t>גוף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העבריינית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המשותפת</w:t>
      </w:r>
      <w:r>
        <w:rPr>
          <w:rtl w:val="true"/>
        </w:rPr>
        <w:t>" (</w:t>
      </w:r>
      <w:r>
        <w:rPr>
          <w:rtl w:val="true"/>
        </w:rPr>
        <w:t xml:space="preserve">ראו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3834/10</w:t>
        </w:r>
      </w:hyperlink>
      <w:r>
        <w:rPr>
          <w:rtl w:val="true"/>
        </w:rPr>
        <w:t xml:space="preserve"> </w:t>
      </w:r>
      <w:r>
        <w:rPr>
          <w:rFonts w:ascii="Century" w:hAnsi="Century" w:cs="Miriam"/>
          <w:b/>
          <w:b/>
          <w:spacing w:val="0"/>
          <w:szCs w:val="24"/>
          <w:rtl w:val="true"/>
        </w:rPr>
        <w:t>והבה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142</w:t>
      </w:r>
      <w:r>
        <w:rPr>
          <w:rtl w:val="true"/>
        </w:rPr>
        <w:t xml:space="preserve"> (</w:t>
      </w:r>
      <w:r>
        <w:rPr/>
        <w:t>6.3.2013</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והבה</w:t>
      </w:r>
      <w:r>
        <w:rPr>
          <w:rtl w:val="true"/>
        </w:rPr>
        <w:t xml:space="preserve">)). </w:t>
      </w:r>
      <w:r>
        <w:rPr>
          <w:rtl w:val="true"/>
        </w:rPr>
        <w:t>במסגרת זו של גוף אחד</w:t>
      </w:r>
      <w:r>
        <w:rPr>
          <w:rtl w:val="true"/>
        </w:rPr>
        <w:t xml:space="preserve">, </w:t>
      </w:r>
      <w:r>
        <w:rPr>
          <w:rtl w:val="true"/>
        </w:rPr>
        <w:t>״</w:t>
      </w:r>
      <w:r>
        <w:rPr>
          <w:rtl w:val="true"/>
        </w:rPr>
        <w:t>כל הפעולות שנעשות בידי אותו גוף</w:t>
      </w:r>
      <w:r>
        <w:rPr>
          <w:rtl w:val="true"/>
        </w:rPr>
        <w:t xml:space="preserve">, </w:t>
      </w:r>
      <w:r>
        <w:rPr>
          <w:rtl w:val="true"/>
        </w:rPr>
        <w:t>המורכב מכל המבצעים בצוותא</w:t>
      </w:r>
      <w:r>
        <w:rPr>
          <w:rtl w:val="true"/>
        </w:rPr>
        <w:t xml:space="preserve">, </w:t>
      </w:r>
      <w:r>
        <w:rPr>
          <w:rtl w:val="true"/>
        </w:rPr>
        <w:t>שייכות לכולם ולכל אחד בנפרד</w:t>
      </w:r>
      <w:r>
        <w:rPr>
          <w:rtl w:val="true"/>
        </w:rPr>
        <w:t xml:space="preserve">, </w:t>
      </w:r>
      <w:r>
        <w:rPr>
          <w:rtl w:val="true"/>
        </w:rPr>
        <w:t>באותה מידה</w:t>
      </w:r>
      <w:r>
        <w:rPr>
          <w:rtl w:val="true"/>
        </w:rPr>
        <w:t xml:space="preserve"> </w:t>
      </w:r>
      <w:r>
        <w:rPr>
          <w:rtl w:val="true"/>
        </w:rPr>
        <w:t>[</w:t>
      </w:r>
      <w:r>
        <w:rPr>
          <w:rtl w:val="true"/>
        </w:rPr>
        <w:t>...</w:t>
      </w:r>
      <w:r>
        <w:rPr>
          <w:rtl w:val="true"/>
        </w:rPr>
        <w:t>]</w:t>
      </w:r>
      <w:r>
        <w:rPr>
          <w:rtl w:val="true"/>
        </w:rPr>
        <w:t xml:space="preserve"> </w:t>
      </w:r>
      <w:r>
        <w:rPr>
          <w:rtl w:val="true"/>
        </w:rPr>
        <w:t>כל הפעולות משתלבות זו בזו ומתמזגות בפעילות הצוות</w:t>
      </w:r>
      <w:r>
        <w:rPr>
          <w:rtl w:val="true"/>
        </w:rPr>
        <w:t xml:space="preserve">, </w:t>
      </w:r>
      <w:r>
        <w:rPr>
          <w:rtl w:val="true"/>
        </w:rPr>
        <w:t>הבלתי ניתנת</w:t>
      </w:r>
      <w:r>
        <w:rPr>
          <w:rtl w:val="true"/>
        </w:rPr>
        <w:t>-</w:t>
      </w:r>
      <w:r>
        <w:rPr>
          <w:rtl w:val="true"/>
        </w:rPr>
        <w:t>לחלוקה</w:t>
      </w:r>
      <w:r>
        <w:rPr>
          <w:rtl w:val="true"/>
        </w:rPr>
        <w:t>.</w:t>
      </w:r>
      <w:r>
        <w:rPr>
          <w:rtl w:val="true"/>
        </w:rPr>
        <w:t>"</w:t>
      </w:r>
      <w:r>
        <w:rPr>
          <w:rtl w:val="true"/>
        </w:rPr>
        <w:t xml:space="preserve"> (</w:t>
      </w:r>
      <w:r>
        <w:rPr>
          <w:rtl w:val="true"/>
        </w:rPr>
        <w:t>ראו ש</w:t>
      </w:r>
      <w:r>
        <w:rPr>
          <w:rtl w:val="true"/>
        </w:rPr>
        <w:t>"</w:t>
      </w:r>
      <w:r>
        <w:rPr>
          <w:rtl w:val="true"/>
        </w:rPr>
        <w:t xml:space="preserve">ז </w:t>
      </w:r>
      <w:hyperlink r:id="rId32">
        <w:r>
          <w:rPr>
            <w:rStyle w:val="Hyperlink"/>
            <w:rFonts w:ascii="Century" w:hAnsi="Century" w:cs="Century"/>
            <w:color w:val="0000FF"/>
            <w:u w:val="single"/>
            <w:rtl w:val="true"/>
          </w:rPr>
          <w:t>פלר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יסודות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בדיני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עונשין</w:t>
        </w:r>
      </w:hyperlink>
      <w:r>
        <w:rPr>
          <w:rtl w:val="true"/>
        </w:rPr>
        <w:t xml:space="preserve"> כרך ב </w:t>
      </w:r>
      <w:r>
        <w:rPr/>
        <w:t>202</w:t>
      </w:r>
      <w:r>
        <w:rPr>
          <w:rtl w:val="true"/>
        </w:rPr>
        <w:t xml:space="preserve"> (</w:t>
      </w:r>
      <w:r>
        <w:rPr/>
        <w:t>1987</w:t>
      </w:r>
      <w:r>
        <w:rPr>
          <w:rtl w:val="true"/>
        </w:rPr>
        <w:t>) (</w:t>
      </w:r>
      <w:r>
        <w:rPr>
          <w:rtl w:val="true"/>
        </w:rPr>
        <w:t>להלן</w:t>
      </w:r>
      <w:r>
        <w:rPr>
          <w:rtl w:val="true"/>
        </w:rPr>
        <w:t xml:space="preserve">: </w:t>
      </w:r>
      <w:r>
        <w:rPr>
          <w:rFonts w:ascii="Century" w:hAnsi="Century" w:cs="Miriam"/>
          <w:b/>
          <w:b/>
          <w:spacing w:val="0"/>
          <w:szCs w:val="24"/>
          <w:rtl w:val="true"/>
        </w:rPr>
        <w:t>פלר</w:t>
      </w:r>
      <w:r>
        <w:rPr>
          <w:rtl w:val="true"/>
        </w:rPr>
        <w:t xml:space="preserve">); </w:t>
      </w:r>
      <w:r>
        <w:rPr>
          <w:rtl w:val="true"/>
        </w:rPr>
        <w:t>וכן ראו</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4693/01</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נגד</w:t>
        </w:r>
        <w:r>
          <w:rPr>
            <w:rStyle w:val="Hyperlink"/>
            <w:color w:val="0000FF"/>
            <w:u w:val="single"/>
            <w:rtl w:val="true"/>
          </w:rPr>
          <w:t xml:space="preserve"> </w:t>
        </w:r>
        <w:r>
          <w:rPr>
            <w:rStyle w:val="Hyperlink"/>
            <w:color w:val="0000FF"/>
            <w:u w:val="single"/>
            <w:rtl w:val="true"/>
          </w:rPr>
          <w:t>בביזאיב</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5</w:t>
      </w:r>
      <w:r>
        <w:rPr>
          <w:rtl w:val="true"/>
        </w:rPr>
        <w:t xml:space="preserve">) </w:t>
      </w:r>
      <w:r>
        <w:rPr/>
        <w:t>580</w:t>
      </w:r>
      <w:r>
        <w:rPr>
          <w:rtl w:val="true"/>
        </w:rPr>
        <w:t xml:space="preserve"> (</w:t>
      </w:r>
      <w:r>
        <w:rPr/>
        <w:t>2002</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בביזאיב</w:t>
      </w:r>
      <w:r>
        <w:rPr>
          <w:rtl w:val="true"/>
        </w:rPr>
        <w:t xml:space="preserve">); </w:t>
      </w:r>
      <w:hyperlink r:id="rId34">
        <w:r>
          <w:rPr>
            <w:rStyle w:val="Hyperlink"/>
            <w:b/>
            <w:b/>
            <w:color w:val="0000FF"/>
            <w:u w:val="single"/>
            <w:rtl w:val="true"/>
          </w:rPr>
          <w:t>ע</w:t>
        </w:r>
        <w:r>
          <w:rPr>
            <w:rStyle w:val="Hyperlink"/>
            <w:b/>
            <w:color w:val="0000FF"/>
            <w:u w:val="single"/>
            <w:rtl w:val="true"/>
          </w:rPr>
          <w:t>"</w:t>
        </w:r>
        <w:r>
          <w:rPr>
            <w:rStyle w:val="Hyperlink"/>
            <w:b/>
            <w:b/>
            <w:color w:val="0000FF"/>
            <w:u w:val="single"/>
            <w:rtl w:val="true"/>
          </w:rPr>
          <w:t>פ</w:t>
        </w:r>
        <w:r>
          <w:rPr>
            <w:rStyle w:val="Hyperlink"/>
            <w:b/>
            <w:b/>
            <w:color w:val="0000FF"/>
            <w:u w:val="single"/>
            <w:rtl w:val="true"/>
          </w:rPr>
          <w:t xml:space="preserve"> </w:t>
        </w:r>
        <w:r>
          <w:rPr>
            <w:rStyle w:val="Hyperlink"/>
            <w:b/>
            <w:color w:val="0000FF"/>
            <w:u w:val="single"/>
          </w:rPr>
          <w:t>4389/93</w:t>
        </w:r>
        <w:r>
          <w:rPr>
            <w:rStyle w:val="Hyperlink"/>
            <w:b/>
            <w:color w:val="0000FF"/>
            <w:u w:val="single"/>
            <w:rtl w:val="true"/>
          </w:rPr>
          <w:t xml:space="preserve"> </w:t>
        </w:r>
        <w:r>
          <w:rPr>
            <w:rStyle w:val="Hyperlink"/>
            <w:b/>
            <w:b/>
            <w:color w:val="0000FF"/>
            <w:u w:val="single"/>
            <w:rtl w:val="true"/>
          </w:rPr>
          <w:t>מרדכי</w:t>
        </w:r>
        <w:r>
          <w:rPr>
            <w:rStyle w:val="Hyperlink"/>
            <w:b/>
            <w:b/>
            <w:color w:val="0000FF"/>
            <w:u w:val="single"/>
            <w:rtl w:val="true"/>
          </w:rPr>
          <w:t xml:space="preserve"> </w:t>
        </w:r>
        <w:r>
          <w:rPr>
            <w:rStyle w:val="Hyperlink"/>
            <w:b/>
            <w:b/>
            <w:color w:val="0000FF"/>
            <w:u w:val="single"/>
            <w:rtl w:val="true"/>
          </w:rPr>
          <w:t>נ</w:t>
        </w:r>
        <w:r>
          <w:rPr>
            <w:rStyle w:val="Hyperlink"/>
            <w:b/>
            <w:color w:val="0000FF"/>
            <w:u w:val="single"/>
            <w:rtl w:val="true"/>
          </w:rPr>
          <w:t xml:space="preserve">' </w:t>
        </w:r>
        <w:r>
          <w:rPr>
            <w:rStyle w:val="Hyperlink"/>
            <w:b/>
            <w:b/>
            <w:color w:val="0000FF"/>
            <w:u w:val="single"/>
            <w:rtl w:val="true"/>
          </w:rPr>
          <w:t>מדינת</w:t>
        </w:r>
        <w:r>
          <w:rPr>
            <w:rStyle w:val="Hyperlink"/>
            <w:b/>
            <w:b/>
            <w:color w:val="0000FF"/>
            <w:u w:val="single"/>
            <w:rtl w:val="true"/>
          </w:rPr>
          <w:t xml:space="preserve"> </w:t>
        </w:r>
        <w:r>
          <w:rPr>
            <w:rStyle w:val="Hyperlink"/>
            <w:b/>
            <w:b/>
            <w:color w:val="0000FF"/>
            <w:u w:val="single"/>
            <w:rtl w:val="true"/>
          </w:rPr>
          <w:t>ישראל</w:t>
        </w:r>
        <w:r>
          <w:rPr>
            <w:rStyle w:val="Hyperlink"/>
            <w:b/>
            <w:color w:val="0000FF"/>
            <w:u w:val="single"/>
            <w:rtl w:val="true"/>
          </w:rPr>
          <w:t xml:space="preserve">, </w:t>
        </w:r>
        <w:r>
          <w:rPr>
            <w:rStyle w:val="Hyperlink"/>
            <w:b/>
            <w:b/>
            <w:color w:val="0000FF"/>
            <w:u w:val="single"/>
            <w:rtl w:val="true"/>
          </w:rPr>
          <w:t>פ</w:t>
        </w:r>
        <w:r>
          <w:rPr>
            <w:rStyle w:val="Hyperlink"/>
            <w:b/>
            <w:color w:val="0000FF"/>
            <w:u w:val="single"/>
            <w:rtl w:val="true"/>
          </w:rPr>
          <w:t>"</w:t>
        </w:r>
        <w:r>
          <w:rPr>
            <w:rStyle w:val="Hyperlink"/>
            <w:b/>
            <w:b/>
            <w:color w:val="0000FF"/>
            <w:u w:val="single"/>
            <w:rtl w:val="true"/>
          </w:rPr>
          <w:t>ד</w:t>
        </w:r>
        <w:r>
          <w:rPr>
            <w:rStyle w:val="Hyperlink"/>
            <w:b/>
            <w:b/>
            <w:color w:val="0000FF"/>
            <w:u w:val="single"/>
            <w:rtl w:val="true"/>
          </w:rPr>
          <w:t xml:space="preserve"> </w:t>
        </w:r>
        <w:r>
          <w:rPr>
            <w:rStyle w:val="Hyperlink"/>
            <w:b/>
            <w:b/>
            <w:color w:val="0000FF"/>
            <w:u w:val="single"/>
            <w:rtl w:val="true"/>
          </w:rPr>
          <w:t>נ</w:t>
        </w:r>
      </w:hyperlink>
      <w:r>
        <w:rPr>
          <w:rtl w:val="true"/>
        </w:rPr>
        <w:t>(</w:t>
      </w:r>
      <w:r>
        <w:rPr/>
        <w:t>3</w:t>
      </w:r>
      <w:r>
        <w:rPr>
          <w:rtl w:val="true"/>
        </w:rPr>
        <w:t xml:space="preserve">) </w:t>
      </w:r>
      <w:r>
        <w:rPr/>
        <w:t>239</w:t>
      </w:r>
      <w:r>
        <w:rPr>
          <w:rtl w:val="true"/>
        </w:rPr>
        <w:t xml:space="preserve">, </w:t>
      </w:r>
      <w:r>
        <w:rPr/>
        <w:t>250</w:t>
      </w:r>
      <w:r>
        <w:rPr>
          <w:rtl w:val="true"/>
        </w:rPr>
        <w:t xml:space="preserve"> (</w:t>
      </w:r>
      <w:r>
        <w:rPr/>
        <w:t>1996</w:t>
      </w:r>
      <w:r>
        <w:rPr>
          <w:rtl w:val="true"/>
        </w:rPr>
        <w:t xml:space="preserve">); </w:t>
      </w:r>
      <w:r>
        <w:rPr>
          <w:rtl w:val="true"/>
        </w:rPr>
        <w:t>ו</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2796/95</w:t>
        </w:r>
        <w:r>
          <w:rPr>
            <w:rStyle w:val="Hyperlink"/>
            <w:color w:val="0000FF"/>
            <w:u w:val="single"/>
            <w:rtl w:val="true"/>
          </w:rPr>
          <w:t xml:space="preserve"> </w:t>
        </w:r>
        <w:r>
          <w:rPr>
            <w:rStyle w:val="Hyperlink"/>
            <w:color w:val="0000FF"/>
            <w:u w:val="single"/>
            <w:rtl w:val="true"/>
          </w:rPr>
          <w:t>פלונים</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נא</w:t>
        </w:r>
      </w:hyperlink>
      <w:r>
        <w:rPr>
          <w:rtl w:val="true"/>
        </w:rPr>
        <w:t>(</w:t>
      </w:r>
      <w:r>
        <w:rPr/>
        <w:t>3</w:t>
      </w:r>
      <w:r>
        <w:rPr>
          <w:rtl w:val="true"/>
        </w:rPr>
        <w:t xml:space="preserve">) </w:t>
      </w:r>
      <w:r>
        <w:rPr/>
        <w:t>388</w:t>
      </w:r>
      <w:r>
        <w:rPr>
          <w:rtl w:val="true"/>
        </w:rPr>
        <w:t xml:space="preserve">, </w:t>
      </w:r>
      <w:r>
        <w:rPr/>
        <w:t>403</w:t>
      </w:r>
      <w:r>
        <w:rPr>
          <w:rtl w:val="true"/>
        </w:rPr>
        <w:t xml:space="preserve"> (</w:t>
      </w:r>
      <w:r>
        <w:rPr/>
        <w:t>1997</w:t>
      </w:r>
      <w:r>
        <w:rPr>
          <w:rtl w:val="true"/>
        </w:rPr>
        <w:t xml:space="preserve">)). </w:t>
      </w:r>
      <w:r>
        <w:rPr>
          <w:rtl w:val="true"/>
        </w:rPr>
        <w:t>לפיכך</w:t>
      </w:r>
      <w:r>
        <w:rPr>
          <w:rtl w:val="true"/>
        </w:rPr>
        <w:t xml:space="preserve">, </w:t>
      </w:r>
      <w:r>
        <w:rPr>
          <w:rtl w:val="true"/>
        </w:rPr>
        <w:t>כאשר ראובן ושמעון תוקפים יחדיו את לוי באמצעות סכינים</w:t>
      </w:r>
      <w:r>
        <w:rPr>
          <w:rtl w:val="true"/>
        </w:rPr>
        <w:t xml:space="preserve">, </w:t>
      </w:r>
      <w:r>
        <w:rPr>
          <w:rtl w:val="true"/>
        </w:rPr>
        <w:t>לשאלה מי מהם פגע בבטנו ומי מהם פגע בצווארו אין כל נפקות לעניין האחריות הפלילית</w:t>
      </w:r>
      <w:r>
        <w:rPr>
          <w:rtl w:val="true"/>
        </w:rPr>
        <w:t xml:space="preserve">: </w:t>
      </w:r>
      <w:r>
        <w:rPr>
          <w:rtl w:val="true"/>
        </w:rPr>
        <w:t xml:space="preserve">כל אחד מעבריינים אלו נושא באחריות לכל הדקירות ולתוצאותיהן </w:t>
      </w:r>
      <w:r>
        <w:rPr>
          <w:rtl w:val="true"/>
        </w:rPr>
        <w:t>(</w:t>
      </w:r>
      <w:r>
        <w:rPr>
          <w:rtl w:val="true"/>
        </w:rPr>
        <w:t xml:space="preserve">ראו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5022/01</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אטיאס</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1</w:t>
      </w:r>
      <w:r>
        <w:rPr>
          <w:rtl w:val="true"/>
        </w:rPr>
        <w:t xml:space="preserve">) </w:t>
      </w:r>
      <w:r>
        <w:rPr/>
        <w:t>856</w:t>
      </w:r>
      <w:r>
        <w:rPr>
          <w:rtl w:val="true"/>
        </w:rPr>
        <w:t>,</w:t>
      </w:r>
      <w:r>
        <w:rPr>
          <w:rtl w:val="true"/>
        </w:rPr>
        <w:t xml:space="preserve"> </w:t>
      </w:r>
      <w:r>
        <w:rPr>
          <w:rtl w:val="true"/>
        </w:rPr>
        <w:t xml:space="preserve">פסקה </w:t>
      </w:r>
      <w:r>
        <w:rPr/>
        <w:t>6</w:t>
      </w:r>
      <w:r>
        <w:rPr>
          <w:rtl w:val="true"/>
        </w:rPr>
        <w:t xml:space="preserve"> (</w:t>
      </w:r>
      <w:r>
        <w:rPr/>
        <w:t>2001</w:t>
      </w:r>
      <w:r>
        <w:rPr>
          <w:rtl w:val="true"/>
        </w:rPr>
        <w:t xml:space="preserve">); </w:t>
      </w:r>
      <w:r>
        <w:rPr>
          <w:rtl w:val="true"/>
        </w:rPr>
        <w:t xml:space="preserve">וכן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2894/02</w:t>
        </w:r>
      </w:hyperlink>
      <w:r>
        <w:rPr>
          <w:rtl w:val="true"/>
        </w:rPr>
        <w:t xml:space="preserve"> </w:t>
      </w:r>
      <w:r>
        <w:rPr>
          <w:rFonts w:ascii="Century" w:hAnsi="Century" w:cs="Miriam"/>
          <w:b/>
          <w:b/>
          <w:spacing w:val="0"/>
          <w:szCs w:val="24"/>
          <w:rtl w:val="true"/>
        </w:rPr>
        <w:t>שטיינר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b/>
          <w:spacing w:val="0"/>
          <w:sz w:val="28"/>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b/>
          <w:b/>
          <w:spacing w:val="0"/>
          <w:sz w:val="28"/>
          <w:sz w:val="28"/>
          <w:rtl w:val="true"/>
        </w:rPr>
        <w:t xml:space="preserve">פסקה </w:t>
      </w:r>
      <w:r>
        <w:rPr>
          <w:rFonts w:cs="Century" w:ascii="Century" w:hAnsi="Century"/>
          <w:b/>
          <w:spacing w:val="0"/>
          <w:sz w:val="28"/>
        </w:rPr>
        <w:t>4</w:t>
      </w:r>
      <w:r>
        <w:rPr>
          <w:rtl w:val="true"/>
        </w:rPr>
        <w:t xml:space="preserve"> </w:t>
      </w:r>
      <w:r>
        <w:rPr>
          <w:rtl w:val="true"/>
        </w:rPr>
        <w:t>(</w:t>
      </w:r>
      <w:r>
        <w:rPr/>
        <w:t>13.6.2002</w:t>
      </w:r>
      <w:r>
        <w:rPr>
          <w:rtl w:val="true"/>
        </w:rPr>
        <w:t xml:space="preserve">)). </w:t>
      </w:r>
      <w:r>
        <w:rPr>
          <w:rtl w:val="true"/>
        </w:rPr>
        <w:t>דוקטרינת הביצוע בצוותא חדא באה להטיל אחריות בגין סינרגיה בין אנשים אשר פועלים יחדיו בניגוד לאיסור פלילי</w:t>
      </w:r>
      <w:r>
        <w:rPr>
          <w:rtl w:val="true"/>
        </w:rPr>
        <w:t xml:space="preserve">, </w:t>
      </w:r>
      <w:r>
        <w:rPr>
          <w:rtl w:val="true"/>
        </w:rPr>
        <w:t>תוך שהיא קובעת כי כל שיתוף פעולה כזה הוא בגדר ביצוע עיקרי של העבירה</w:t>
      </w:r>
      <w:r>
        <w:rPr>
          <w:rtl w:val="true"/>
        </w:rPr>
        <w:t xml:space="preserve">. </w:t>
      </w:r>
      <w:r>
        <w:rPr>
          <w:rtl w:val="true"/>
        </w:rPr>
        <w:t>דוקטרינה זו מאפשרת אפוא לבית המשפט להרשיע נאשם במעשה שבוצע על</w:t>
      </w:r>
      <w:r>
        <w:rPr>
          <w:rtl w:val="true"/>
        </w:rPr>
        <w:t>-</w:t>
      </w:r>
      <w:r>
        <w:rPr>
          <w:rtl w:val="true"/>
        </w:rPr>
        <w:t xml:space="preserve">ידי שותפו לעבירה מבלי שהנאשם תרם תרומה ישירה לאותו מעשה </w:t>
      </w:r>
      <w:r>
        <w:rPr>
          <w:rtl w:val="true"/>
        </w:rPr>
        <w:t>(</w:t>
      </w:r>
      <w:r>
        <w:rPr>
          <w:rtl w:val="true"/>
        </w:rPr>
        <w:t xml:space="preserve">ראו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1160/09</w:t>
        </w:r>
      </w:hyperlink>
      <w:r>
        <w:rPr>
          <w:rtl w:val="true"/>
        </w:rPr>
        <w:t xml:space="preserve"> </w:t>
      </w:r>
      <w:r>
        <w:rPr>
          <w:rFonts w:ascii="Century" w:hAnsi="Century" w:cs="Miriam"/>
          <w:b/>
          <w:b/>
          <w:spacing w:val="0"/>
          <w:szCs w:val="24"/>
          <w:rtl w:val="true"/>
        </w:rPr>
        <w:t>אזולאי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35</w:t>
      </w:r>
      <w:r>
        <w:rPr>
          <w:rtl w:val="true"/>
        </w:rPr>
        <w:t xml:space="preserve"> (</w:t>
      </w:r>
      <w:r>
        <w:rPr/>
        <w:t>19.10.2009</w:t>
      </w:r>
      <w:r>
        <w:rPr>
          <w:rtl w:val="true"/>
        </w:rPr>
        <w:t xml:space="preserve">)). </w:t>
      </w:r>
      <w:r>
        <w:rPr>
          <w:rtl w:val="true"/>
        </w:rPr>
        <w:t>לצורך כך</w:t>
      </w:r>
      <w:r>
        <w:rPr>
          <w:rtl w:val="true"/>
        </w:rPr>
        <w:t xml:space="preserve">, </w:t>
      </w:r>
      <w:r>
        <w:rPr>
          <w:rtl w:val="true"/>
        </w:rPr>
        <w:t>חייבת התביעה להוכיח מעבר לספק סביר את קיום השותפות בין השניים בביצוע העבירה</w:t>
      </w:r>
      <w:r>
        <w:rPr>
          <w:rtl w:val="true"/>
        </w:rPr>
        <w:t xml:space="preserve">, </w:t>
      </w:r>
      <w:r>
        <w:rPr>
          <w:rtl w:val="true"/>
        </w:rPr>
        <w:t>וזאת הן מבחינת היסוד עובדתי והן מבחינת היסוד הנפשי</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היסוד העובדתי של ביצוע בצוותא חדא מתקיים אצל כל נאשם שנוטל חלק מהותי כלשהו </w:t>
      </w:r>
      <w:r>
        <w:rPr>
          <w:rFonts w:eastAsia="Calibri"/>
          <w:rtl w:val="true"/>
        </w:rPr>
        <w:t xml:space="preserve">בביצוע העבירה </w:t>
      </w:r>
      <w:r>
        <w:rPr>
          <w:rFonts w:eastAsia="Calibri"/>
          <w:rtl w:val="true"/>
        </w:rPr>
        <w:t>(</w:t>
      </w:r>
      <w:r>
        <w:rPr>
          <w:rFonts w:eastAsia="Calibri"/>
          <w:rtl w:val="true"/>
        </w:rPr>
        <w:t xml:space="preserve">ראו </w:t>
      </w:r>
      <w:r>
        <w:rPr>
          <w:rtl w:val="true"/>
        </w:rPr>
        <w:t xml:space="preserve">עניין </w:t>
      </w:r>
      <w:r>
        <w:rPr>
          <w:rFonts w:ascii="Century" w:hAnsi="Century" w:cs="Miriam"/>
          <w:b/>
          <w:b/>
          <w:spacing w:val="0"/>
          <w:szCs w:val="24"/>
          <w:rtl w:val="true"/>
        </w:rPr>
        <w:t>בביזאיב</w:t>
      </w:r>
      <w:r>
        <w:rPr>
          <w:rtl w:val="true"/>
        </w:rPr>
        <w:t xml:space="preserve">, </w:t>
      </w:r>
      <w:r>
        <w:rPr>
          <w:rtl w:val="true"/>
        </w:rPr>
        <w:t xml:space="preserve">פסקה </w:t>
      </w:r>
      <w:r>
        <w:rPr/>
        <w:t>5</w:t>
      </w:r>
      <w:r>
        <w:rPr>
          <w:rtl w:val="true"/>
        </w:rPr>
        <w:t xml:space="preserve"> </w:t>
      </w:r>
      <w:r>
        <w:rPr>
          <w:rtl w:val="true"/>
        </w:rPr>
        <w:t xml:space="preserve">לפסק דינו של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טירקל</w:t>
      </w:r>
      <w:r>
        <w:rPr>
          <w:rtl w:val="true"/>
        </w:rPr>
        <w:t>;</w:t>
      </w:r>
      <w:r>
        <w:rPr>
          <w:rFonts w:eastAsia="Calibri"/>
          <w:rtl w:val="true"/>
        </w:rPr>
        <w:t xml:space="preserve"> </w:t>
      </w:r>
      <w:hyperlink r:id="rId39">
        <w:r>
          <w:rPr>
            <w:rStyle w:val="Hyperlink"/>
            <w:rFonts w:eastAsia="Calibri"/>
            <w:color w:val="0000FF"/>
            <w:u w:val="single"/>
            <w:rtl w:val="true"/>
          </w:rPr>
          <w:t>דנ</w:t>
        </w:r>
        <w:r>
          <w:rPr>
            <w:rStyle w:val="Hyperlink"/>
            <w:rFonts w:eastAsia="Calibri"/>
            <w:color w:val="0000FF"/>
            <w:u w:val="single"/>
            <w:rtl w:val="true"/>
          </w:rPr>
          <w:t>"</w:t>
        </w:r>
        <w:r>
          <w:rPr>
            <w:rStyle w:val="Hyperlink"/>
            <w:rFonts w:eastAsia="Calibri"/>
            <w:color w:val="0000FF"/>
            <w:u w:val="single"/>
            <w:rtl w:val="true"/>
          </w:rPr>
          <w:t>פ</w:t>
        </w:r>
        <w:r>
          <w:rPr>
            <w:rStyle w:val="Hyperlink"/>
            <w:rFonts w:eastAsia="Calibri"/>
            <w:color w:val="0000FF"/>
            <w:u w:val="single"/>
            <w:rtl w:val="true"/>
          </w:rPr>
          <w:t xml:space="preserve"> </w:t>
        </w:r>
        <w:r>
          <w:rPr>
            <w:rStyle w:val="Hyperlink"/>
            <w:rFonts w:eastAsia="Calibri"/>
            <w:color w:val="0000FF"/>
            <w:u w:val="single"/>
          </w:rPr>
          <w:t>1294/96</w:t>
        </w:r>
        <w:r>
          <w:rPr>
            <w:rStyle w:val="Hyperlink"/>
            <w:rFonts w:eastAsia="Calibri"/>
            <w:color w:val="0000FF"/>
            <w:u w:val="single"/>
            <w:rtl w:val="true"/>
          </w:rPr>
          <w:t xml:space="preserve"> </w:t>
        </w:r>
        <w:r>
          <w:rPr>
            <w:rStyle w:val="Hyperlink"/>
            <w:rFonts w:eastAsia="Calibri"/>
            <w:color w:val="0000FF"/>
            <w:u w:val="single"/>
            <w:rtl w:val="true"/>
          </w:rPr>
          <w:t>משולם</w:t>
        </w:r>
        <w:r>
          <w:rPr>
            <w:rStyle w:val="Hyperlink"/>
            <w:rFonts w:eastAsia="Calibri"/>
            <w:color w:val="0000FF"/>
            <w:u w:val="single"/>
            <w:rtl w:val="true"/>
          </w:rPr>
          <w:t xml:space="preserve"> </w:t>
        </w:r>
        <w:r>
          <w:rPr>
            <w:rStyle w:val="Hyperlink"/>
            <w:rFonts w:eastAsia="Calibri"/>
            <w:color w:val="0000FF"/>
            <w:u w:val="single"/>
            <w:rtl w:val="true"/>
          </w:rPr>
          <w:t>נ</w:t>
        </w:r>
        <w:r>
          <w:rPr>
            <w:rStyle w:val="Hyperlink"/>
            <w:rFonts w:eastAsia="Calibri"/>
            <w:color w:val="0000FF"/>
            <w:u w:val="single"/>
            <w:rtl w:val="true"/>
          </w:rPr>
          <w:t xml:space="preserve">' </w:t>
        </w:r>
        <w:r>
          <w:rPr>
            <w:rStyle w:val="Hyperlink"/>
            <w:rFonts w:eastAsia="Calibri"/>
            <w:color w:val="0000FF"/>
            <w:u w:val="single"/>
            <w:rtl w:val="true"/>
          </w:rPr>
          <w:t>מדינת</w:t>
        </w:r>
        <w:r>
          <w:rPr>
            <w:rStyle w:val="Hyperlink"/>
            <w:rFonts w:eastAsia="Calibri"/>
            <w:color w:val="0000FF"/>
            <w:u w:val="single"/>
            <w:rtl w:val="true"/>
          </w:rPr>
          <w:t xml:space="preserve"> </w:t>
        </w:r>
        <w:r>
          <w:rPr>
            <w:rStyle w:val="Hyperlink"/>
            <w:rFonts w:eastAsia="Calibri"/>
            <w:color w:val="0000FF"/>
            <w:u w:val="single"/>
            <w:rtl w:val="true"/>
          </w:rPr>
          <w:t>ישראל</w:t>
        </w:r>
        <w:r>
          <w:rPr>
            <w:rStyle w:val="Hyperlink"/>
            <w:rFonts w:eastAsia="Calibri"/>
            <w:color w:val="0000FF"/>
            <w:u w:val="single"/>
            <w:rtl w:val="true"/>
          </w:rPr>
          <w:t xml:space="preserve">, </w:t>
        </w:r>
        <w:r>
          <w:rPr>
            <w:rStyle w:val="Hyperlink"/>
            <w:rFonts w:eastAsia="Calibri"/>
            <w:color w:val="0000FF"/>
            <w:u w:val="single"/>
            <w:rtl w:val="true"/>
          </w:rPr>
          <w:t>פ</w:t>
        </w:r>
        <w:r>
          <w:rPr>
            <w:rStyle w:val="Hyperlink"/>
            <w:rFonts w:eastAsia="Calibri"/>
            <w:color w:val="0000FF"/>
            <w:u w:val="single"/>
            <w:rtl w:val="true"/>
          </w:rPr>
          <w:t>"</w:t>
        </w:r>
        <w:r>
          <w:rPr>
            <w:rStyle w:val="Hyperlink"/>
            <w:rFonts w:eastAsia="Calibri"/>
            <w:color w:val="0000FF"/>
            <w:u w:val="single"/>
            <w:rtl w:val="true"/>
          </w:rPr>
          <w:t>ד</w:t>
        </w:r>
        <w:r>
          <w:rPr>
            <w:rStyle w:val="Hyperlink"/>
            <w:rFonts w:eastAsia="Calibri"/>
            <w:color w:val="0000FF"/>
            <w:u w:val="single"/>
            <w:rtl w:val="true"/>
          </w:rPr>
          <w:t xml:space="preserve"> </w:t>
        </w:r>
        <w:r>
          <w:rPr>
            <w:rStyle w:val="Hyperlink"/>
            <w:rFonts w:eastAsia="Calibri"/>
            <w:color w:val="0000FF"/>
            <w:u w:val="single"/>
            <w:rtl w:val="true"/>
          </w:rPr>
          <w:t>נב</w:t>
        </w:r>
      </w:hyperlink>
      <w:r>
        <w:rPr>
          <w:rFonts w:eastAsia="Calibri"/>
          <w:rtl w:val="true"/>
        </w:rPr>
        <w:t>(</w:t>
      </w:r>
      <w:r>
        <w:rPr>
          <w:rFonts w:eastAsia="Calibri"/>
        </w:rPr>
        <w:t>5</w:t>
      </w:r>
      <w:r>
        <w:rPr>
          <w:rFonts w:eastAsia="Calibri"/>
          <w:rtl w:val="true"/>
        </w:rPr>
        <w:t xml:space="preserve">) </w:t>
      </w:r>
      <w:r>
        <w:rPr>
          <w:rFonts w:eastAsia="Calibri"/>
        </w:rPr>
        <w:t>1</w:t>
      </w:r>
      <w:r>
        <w:rPr>
          <w:rFonts w:eastAsia="Calibri"/>
          <w:rtl w:val="true"/>
        </w:rPr>
        <w:t xml:space="preserve">, </w:t>
      </w:r>
      <w:r>
        <w:rPr>
          <w:rFonts w:eastAsia="Calibri"/>
        </w:rPr>
        <w:t>50</w:t>
      </w:r>
      <w:r>
        <w:rPr>
          <w:rFonts w:eastAsia="Calibri"/>
          <w:rtl w:val="true"/>
        </w:rPr>
        <w:t xml:space="preserve"> (</w:t>
      </w:r>
      <w:r>
        <w:rPr>
          <w:rFonts w:eastAsia="Calibri"/>
        </w:rPr>
        <w:t>1998</w:t>
      </w:r>
      <w:r>
        <w:rPr>
          <w:rFonts w:eastAsia="Calibri"/>
          <w:rtl w:val="true"/>
        </w:rPr>
        <w:t>) (</w:t>
      </w:r>
      <w:r>
        <w:rPr>
          <w:rFonts w:eastAsia="Calibri"/>
          <w:rtl w:val="true"/>
        </w:rPr>
        <w:t>להלן</w:t>
      </w:r>
      <w:r>
        <w:rPr>
          <w:rFonts w:eastAsia="Calibri"/>
          <w:rtl w:val="true"/>
        </w:rPr>
        <w:t xml:space="preserve">: </w:t>
      </w:r>
      <w:r>
        <w:rPr>
          <w:rFonts w:ascii="Century" w:hAnsi="Century" w:eastAsia="Calibri" w:cs="Miriam"/>
          <w:b/>
          <w:b/>
          <w:spacing w:val="0"/>
          <w:szCs w:val="24"/>
          <w:rtl w:val="true"/>
        </w:rPr>
        <w:t>עניין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משולם</w:t>
      </w:r>
      <w:r>
        <w:rPr>
          <w:rFonts w:eastAsia="Calibri"/>
          <w:rtl w:val="true"/>
        </w:rPr>
        <w:t xml:space="preserve">); </w:t>
      </w:r>
      <w:r>
        <w:rPr>
          <w:rFonts w:eastAsia="Calibri"/>
          <w:rtl w:val="true"/>
        </w:rPr>
        <w:t xml:space="preserve">וכן </w:t>
      </w:r>
      <w:hyperlink r:id="rId40">
        <w:r>
          <w:rPr>
            <w:rStyle w:val="Hyperlink"/>
            <w:rFonts w:eastAsia="Calibri"/>
            <w:color w:val="0000FF"/>
            <w:u w:val="single"/>
            <w:rtl w:val="true"/>
          </w:rPr>
          <w:t>ע</w:t>
        </w:r>
        <w:r>
          <w:rPr>
            <w:rStyle w:val="Hyperlink"/>
            <w:rFonts w:eastAsia="Calibri"/>
            <w:color w:val="0000FF"/>
            <w:u w:val="single"/>
            <w:rtl w:val="true"/>
          </w:rPr>
          <w:t>"</w:t>
        </w:r>
        <w:r>
          <w:rPr>
            <w:rStyle w:val="Hyperlink"/>
            <w:rFonts w:eastAsia="Calibri"/>
            <w:color w:val="0000FF"/>
            <w:u w:val="single"/>
            <w:rtl w:val="true"/>
          </w:rPr>
          <w:t>פ</w:t>
        </w:r>
        <w:r>
          <w:rPr>
            <w:rStyle w:val="Hyperlink"/>
            <w:rFonts w:eastAsia="Calibri"/>
            <w:color w:val="0000FF"/>
            <w:u w:val="single"/>
            <w:rtl w:val="true"/>
          </w:rPr>
          <w:t xml:space="preserve"> </w:t>
        </w:r>
        <w:r>
          <w:rPr>
            <w:rStyle w:val="Hyperlink"/>
            <w:rFonts w:eastAsia="Calibri"/>
            <w:color w:val="0000FF"/>
            <w:u w:val="single"/>
          </w:rPr>
          <w:t>220/17</w:t>
        </w:r>
      </w:hyperlink>
      <w:r>
        <w:rPr>
          <w:rFonts w:eastAsia="Calibri"/>
          <w:rtl w:val="true"/>
        </w:rPr>
        <w:t xml:space="preserve"> </w:t>
      </w:r>
      <w:r>
        <w:rPr>
          <w:rFonts w:ascii="Century" w:hAnsi="Century" w:eastAsia="Calibri" w:cs="Miriam"/>
          <w:b/>
          <w:b/>
          <w:spacing w:val="0"/>
          <w:szCs w:val="24"/>
          <w:rtl w:val="true"/>
        </w:rPr>
        <w:t>דנקנר</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נ</w:t>
      </w:r>
      <w:r>
        <w:rPr>
          <w:rFonts w:eastAsia="Calibri" w:cs="Miriam" w:ascii="Century" w:hAnsi="Century"/>
          <w:b/>
          <w:spacing w:val="0"/>
          <w:szCs w:val="24"/>
          <w:rtl w:val="true"/>
        </w:rPr>
        <w:t xml:space="preserve">' </w:t>
      </w:r>
      <w:r>
        <w:rPr>
          <w:rFonts w:ascii="Century" w:hAnsi="Century" w:eastAsia="Calibri" w:cs="Miriam"/>
          <w:b/>
          <w:b/>
          <w:spacing w:val="0"/>
          <w:szCs w:val="24"/>
          <w:rtl w:val="true"/>
        </w:rPr>
        <w:t>מדינת</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ישראל</w:t>
      </w:r>
      <w:r>
        <w:rPr>
          <w:rFonts w:eastAsia="Calibri"/>
          <w:rtl w:val="true"/>
        </w:rPr>
        <w:t xml:space="preserve">, </w:t>
      </w:r>
      <w:r>
        <w:rPr>
          <w:rFonts w:eastAsia="Calibri" w:cs="David;Times New Roman" w:ascii="Times New Roman;Times New Roman" w:hAnsi="Times New Roman;Times New Roman"/>
          <w:spacing w:val="0"/>
          <w:sz w:val="22"/>
          <w:szCs w:val="24"/>
          <w:rtl w:val="true"/>
        </w:rPr>
        <w:t>[</w:t>
      </w:r>
      <w:r>
        <w:rPr>
          <w:rFonts w:ascii="Times New Roman;Times New Roman" w:hAnsi="Times New Roman;Times New Roman" w:eastAsia="Calibri" w:cs="David;Times New Roman"/>
          <w:spacing w:val="0"/>
          <w:sz w:val="22"/>
          <w:sz w:val="22"/>
          <w:szCs w:val="24"/>
          <w:rtl w:val="true"/>
        </w:rPr>
        <w:t>פורסם</w:t>
      </w:r>
      <w:r>
        <w:rPr>
          <w:rFonts w:ascii="Times New Roman;Times New Roman" w:hAnsi="Times New Roman;Times New Roman" w:eastAsia="Times New Roman;Times New Roman" w:cs="Times New Roman;Times New Roman"/>
          <w:spacing w:val="0"/>
          <w:sz w:val="22"/>
          <w:sz w:val="22"/>
          <w:szCs w:val="24"/>
          <w:rtl w:val="true"/>
        </w:rPr>
        <w:t xml:space="preserve"> </w:t>
      </w:r>
      <w:r>
        <w:rPr>
          <w:rFonts w:ascii="Times New Roman;Times New Roman" w:hAnsi="Times New Roman;Times New Roman" w:eastAsia="Calibri" w:cs="David;Times New Roman"/>
          <w:spacing w:val="0"/>
          <w:sz w:val="22"/>
          <w:sz w:val="22"/>
          <w:szCs w:val="24"/>
          <w:rtl w:val="true"/>
        </w:rPr>
        <w:t>בנבו</w:t>
      </w:r>
      <w:r>
        <w:rPr>
          <w:rFonts w:eastAsia="Calibri" w:cs="David;Times New Roman" w:ascii="Times New Roman;Times New Roman" w:hAnsi="Times New Roman;Times New Roman"/>
          <w:spacing w:val="0"/>
          <w:sz w:val="22"/>
          <w:szCs w:val="24"/>
          <w:rtl w:val="true"/>
        </w:rPr>
        <w:t xml:space="preserve">] </w:t>
      </w:r>
      <w:r>
        <w:rPr>
          <w:rFonts w:eastAsia="Calibri"/>
          <w:rtl w:val="true"/>
        </w:rPr>
        <w:t xml:space="preserve">פסקה </w:t>
      </w:r>
      <w:r>
        <w:rPr>
          <w:rFonts w:eastAsia="Calibri"/>
        </w:rPr>
        <w:t>17</w:t>
      </w:r>
      <w:r>
        <w:rPr>
          <w:rFonts w:eastAsia="Calibri"/>
          <w:rtl w:val="true"/>
        </w:rPr>
        <w:t xml:space="preserve"> (</w:t>
      </w:r>
      <w:r>
        <w:rPr/>
        <w:t>29.8.2018</w:t>
      </w:r>
      <w:r>
        <w:rPr>
          <w:rFonts w:eastAsia="Calibri"/>
          <w:rtl w:val="true"/>
        </w:rPr>
        <w:t>) (</w:t>
      </w:r>
      <w:r>
        <w:rPr>
          <w:rFonts w:eastAsia="Calibri"/>
          <w:rtl w:val="true"/>
        </w:rPr>
        <w:t>להלן</w:t>
      </w:r>
      <w:r>
        <w:rPr>
          <w:rFonts w:eastAsia="Calibri"/>
          <w:rtl w:val="true"/>
        </w:rPr>
        <w:t xml:space="preserve">: </w:t>
      </w:r>
      <w:r>
        <w:rPr>
          <w:rFonts w:ascii="Century" w:hAnsi="Century" w:eastAsia="Calibri" w:cs="Miriam"/>
          <w:b/>
          <w:b/>
          <w:spacing w:val="0"/>
          <w:szCs w:val="24"/>
          <w:rtl w:val="true"/>
        </w:rPr>
        <w:t>עניין</w:t>
      </w:r>
      <w:r>
        <w:rPr>
          <w:rFonts w:ascii="Century" w:hAnsi="Century" w:eastAsia="Century" w:cs="Century"/>
          <w:b/>
          <w:b/>
          <w:spacing w:val="0"/>
          <w:szCs w:val="24"/>
          <w:rtl w:val="true"/>
        </w:rPr>
        <w:t xml:space="preserve"> </w:t>
      </w:r>
      <w:r>
        <w:rPr>
          <w:rFonts w:ascii="Century" w:hAnsi="Century" w:eastAsia="Calibri" w:cs="Miriam"/>
          <w:b/>
          <w:b/>
          <w:spacing w:val="0"/>
          <w:szCs w:val="24"/>
          <w:rtl w:val="true"/>
        </w:rPr>
        <w:t>דנקנר</w:t>
      </w:r>
      <w:r>
        <w:rPr>
          <w:rFonts w:eastAsia="Calibri"/>
          <w:rtl w:val="true"/>
        </w:rPr>
        <w:t xml:space="preserve">)). </w:t>
      </w:r>
      <w:r>
        <w:rPr>
          <w:rFonts w:eastAsia="Calibri"/>
          <w:rtl w:val="true"/>
        </w:rPr>
        <w:t>חלקו של הנאשם יכול שיהא קטן בהשוואה לשותפים אחרים</w:t>
      </w:r>
      <w:r>
        <w:rPr>
          <w:rFonts w:eastAsia="Calibri"/>
          <w:rtl w:val="true"/>
        </w:rPr>
        <w:t xml:space="preserve">, </w:t>
      </w:r>
      <w:r>
        <w:rPr>
          <w:rFonts w:eastAsia="Calibri"/>
          <w:rtl w:val="true"/>
        </w:rPr>
        <w:t xml:space="preserve">שכן בית המשפט רשאי ואף חייב </w:t>
      </w:r>
      <w:r>
        <w:rPr>
          <w:rFonts w:eastAsia="Calibri"/>
          <w:rtl w:val="true"/>
        </w:rPr>
        <w:t xml:space="preserve">"[...] </w:t>
      </w:r>
      <w:r>
        <w:rPr>
          <w:rFonts w:eastAsia="Calibri"/>
          <w:rtl w:val="true"/>
        </w:rPr>
        <w:t xml:space="preserve">לכלול במעגל המבצעים בצוותא משתתף שיחסו הנפשי לעבירה </w:t>
      </w:r>
      <w:r>
        <w:rPr>
          <w:rFonts w:eastAsia="Calibri"/>
          <w:rtl w:val="true"/>
        </w:rPr>
        <w:t xml:space="preserve">[...] </w:t>
      </w:r>
      <w:r>
        <w:rPr>
          <w:rFonts w:eastAsia="Calibri"/>
          <w:rtl w:val="true"/>
        </w:rPr>
        <w:t xml:space="preserve">היה כשל מבצע גם אם חלקו בעשייה היה קטן יחסית </w:t>
      </w:r>
      <w:r>
        <w:rPr>
          <w:rFonts w:eastAsia="Calibri"/>
          <w:rtl w:val="true"/>
        </w:rPr>
        <w:t>[...]" (</w:t>
      </w:r>
      <w:r>
        <w:rPr>
          <w:rFonts w:eastAsia="Calibri"/>
          <w:rtl w:val="true"/>
        </w:rPr>
        <w:t xml:space="preserve">ראו עניין </w:t>
      </w:r>
      <w:r>
        <w:rPr>
          <w:rFonts w:ascii="Century" w:hAnsi="Century" w:eastAsia="Calibri" w:cs="Miriam"/>
          <w:b/>
          <w:b/>
          <w:spacing w:val="0"/>
          <w:szCs w:val="24"/>
          <w:rtl w:val="true"/>
        </w:rPr>
        <w:t>משולם</w:t>
      </w:r>
      <w:r>
        <w:rPr>
          <w:rFonts w:eastAsia="Calibri"/>
          <w:rtl w:val="true"/>
        </w:rPr>
        <w:t xml:space="preserve">, </w:t>
      </w:r>
      <w:r>
        <w:rPr>
          <w:rFonts w:eastAsia="Calibri"/>
          <w:rtl w:val="true"/>
        </w:rPr>
        <w:t>בעמ</w:t>
      </w:r>
      <w:r>
        <w:rPr>
          <w:rFonts w:eastAsia="Calibri"/>
          <w:rtl w:val="true"/>
        </w:rPr>
        <w:t xml:space="preserve">' </w:t>
      </w:r>
      <w:r>
        <w:rPr>
          <w:rFonts w:eastAsia="Calibri"/>
        </w:rPr>
        <w:t>20</w:t>
      </w:r>
      <w:r>
        <w:rPr>
          <w:rFonts w:eastAsia="Calibri"/>
          <w:rtl w:val="true"/>
        </w:rPr>
        <w:t xml:space="preserve">). </w:t>
      </w:r>
      <w:r>
        <w:rPr>
          <w:rFonts w:eastAsia="Calibri"/>
          <w:rtl w:val="true"/>
        </w:rPr>
        <w:t xml:space="preserve">יחסי הגומלין בין שני הרכיבים של ביצוע בצוותא </w:t>
      </w:r>
      <w:r>
        <w:rPr>
          <w:rFonts w:eastAsia="Calibri"/>
          <w:rtl w:val="true"/>
        </w:rPr>
        <w:t>–</w:t>
      </w:r>
      <w:r>
        <w:rPr>
          <w:rFonts w:eastAsia="Calibri"/>
          <w:rtl w:val="true"/>
        </w:rPr>
        <w:t xml:space="preserve"> העובדתי והנפשי </w:t>
      </w:r>
      <w:r>
        <w:rPr>
          <w:rFonts w:eastAsia="Calibri"/>
          <w:rtl w:val="true"/>
        </w:rPr>
        <w:t>–</w:t>
      </w:r>
      <w:r>
        <w:rPr>
          <w:rFonts w:eastAsia="Calibri"/>
          <w:rtl w:val="true"/>
        </w:rPr>
        <w:t xml:space="preserve"> הם בבחינת עיקר העיקרים של דוקטרינת השותפות </w:t>
      </w:r>
      <w:r>
        <w:rPr>
          <w:rtl w:val="true"/>
        </w:rPr>
        <w:t>(</w:t>
      </w:r>
      <w:r>
        <w:rPr>
          <w:rtl w:val="true"/>
        </w:rPr>
        <w:t xml:space="preserve">ראו </w:t>
      </w:r>
      <w:r>
        <w:rPr>
          <w:rFonts w:eastAsia="Calibri"/>
          <w:rtl w:val="true"/>
        </w:rPr>
        <w:t xml:space="preserve">עניין </w:t>
      </w:r>
      <w:r>
        <w:rPr>
          <w:rFonts w:ascii="Century" w:hAnsi="Century" w:eastAsia="Calibri" w:cs="Miriam"/>
          <w:b/>
          <w:b/>
          <w:spacing w:val="0"/>
          <w:szCs w:val="24"/>
          <w:rtl w:val="true"/>
        </w:rPr>
        <w:t>דנקנר</w:t>
      </w:r>
      <w:r>
        <w:rPr>
          <w:rFonts w:eastAsia="Calibri"/>
          <w:rtl w:val="true"/>
        </w:rPr>
        <w:t xml:space="preserve">, </w:t>
      </w:r>
      <w:r>
        <w:rPr>
          <w:rFonts w:eastAsia="Calibri"/>
          <w:rtl w:val="true"/>
        </w:rPr>
        <w:t xml:space="preserve">פסקה </w:t>
      </w:r>
      <w:r>
        <w:rPr>
          <w:rFonts w:eastAsia="Calibri"/>
        </w:rPr>
        <w:t>17</w:t>
      </w:r>
      <w:r>
        <w:rPr>
          <w:rFonts w:eastAsia="Calibri"/>
          <w:rtl w:val="true"/>
        </w:rPr>
        <w:t xml:space="preserve"> </w:t>
      </w:r>
      <w:r>
        <w:rPr>
          <w:rFonts w:eastAsia="Calibri"/>
          <w:rtl w:val="true"/>
        </w:rPr>
        <w:t xml:space="preserve">לפסק דינו של השופט </w:t>
      </w:r>
      <w:r>
        <w:rPr>
          <w:rFonts w:ascii="Century" w:hAnsi="Century" w:eastAsia="Calibri" w:cs="Miriam"/>
          <w:b/>
          <w:b/>
          <w:spacing w:val="0"/>
          <w:sz w:val="22"/>
          <w:sz w:val="22"/>
          <w:szCs w:val="24"/>
          <w:rtl w:val="true"/>
        </w:rPr>
        <w:t>נ</w:t>
      </w:r>
      <w:r>
        <w:rPr>
          <w:rFonts w:eastAsia="Calibri" w:cs="Miriam" w:ascii="Century" w:hAnsi="Century"/>
          <w:b/>
          <w:spacing w:val="0"/>
          <w:sz w:val="22"/>
          <w:szCs w:val="24"/>
          <w:rtl w:val="true"/>
        </w:rPr>
        <w:t xml:space="preserve">' </w:t>
      </w:r>
      <w:r>
        <w:rPr>
          <w:rFonts w:ascii="Century" w:hAnsi="Century" w:eastAsia="Calibri" w:cs="Miriam"/>
          <w:b/>
          <w:b/>
          <w:spacing w:val="0"/>
          <w:sz w:val="22"/>
          <w:sz w:val="22"/>
          <w:szCs w:val="24"/>
          <w:rtl w:val="true"/>
        </w:rPr>
        <w:t>הנדל</w:t>
      </w:r>
      <w:r>
        <w:rPr>
          <w:rFonts w:eastAsia="Calibri"/>
          <w:rtl w:val="true"/>
        </w:rPr>
        <w:t xml:space="preserve"> והאסמכתאות המובאות שם</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במישור הנפשי</w:t>
      </w:r>
      <w:r>
        <w:rPr>
          <w:rtl w:val="true"/>
        </w:rPr>
        <w:t xml:space="preserve">, </w:t>
      </w:r>
      <w:r>
        <w:rPr>
          <w:rtl w:val="true"/>
        </w:rPr>
        <w:t xml:space="preserve">התביעה נדרשת להוכיח מעבר לספק סביר כי המבצעים בצוותא פעלו </w:t>
      </w:r>
      <w:r>
        <w:rPr>
          <w:rtl w:val="true"/>
        </w:rPr>
        <w:t>"</w:t>
      </w:r>
      <w:r>
        <w:rPr>
          <w:rtl w:val="true"/>
        </w:rPr>
        <w:t>מתוך מודעות לכך שהם פועלים בתפקיד זהה כמבצעים ביחד וכמובן בלווי אותה צורה של מחשבה פלילית בה מותנית התהוות העבירה שלביצועה הם ניגשו</w:t>
      </w:r>
      <w:r>
        <w:rPr>
          <w:rtl w:val="true"/>
        </w:rPr>
        <w:t>" (</w:t>
      </w:r>
      <w:r>
        <w:rPr>
          <w:rtl w:val="true"/>
        </w:rPr>
        <w:t xml:space="preserve">ראו </w:t>
      </w:r>
      <w:r>
        <w:rPr>
          <w:rFonts w:ascii="Century" w:hAnsi="Century" w:cs="Miriam"/>
          <w:b/>
          <w:b/>
          <w:spacing w:val="0"/>
          <w:szCs w:val="24"/>
          <w:rtl w:val="true"/>
        </w:rPr>
        <w:t>פלר</w:t>
      </w:r>
      <w:r>
        <w:rPr>
          <w:rtl w:val="true"/>
        </w:rPr>
        <w:t xml:space="preserve">, </w:t>
      </w:r>
      <w:r>
        <w:rPr>
          <w:rtl w:val="true"/>
        </w:rPr>
        <w:t>בעמ</w:t>
      </w:r>
      <w:r>
        <w:rPr>
          <w:rtl w:val="true"/>
        </w:rPr>
        <w:t xml:space="preserve">' </w:t>
      </w:r>
      <w:r>
        <w:rPr/>
        <w:t>202</w:t>
      </w:r>
      <w:r>
        <w:rPr>
          <w:rtl w:val="true"/>
        </w:rPr>
        <w:t xml:space="preserve">). </w:t>
      </w:r>
      <w:r>
        <w:rPr>
          <w:rtl w:val="true"/>
        </w:rPr>
        <w:t>הווה אומר</w:t>
      </w:r>
      <w:r>
        <w:rPr>
          <w:rtl w:val="true"/>
        </w:rPr>
        <w:t xml:space="preserve">: </w:t>
      </w:r>
      <w:r>
        <w:rPr>
          <w:rtl w:val="true"/>
        </w:rPr>
        <w:t>מדובר בהוכחה של שני אלו</w:t>
      </w:r>
      <w:r>
        <w:rPr>
          <w:rtl w:val="true"/>
        </w:rPr>
        <w:t>: (</w:t>
      </w:r>
      <w:r>
        <w:rPr/>
        <w:t>1</w:t>
      </w:r>
      <w:r>
        <w:rPr>
          <w:rtl w:val="true"/>
        </w:rPr>
        <w:t xml:space="preserve">) </w:t>
      </w:r>
      <w:r>
        <w:rPr>
          <w:rtl w:val="true"/>
        </w:rPr>
        <w:t>היסוד הנפשי שנדרש להתהוות העבירה הספציפית בה עסקינן</w:t>
      </w:r>
      <w:r>
        <w:rPr>
          <w:rtl w:val="true"/>
        </w:rPr>
        <w:t xml:space="preserve">; </w:t>
      </w:r>
      <w:r>
        <w:rPr>
          <w:rtl w:val="true"/>
        </w:rPr>
        <w:t xml:space="preserve">וכן </w:t>
      </w:r>
      <w:r>
        <w:rPr>
          <w:rtl w:val="true"/>
        </w:rPr>
        <w:t>(</w:t>
      </w:r>
      <w:r>
        <w:rPr/>
        <w:t>2</w:t>
      </w:r>
      <w:r>
        <w:rPr>
          <w:rtl w:val="true"/>
        </w:rPr>
        <w:t xml:space="preserve">) </w:t>
      </w:r>
      <w:r>
        <w:rPr>
          <w:rtl w:val="true"/>
        </w:rPr>
        <w:t xml:space="preserve">מודעות השותפים לעצם הביצוע בצוותא </w:t>
      </w:r>
      <w:r>
        <w:rPr>
          <w:rtl w:val="true"/>
        </w:rPr>
        <w:t>(</w:t>
      </w:r>
      <w:r>
        <w:rPr>
          <w:rtl w:val="true"/>
        </w:rPr>
        <w:t xml:space="preserve">ראו </w:t>
      </w:r>
      <w:r>
        <w:rPr>
          <w:rFonts w:eastAsia="Calibri"/>
          <w:rtl w:val="true"/>
        </w:rPr>
        <w:t xml:space="preserve">עניין </w:t>
      </w:r>
      <w:r>
        <w:rPr>
          <w:rFonts w:ascii="Century" w:hAnsi="Century" w:eastAsia="Calibri" w:cs="Miriam"/>
          <w:b/>
          <w:b/>
          <w:spacing w:val="0"/>
          <w:sz w:val="22"/>
          <w:sz w:val="22"/>
          <w:szCs w:val="24"/>
          <w:rtl w:val="true"/>
        </w:rPr>
        <w:t>דנקנר</w:t>
      </w:r>
      <w:r>
        <w:rPr>
          <w:rFonts w:eastAsia="Calibri"/>
          <w:rtl w:val="true"/>
        </w:rPr>
        <w:t xml:space="preserve">, </w:t>
      </w:r>
      <w:r>
        <w:rPr>
          <w:rFonts w:eastAsia="Calibri"/>
          <w:rtl w:val="true"/>
        </w:rPr>
        <w:t xml:space="preserve">פסקה </w:t>
      </w:r>
      <w:r>
        <w:rPr>
          <w:rFonts w:eastAsia="Calibri"/>
        </w:rPr>
        <w:t>17</w:t>
      </w:r>
      <w:r>
        <w:rPr>
          <w:rtl w:val="true"/>
        </w:rPr>
        <w:t xml:space="preserve"> </w:t>
      </w:r>
      <w:r>
        <w:rPr>
          <w:rFonts w:eastAsia="Calibri"/>
          <w:rtl w:val="true"/>
        </w:rPr>
        <w:t xml:space="preserve">לפסק דינו של השופט </w:t>
      </w:r>
      <w:r>
        <w:rPr>
          <w:rFonts w:ascii="Century" w:hAnsi="Century" w:eastAsia="Calibri" w:cs="Miriam"/>
          <w:b/>
          <w:b/>
          <w:spacing w:val="0"/>
          <w:sz w:val="22"/>
          <w:sz w:val="22"/>
          <w:szCs w:val="24"/>
          <w:rtl w:val="true"/>
        </w:rPr>
        <w:t>הנדל</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6157/03</w:t>
        </w:r>
      </w:hyperlink>
      <w:r>
        <w:rPr>
          <w:rtl w:val="true"/>
        </w:rPr>
        <w:t xml:space="preserve"> </w:t>
      </w:r>
      <w:r>
        <w:rPr>
          <w:rFonts w:ascii="Century" w:hAnsi="Century" w:cs="Miriam"/>
          <w:b/>
          <w:b/>
          <w:spacing w:val="0"/>
          <w:szCs w:val="24"/>
          <w:rtl w:val="true"/>
        </w:rPr>
        <w:t>הוך</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16</w:t>
      </w:r>
      <w:r>
        <w:rPr>
          <w:rtl w:val="true"/>
        </w:rPr>
        <w:t xml:space="preserve"> (</w:t>
      </w:r>
      <w:r>
        <w:rPr/>
        <w:t>28.9.2005</w:t>
      </w:r>
      <w:r>
        <w:rPr>
          <w:rtl w:val="true"/>
        </w:rPr>
        <w:t xml:space="preserve">); </w:t>
      </w:r>
      <w:r>
        <w:rPr>
          <w:rtl w:val="true"/>
        </w:rPr>
        <w:t xml:space="preserve">וכן יורם רבין ויניב ואקי </w:t>
      </w:r>
      <w:r>
        <w:rPr>
          <w:rFonts w:ascii="Century" w:hAnsi="Century" w:cs="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
          <w:b/>
          <w:b/>
          <w:spacing w:val="0"/>
          <w:szCs w:val="24"/>
          <w:rtl w:val="true"/>
        </w:rPr>
        <w:t>עונשין</w:t>
      </w:r>
      <w:r>
        <w:rPr>
          <w:rtl w:val="true"/>
        </w:rPr>
        <w:t xml:space="preserve"> כרך א </w:t>
      </w:r>
      <w:r>
        <w:rPr/>
        <w:t>538-537</w:t>
      </w:r>
      <w:r>
        <w:rPr>
          <w:rtl w:val="true"/>
        </w:rPr>
        <w:t xml:space="preserve"> (</w:t>
      </w:r>
      <w:r>
        <w:rPr>
          <w:rtl w:val="true"/>
        </w:rPr>
        <w:t>מהדורה שנייה</w:t>
      </w:r>
      <w:r>
        <w:rPr>
          <w:rtl w:val="true"/>
        </w:rPr>
        <w:t xml:space="preserve">, </w:t>
      </w:r>
      <w:r>
        <w:rPr/>
        <w:t>2010</w:t>
      </w:r>
      <w:r>
        <w:rPr>
          <w:rtl w:val="true"/>
        </w:rPr>
        <w:t xml:space="preserve">)). </w:t>
      </w:r>
      <w:r>
        <w:rPr>
          <w:rtl w:val="true"/>
        </w:rPr>
        <w:t>ודוק</w:t>
      </w:r>
      <w:r>
        <w:rPr>
          <w:rtl w:val="true"/>
        </w:rPr>
        <w:t xml:space="preserve">: </w:t>
      </w:r>
      <w:r>
        <w:rPr>
          <w:rtl w:val="true"/>
        </w:rPr>
        <w:t xml:space="preserve">המודעות הנדרשת כאן </w:t>
      </w:r>
      <w:r>
        <w:rPr>
          <w:rtl w:val="true"/>
        </w:rPr>
        <w:t xml:space="preserve">"[...] </w:t>
      </w:r>
      <w:r>
        <w:rPr>
          <w:rtl w:val="true"/>
        </w:rPr>
        <w:t>אינה צריכה להיות מכוונת לפרטי פעולותיהם של השותפים</w:t>
      </w:r>
      <w:r>
        <w:rPr>
          <w:rtl w:val="true"/>
        </w:rPr>
        <w:t xml:space="preserve">, </w:t>
      </w:r>
      <w:r>
        <w:rPr>
          <w:rtl w:val="true"/>
        </w:rPr>
        <w:t>אלא לתפקידם בתכנית</w:t>
      </w:r>
      <w:r>
        <w:rPr>
          <w:rtl w:val="true"/>
        </w:rPr>
        <w:t xml:space="preserve">, </w:t>
      </w:r>
      <w:r>
        <w:rPr>
          <w:rtl w:val="true"/>
        </w:rPr>
        <w:t>ולעצם קיומה של התכנית</w:t>
      </w:r>
      <w:r>
        <w:rPr>
          <w:rtl w:val="true"/>
        </w:rPr>
        <w:t>" (</w:t>
      </w:r>
      <w:r>
        <w:rPr>
          <w:rtl w:val="true"/>
        </w:rPr>
        <w:t xml:space="preserve">ראו </w:t>
      </w:r>
      <w:r>
        <w:rPr>
          <w:rFonts w:eastAsia="Calibri"/>
          <w:rtl w:val="true"/>
        </w:rPr>
        <w:t xml:space="preserve">עניין </w:t>
      </w:r>
      <w:r>
        <w:rPr>
          <w:rFonts w:ascii="Century" w:hAnsi="Century" w:eastAsia="Calibri" w:cs="Miriam"/>
          <w:b/>
          <w:b/>
          <w:spacing w:val="0"/>
          <w:sz w:val="22"/>
          <w:sz w:val="22"/>
          <w:szCs w:val="24"/>
          <w:rtl w:val="true"/>
        </w:rPr>
        <w:t>דנקנר</w:t>
      </w:r>
      <w:r>
        <w:rPr>
          <w:rFonts w:eastAsia="Calibri"/>
          <w:rtl w:val="true"/>
        </w:rPr>
        <w:t xml:space="preserve">, </w:t>
      </w:r>
      <w:r>
        <w:rPr>
          <w:rFonts w:eastAsia="Calibri"/>
          <w:rtl w:val="true"/>
        </w:rPr>
        <w:t xml:space="preserve">פסקה </w:t>
      </w:r>
      <w:r>
        <w:rPr>
          <w:rFonts w:eastAsia="Calibri"/>
        </w:rPr>
        <w:t>18</w:t>
      </w:r>
      <w:r>
        <w:rPr>
          <w:rtl w:val="true"/>
        </w:rPr>
        <w:t xml:space="preserve"> </w:t>
      </w:r>
      <w:r>
        <w:rPr>
          <w:rFonts w:eastAsia="Calibri"/>
          <w:rtl w:val="true"/>
        </w:rPr>
        <w:t xml:space="preserve">לפסק דינו של השופט </w:t>
      </w:r>
      <w:r>
        <w:rPr>
          <w:rFonts w:ascii="Century" w:hAnsi="Century" w:eastAsia="Calibri" w:cs="Miriam"/>
          <w:b/>
          <w:b/>
          <w:spacing w:val="0"/>
          <w:sz w:val="22"/>
          <w:sz w:val="22"/>
          <w:szCs w:val="24"/>
          <w:rtl w:val="true"/>
        </w:rPr>
        <w:t>הנדל</w:t>
      </w:r>
      <w:r>
        <w:rPr>
          <w:rtl w:val="true"/>
        </w:rPr>
        <w:t xml:space="preserve">). </w:t>
      </w:r>
      <w:r>
        <w:rPr>
          <w:rtl w:val="true"/>
        </w:rPr>
        <w:t xml:space="preserve">העובדה ששני אנשים </w:t>
      </w:r>
      <w:r>
        <w:rPr>
          <w:rtl w:val="true"/>
        </w:rPr>
        <w:t>(</w:t>
      </w:r>
      <w:r>
        <w:rPr>
          <w:rtl w:val="true"/>
        </w:rPr>
        <w:t>או יותר</w:t>
      </w:r>
      <w:r>
        <w:rPr>
          <w:rtl w:val="true"/>
        </w:rPr>
        <w:t xml:space="preserve">) </w:t>
      </w:r>
      <w:r>
        <w:rPr>
          <w:rtl w:val="true"/>
        </w:rPr>
        <w:t>מבצעים יחדיו את העבירה ופועלים למען מטרה משותפת</w:t>
      </w:r>
      <w:r>
        <w:rPr>
          <w:rtl w:val="true"/>
        </w:rPr>
        <w:t xml:space="preserve">, </w:t>
      </w:r>
      <w:r>
        <w:rPr>
          <w:rtl w:val="true"/>
        </w:rPr>
        <w:t>כשכל אחד מהם מודע למעשיו של האחר</w:t>
      </w:r>
      <w:r>
        <w:rPr>
          <w:rtl w:val="true"/>
        </w:rPr>
        <w:t xml:space="preserve">, </w:t>
      </w:r>
      <w:r>
        <w:rPr>
          <w:rtl w:val="true"/>
        </w:rPr>
        <w:t xml:space="preserve">מספיקה כדי לבסס מודעות זו </w:t>
      </w:r>
      <w:r>
        <w:rPr>
          <w:rtl w:val="true"/>
        </w:rPr>
        <w:t>(</w:t>
      </w:r>
      <w:r>
        <w:rPr>
          <w:rtl w:val="true"/>
        </w:rPr>
        <w:t xml:space="preserve">ראו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9162/05</w:t>
        </w:r>
        <w:r>
          <w:rPr>
            <w:rStyle w:val="Hyperlink"/>
            <w:color w:val="0000FF"/>
            <w:u w:val="single"/>
            <w:rtl w:val="true"/>
          </w:rPr>
          <w:t xml:space="preserve"> </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סבובה</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ח והאסמכתאות המובאות שם </w:t>
      </w:r>
      <w:r>
        <w:rPr>
          <w:rtl w:val="true"/>
        </w:rPr>
        <w:t>(</w:t>
      </w:r>
      <w:r>
        <w:rPr>
          <w:sz w:val="28"/>
        </w:rPr>
        <w:t>3.8.2006</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מודעות לשותפות במעשה</w:t>
      </w:r>
      <w:r>
        <w:rPr>
          <w:rtl w:val="true"/>
        </w:rPr>
        <w:t xml:space="preserve">, </w:t>
      </w:r>
      <w:r>
        <w:rPr>
          <w:rtl w:val="true"/>
        </w:rPr>
        <w:t>שכאמור צריכה להתקיים אצל כל אחד ממבצעיו</w:t>
      </w:r>
      <w:r>
        <w:rPr>
          <w:rtl w:val="true"/>
        </w:rPr>
        <w:t xml:space="preserve">, </w:t>
      </w:r>
      <w:r>
        <w:rPr>
          <w:rtl w:val="true"/>
        </w:rPr>
        <w:t>מחייבת</w:t>
      </w:r>
      <w:r>
        <w:rPr>
          <w:rtl w:val="true"/>
        </w:rPr>
        <w:t xml:space="preserve">, </w:t>
      </w:r>
      <w:r>
        <w:rPr>
          <w:rtl w:val="true"/>
        </w:rPr>
        <w:t>לרוב</w:t>
      </w:r>
      <w:r>
        <w:rPr>
          <w:rtl w:val="true"/>
        </w:rPr>
        <w:t xml:space="preserve">, </w:t>
      </w:r>
      <w:r>
        <w:rPr>
          <w:rtl w:val="true"/>
        </w:rPr>
        <w:t>תכנון משותף עובר לביצוע העבירה</w:t>
      </w:r>
      <w:r>
        <w:rPr>
          <w:rtl w:val="true"/>
        </w:rPr>
        <w:t xml:space="preserve">. </w:t>
      </w:r>
      <w:r>
        <w:rPr>
          <w:rtl w:val="true"/>
        </w:rPr>
        <w:t>מדובר בתכנון מוקדם אשר כולל תיאום וחלוקת תפקידים בין המבצעים בצוותא</w:t>
      </w:r>
      <w:r>
        <w:rPr>
          <w:rtl w:val="true"/>
        </w:rPr>
        <w:t xml:space="preserve">. </w:t>
      </w:r>
      <w:r>
        <w:rPr>
          <w:rtl w:val="true"/>
        </w:rPr>
        <w:t>כפי שתיאר זאת פרופסור הלוי</w:t>
      </w:r>
      <w:r>
        <w:rPr>
          <w:rtl w:val="true"/>
        </w:rPr>
        <w:t>:</w:t>
      </w:r>
    </w:p>
    <w:p>
      <w:pPr>
        <w:pStyle w:val="Ruller42"/>
        <w:ind w:end="0"/>
        <w:jc w:val="both"/>
        <w:rPr/>
      </w:pPr>
      <w:r>
        <w:rPr>
          <w:rtl w:val="true"/>
        </w:rPr>
      </w:r>
    </w:p>
    <w:p>
      <w:pPr>
        <w:pStyle w:val="Ruller51"/>
        <w:ind w:end="1282"/>
        <w:jc w:val="both"/>
        <w:rPr/>
      </w:pPr>
      <w:r>
        <w:rPr>
          <w:rtl w:val="true"/>
        </w:rPr>
        <w:t>"</w:t>
      </w:r>
      <w:r>
        <w:rPr>
          <w:rtl w:val="true"/>
        </w:rPr>
        <w:t>הביצוע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מניח</w:t>
      </w:r>
      <w:r>
        <w:rPr>
          <w:rFonts w:eastAsia="Arial TUR;Arial" w:cs="Arial TUR;Arial"/>
          <w:rtl w:val="true"/>
        </w:rPr>
        <w:t xml:space="preserve"> </w:t>
      </w:r>
      <w:r>
        <w:rPr>
          <w:rtl w:val="true"/>
        </w:rPr>
        <w:t>תיאום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הצדדים</w:t>
      </w:r>
      <w:r>
        <w:rPr>
          <w:rtl w:val="true"/>
        </w:rPr>
        <w:t xml:space="preserve">, </w:t>
      </w:r>
      <w:r>
        <w:rPr>
          <w:rtl w:val="true"/>
        </w:rPr>
        <w:t>חלוקת</w:t>
      </w:r>
      <w:r>
        <w:rPr>
          <w:rFonts w:eastAsia="Arial TUR;Arial" w:cs="Arial TUR;Arial"/>
          <w:rtl w:val="true"/>
        </w:rPr>
        <w:t xml:space="preserve"> </w:t>
      </w:r>
      <w:r>
        <w:rPr>
          <w:rtl w:val="true"/>
        </w:rPr>
        <w:t>תפקידים</w:t>
      </w:r>
      <w:r>
        <w:rPr>
          <w:rFonts w:eastAsia="Arial TUR;Arial" w:cs="Arial TUR;Arial"/>
          <w:rtl w:val="true"/>
        </w:rPr>
        <w:t xml:space="preserve"> </w:t>
      </w:r>
      <w:r>
        <w:rPr>
          <w:rtl w:val="true"/>
        </w:rPr>
        <w:t>מוקדמת</w:t>
      </w:r>
      <w:r>
        <w:rPr>
          <w:rtl w:val="true"/>
        </w:rPr>
        <w:t xml:space="preserve">, </w:t>
      </w:r>
      <w:r>
        <w:rPr>
          <w:rtl w:val="true"/>
        </w:rPr>
        <w:t>הכנה</w:t>
      </w:r>
      <w:r>
        <w:rPr>
          <w:rFonts w:eastAsia="Arial TUR;Arial" w:cs="Arial TUR;Arial"/>
          <w:rtl w:val="true"/>
        </w:rPr>
        <w:t xml:space="preserve"> </w:t>
      </w:r>
      <w:r>
        <w:rPr>
          <w:rtl w:val="true"/>
        </w:rPr>
        <w:t>מוקדמת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מוקדם</w:t>
      </w:r>
      <w:r>
        <w:rPr>
          <w:rtl w:val="true"/>
        </w:rPr>
        <w:t>" (</w:t>
      </w:r>
      <w:r>
        <w:rPr>
          <w:rtl w:val="true"/>
        </w:rPr>
        <w:t>ראו</w:t>
      </w:r>
      <w:r>
        <w:rPr>
          <w:rFonts w:eastAsia="Arial TUR;Arial" w:cs="Arial TUR;Arial"/>
          <w:rtl w:val="true"/>
        </w:rPr>
        <w:t xml:space="preserve"> </w:t>
      </w:r>
      <w:r>
        <w:rPr>
          <w:rtl w:val="true"/>
        </w:rPr>
        <w:t>גבריאל</w:t>
      </w:r>
      <w:r>
        <w:rPr>
          <w:rFonts w:eastAsia="Arial TUR;Arial" w:cs="Arial TUR;Arial"/>
          <w:rtl w:val="true"/>
        </w:rPr>
        <w:t xml:space="preserve"> </w:t>
      </w:r>
      <w:r>
        <w:rPr>
          <w:rtl w:val="true"/>
        </w:rPr>
        <w:t>הלוי</w:t>
      </w:r>
      <w:r>
        <w:rPr>
          <w:rFonts w:eastAsia="Arial TUR;Arial" w:cs="Arial TUR;Arial"/>
          <w:rtl w:val="true"/>
        </w:rPr>
        <w:t xml:space="preserve"> </w:t>
      </w:r>
      <w:r>
        <w:rPr>
          <w:rFonts w:ascii="Times New Roman;Times New Roman" w:hAnsi="Times New Roman;Times New Roman" w:cs="Miriam"/>
          <w:spacing w:val="0"/>
          <w:sz w:val="28"/>
          <w:sz w:val="28"/>
          <w:szCs w:val="24"/>
          <w:rtl w:val="true"/>
        </w:rPr>
        <w:t>השותפות</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לדבר</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עבירה</w:t>
      </w:r>
      <w:r>
        <w:rPr>
          <w:rFonts w:eastAsia="Arial TUR;Arial" w:cs="Arial TUR;Arial"/>
          <w:rtl w:val="true"/>
        </w:rPr>
        <w:t xml:space="preserve"> </w:t>
      </w:r>
      <w:r>
        <w:rPr/>
        <w:t>624</w:t>
      </w:r>
      <w:r>
        <w:rPr>
          <w:rtl w:val="true"/>
        </w:rPr>
        <w:t xml:space="preserve"> (</w:t>
      </w:r>
      <w:r>
        <w:rPr/>
        <w:t>2008</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חבירה</w:t>
      </w:r>
      <w:r>
        <w:rPr>
          <w:rFonts w:ascii="Century" w:hAnsi="Century" w:eastAsia="Century" w:cs="Century"/>
          <w:b/>
          <w:b/>
          <w:spacing w:val="0"/>
          <w:szCs w:val="24"/>
          <w:rtl w:val="true"/>
        </w:rPr>
        <w:t xml:space="preserve"> </w:t>
      </w:r>
      <w:r>
        <w:rPr>
          <w:rFonts w:ascii="Century" w:hAnsi="Century" w:cs="Miriam"/>
          <w:b/>
          <w:b/>
          <w:spacing w:val="0"/>
          <w:szCs w:val="24"/>
          <w:rtl w:val="true"/>
        </w:rPr>
        <w:t>ספונטנית</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תכנון משותף הינו תנאי מספיק לקיום המודעות אצל שותפים לדבר עבירה אשר מוציאים את תכניתם הפלילית מן הכוח אל הפועל</w:t>
      </w:r>
      <w:r>
        <w:rPr>
          <w:rtl w:val="true"/>
        </w:rPr>
        <w:t xml:space="preserve">. </w:t>
      </w:r>
      <w:r>
        <w:rPr>
          <w:rtl w:val="true"/>
        </w:rPr>
        <w:t>ברם</w:t>
      </w:r>
      <w:r>
        <w:rPr>
          <w:rtl w:val="true"/>
        </w:rPr>
        <w:t xml:space="preserve">, </w:t>
      </w:r>
      <w:r>
        <w:rPr>
          <w:rtl w:val="true"/>
        </w:rPr>
        <w:t>הדבר איננו בגדר תנאי הכרחי</w:t>
      </w:r>
      <w:r>
        <w:rPr>
          <w:rtl w:val="true"/>
        </w:rPr>
        <w:t xml:space="preserve">, </w:t>
      </w:r>
      <w:r>
        <w:rPr>
          <w:rtl w:val="true"/>
        </w:rPr>
        <w:t>מאחר שדיננו מכיר גם בשותפות ספונטנית</w:t>
      </w:r>
      <w:r>
        <w:rPr>
          <w:rtl w:val="true"/>
        </w:rPr>
        <w:t xml:space="preserve">. </w:t>
      </w:r>
      <w:r>
        <w:rPr>
          <w:rtl w:val="true"/>
        </w:rPr>
        <w:t>כפי שמסביר ד״ר רוני רוזנברג במאמרו על שותפות</w:t>
      </w:r>
      <w:r>
        <w:rPr>
          <w:rtl w:val="true"/>
        </w:rPr>
        <w:t xml:space="preserve">, "[...] </w:t>
      </w:r>
      <w:r>
        <w:rPr>
          <w:rtl w:val="true"/>
        </w:rPr>
        <w:t>ביצוע בצוותא יכול לנבוע אף מכוח שותפות ספונטנית שהתגבשה במהלך קיום העבירה הרלוונטית</w:t>
      </w:r>
      <w:r>
        <w:rPr>
          <w:rtl w:val="true"/>
        </w:rPr>
        <w:t xml:space="preserve">. </w:t>
      </w:r>
      <w:r>
        <w:rPr>
          <w:rtl w:val="true"/>
        </w:rPr>
        <w:t xml:space="preserve">שותפות ספונטנית היא שותפות שלא קדם לה תכנון ולו גם מינימלי לצורך ביצועה של העבירה </w:t>
      </w:r>
      <w:r>
        <w:rPr>
          <w:rtl w:val="true"/>
        </w:rPr>
        <w:t>[...]" (</w:t>
      </w:r>
      <w:r>
        <w:rPr>
          <w:rtl w:val="true"/>
        </w:rPr>
        <w:t xml:space="preserve">ראו רוני </w:t>
      </w:r>
      <w:hyperlink r:id="rId43">
        <w:r>
          <w:rPr>
            <w:rStyle w:val="Hyperlink"/>
            <w:color w:val="0000FF"/>
            <w:u w:val="single"/>
            <w:rtl w:val="true"/>
          </w:rPr>
          <w:t>רוזנברג</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ביצוע</w:t>
        </w:r>
        <w:r>
          <w:rPr>
            <w:rStyle w:val="Hyperlink"/>
            <w:color w:val="0000FF"/>
            <w:u w:val="single"/>
            <w:rtl w:val="true"/>
          </w:rPr>
          <w:t xml:space="preserve"> </w:t>
        </w:r>
        <w:r>
          <w:rPr>
            <w:rStyle w:val="Hyperlink"/>
            <w:color w:val="0000FF"/>
            <w:u w:val="single"/>
            <w:rtl w:val="true"/>
          </w:rPr>
          <w:t>בצוותא</w:t>
        </w:r>
        <w:r>
          <w:rPr>
            <w:rStyle w:val="Hyperlink"/>
            <w:color w:val="0000FF"/>
            <w:u w:val="single"/>
            <w:rtl w:val="true"/>
          </w:rPr>
          <w:t xml:space="preserve">: </w:t>
        </w:r>
        <w:r>
          <w:rPr>
            <w:rStyle w:val="Hyperlink"/>
            <w:color w:val="0000FF"/>
            <w:u w:val="single"/>
            <w:rtl w:val="true"/>
          </w:rPr>
          <w:t>רכיב</w:t>
        </w:r>
        <w:r>
          <w:rPr>
            <w:rStyle w:val="Hyperlink"/>
            <w:color w:val="0000FF"/>
            <w:u w:val="single"/>
            <w:rtl w:val="true"/>
          </w:rPr>
          <w:t xml:space="preserve"> </w:t>
        </w:r>
        <w:r>
          <w:rPr>
            <w:rStyle w:val="Hyperlink"/>
            <w:color w:val="0000FF"/>
            <w:u w:val="single"/>
            <w:rtl w:val="true"/>
          </w:rPr>
          <w:t>התנהגותי</w:t>
        </w:r>
        <w:r>
          <w:rPr>
            <w:rStyle w:val="Hyperlink"/>
            <w:color w:val="0000FF"/>
            <w:u w:val="single"/>
            <w:rtl w:val="true"/>
          </w:rPr>
          <w:t>,</w:t>
        </w:r>
      </w:hyperlink>
      <w:r>
        <w:rPr>
          <w:rtl w:val="true"/>
        </w:rPr>
        <w:t xml:space="preserve"> </w:t>
      </w:r>
      <w:r>
        <w:rPr>
          <w:rtl w:val="true"/>
        </w:rPr>
        <w:t>יסוד</w:t>
      </w:r>
      <w:r>
        <w:rPr>
          <w:rtl w:val="true"/>
        </w:rPr>
        <w:t xml:space="preserve"> </w:t>
      </w:r>
      <w:r>
        <w:rPr>
          <w:rtl w:val="true"/>
        </w:rPr>
        <w:t>נפשי</w:t>
      </w:r>
      <w:r>
        <w:rPr>
          <w:rtl w:val="true"/>
        </w:rPr>
        <w:t xml:space="preserve"> </w:t>
      </w:r>
      <w:r>
        <w:rPr>
          <w:rtl w:val="true"/>
        </w:rPr>
        <w:t>ורציונלים</w:t>
      </w:r>
      <w:r>
        <w:rPr>
          <w:rtl w:val="true"/>
        </w:rPr>
        <w:t xml:space="preserve">" </w:t>
      </w:r>
      <w:r>
        <w:rPr>
          <w:rFonts w:cs="Miriam"/>
          <w:szCs w:val="24"/>
          <w:rtl w:val="true"/>
        </w:rPr>
        <w:t>ספר</w:t>
      </w:r>
      <w:r>
        <w:rPr>
          <w:rFonts w:eastAsia="Garamond"/>
          <w:szCs w:val="24"/>
          <w:rtl w:val="true"/>
        </w:rPr>
        <w:t xml:space="preserve"> </w:t>
      </w:r>
      <w:r>
        <w:rPr>
          <w:rFonts w:cs="Miriam"/>
          <w:szCs w:val="24"/>
          <w:rtl w:val="true"/>
        </w:rPr>
        <w:t>אדמונד</w:t>
      </w:r>
      <w:r>
        <w:rPr>
          <w:rFonts w:eastAsia="Garamond"/>
          <w:szCs w:val="24"/>
          <w:rtl w:val="true"/>
        </w:rPr>
        <w:t xml:space="preserve"> </w:t>
      </w:r>
      <w:r>
        <w:rPr>
          <w:rFonts w:cs="Miriam"/>
          <w:szCs w:val="24"/>
          <w:rtl w:val="true"/>
        </w:rPr>
        <w:t>לוי</w:t>
      </w:r>
      <w:r>
        <w:rPr>
          <w:rtl w:val="true"/>
        </w:rPr>
        <w:t xml:space="preserve"> </w:t>
      </w:r>
      <w:r>
        <w:rPr/>
        <w:t>657</w:t>
      </w:r>
      <w:r>
        <w:rPr>
          <w:rtl w:val="true"/>
        </w:rPr>
        <w:t xml:space="preserve">, </w:t>
      </w:r>
      <w:r>
        <w:rPr/>
        <w:t>669-668</w:t>
      </w:r>
      <w:r>
        <w:rPr>
          <w:rFonts w:cs="TT11Eo00;Arial" w:ascii="TT11Eo00;Arial" w:hAnsi="TT11Eo00;Arial"/>
          <w:spacing w:val="0"/>
          <w:sz w:val="32"/>
          <w:szCs w:val="32"/>
          <w:rtl w:val="true"/>
        </w:rPr>
        <w:t xml:space="preserve"> </w:t>
      </w:r>
      <w:r>
        <w:rPr>
          <w:rtl w:val="true"/>
        </w:rPr>
        <w:t>(</w:t>
      </w:r>
      <w:r>
        <w:rPr/>
        <w:t>2017</w:t>
      </w:r>
      <w:r>
        <w:rPr>
          <w:rtl w:val="true"/>
        </w:rPr>
        <w:t>)</w:t>
      </w:r>
      <w:r>
        <w:rPr>
          <w:rtl w:val="true"/>
        </w:rPr>
        <w:t xml:space="preserve">; </w:t>
      </w:r>
      <w:r>
        <w:rPr>
          <w:rtl w:val="true"/>
        </w:rPr>
        <w:t xml:space="preserve">וראו גם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2247/10</w:t>
        </w:r>
        <w:r>
          <w:rPr>
            <w:rStyle w:val="Hyperlink"/>
            <w:color w:val="0000FF"/>
            <w:u w:val="single"/>
            <w:rtl w:val="true"/>
          </w:rPr>
          <w:t xml:space="preserve"> </w:t>
        </w:r>
        <w:r>
          <w:rPr>
            <w:rStyle w:val="Hyperlink"/>
            <w:color w:val="0000FF"/>
            <w:u w:val="single"/>
            <w:rtl w:val="true"/>
          </w:rPr>
          <w:t>ימיני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סד</w:t>
        </w:r>
      </w:hyperlink>
      <w:r>
        <w:rPr>
          <w:rtl w:val="true"/>
        </w:rPr>
        <w:t>(</w:t>
      </w:r>
      <w:r>
        <w:rPr/>
        <w:t>2</w:t>
      </w:r>
      <w:r>
        <w:rPr>
          <w:rtl w:val="true"/>
        </w:rPr>
        <w:t xml:space="preserve">) </w:t>
      </w:r>
      <w:r>
        <w:rPr/>
        <w:t>666</w:t>
      </w:r>
      <w:r>
        <w:rPr>
          <w:rtl w:val="true"/>
        </w:rPr>
        <w:t>,</w:t>
      </w:r>
      <w:r>
        <w:rPr>
          <w:rtl w:val="true"/>
        </w:rPr>
        <w:t xml:space="preserve"> </w:t>
      </w:r>
      <w:r>
        <w:rPr>
          <w:rtl w:val="true"/>
        </w:rPr>
        <w:t xml:space="preserve">פסקה </w:t>
      </w:r>
      <w:r>
        <w:rPr/>
        <w:t>22</w:t>
      </w:r>
      <w:r>
        <w:rPr>
          <w:rtl w:val="true"/>
        </w:rPr>
        <w:t xml:space="preserve"> (</w:t>
      </w:r>
      <w:r>
        <w:rPr/>
        <w:t>2011</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259/97</w:t>
        </w:r>
      </w:hyperlink>
      <w:r>
        <w:rPr>
          <w:rtl w:val="true"/>
        </w:rPr>
        <w:t xml:space="preserve"> </w:t>
      </w:r>
      <w:r>
        <w:rPr>
          <w:rFonts w:ascii="Times New Roman;Times New Roman" w:hAnsi="Times New Roman;Times New Roman" w:cs="Miriam"/>
          <w:spacing w:val="0"/>
          <w:sz w:val="28"/>
          <w:sz w:val="28"/>
          <w:szCs w:val="24"/>
          <w:rtl w:val="true"/>
        </w:rPr>
        <w:t>סובחי</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נ</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מדינת</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28.4.1998</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סובחי</w:t>
      </w:r>
      <w:r>
        <w:rPr>
          <w:rtl w:val="true"/>
        </w:rPr>
        <w:t xml:space="preserve">); </w:t>
      </w:r>
      <w:r>
        <w:rPr>
          <w:rtl w:val="true"/>
        </w:rPr>
        <w:t xml:space="preserve">ועניין </w:t>
      </w:r>
      <w:r>
        <w:rPr>
          <w:rFonts w:ascii="Times New Roman;Times New Roman" w:hAnsi="Times New Roman;Times New Roman" w:cs="Miriam"/>
          <w:spacing w:val="0"/>
          <w:sz w:val="28"/>
          <w:sz w:val="28"/>
          <w:szCs w:val="24"/>
          <w:rtl w:val="true"/>
        </w:rPr>
        <w:t>בביזאיב</w:t>
      </w:r>
      <w:r>
        <w:rPr>
          <w:rtl w:val="true"/>
        </w:rPr>
        <w:t xml:space="preserve">, </w:t>
      </w:r>
      <w:r>
        <w:rPr>
          <w:rtl w:val="true"/>
        </w:rPr>
        <w:t>בעמ</w:t>
      </w:r>
      <w:r>
        <w:rPr>
          <w:rtl w:val="true"/>
        </w:rPr>
        <w:t xml:space="preserve">' </w:t>
      </w:r>
      <w:r>
        <w:rPr/>
        <w:t>585-584</w:t>
      </w:r>
      <w:r>
        <w:rPr>
          <w:rtl w:val="true"/>
        </w:rPr>
        <w:t xml:space="preserve">, </w:t>
      </w:r>
      <w:r>
        <w:rPr/>
        <w:t>590</w:t>
      </w:r>
      <w:r>
        <w:rPr>
          <w:rtl w:val="true"/>
        </w:rPr>
        <w:t xml:space="preserve">). </w:t>
      </w:r>
      <w:r>
        <w:rPr>
          <w:rtl w:val="true"/>
        </w:rPr>
        <w:t>לעניין זה</w:t>
      </w:r>
      <w:r>
        <w:rPr>
          <w:rtl w:val="true"/>
        </w:rPr>
        <w:t xml:space="preserve">, </w:t>
      </w:r>
      <w:r>
        <w:rPr>
          <w:rtl w:val="true"/>
        </w:rPr>
        <w:t>די לה</w:t>
      </w:r>
      <w:r>
        <w:rPr>
          <w:rtl w:val="true"/>
        </w:rPr>
        <w:t xml:space="preserve">, </w:t>
      </w:r>
      <w:r>
        <w:rPr>
          <w:rtl w:val="true"/>
        </w:rPr>
        <w:t>לתביעה</w:t>
      </w:r>
      <w:r>
        <w:rPr>
          <w:rtl w:val="true"/>
        </w:rPr>
        <w:t xml:space="preserve">, </w:t>
      </w:r>
      <w:r>
        <w:rPr>
          <w:rtl w:val="true"/>
        </w:rPr>
        <w:t>להוכיח את החלטת הצדדים להשתתף במעשה עברייני משותף</w:t>
      </w:r>
      <w:r>
        <w:rPr>
          <w:rtl w:val="true"/>
        </w:rPr>
        <w:t xml:space="preserve">, </w:t>
      </w:r>
      <w:r>
        <w:rPr>
          <w:rtl w:val="true"/>
        </w:rPr>
        <w:t xml:space="preserve">כאשר החלטה זו יכול שתתגבש תוך כדי ביצוע המעשה </w:t>
      </w:r>
      <w:r>
        <w:rPr>
          <w:rtl w:val="true"/>
        </w:rPr>
        <w:t>(</w:t>
      </w:r>
      <w:r>
        <w:rPr>
          <w:rtl w:val="true"/>
        </w:rPr>
        <w:t xml:space="preserve">ראו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5686/07</w:t>
        </w:r>
      </w:hyperlink>
      <w:r>
        <w:rPr>
          <w:rtl w:val="true"/>
        </w:rPr>
        <w:t xml:space="preserve"> </w:t>
      </w:r>
      <w:r>
        <w:rPr>
          <w:rFonts w:ascii="Century" w:hAnsi="Century" w:cs="Miriam"/>
          <w:b/>
          <w:b/>
          <w:spacing w:val="0"/>
          <w:szCs w:val="24"/>
          <w:rtl w:val="true"/>
        </w:rPr>
        <w:t>בסטיקאר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13</w:t>
      </w:r>
      <w:r>
        <w:rPr>
          <w:rtl w:val="true"/>
        </w:rPr>
        <w:t xml:space="preserve"> (</w:t>
      </w:r>
      <w:r>
        <w:rPr>
          <w:rFonts w:cs="Times New Roman;Times New Roman" w:ascii="Times New Roman;Times New Roman" w:hAnsi="Times New Roman;Times New Roman"/>
        </w:rPr>
        <w:t>17.2.2011</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בסטיקאר</w:t>
      </w:r>
      <w:r>
        <w:rPr>
          <w:rtl w:val="true"/>
        </w:rPr>
        <w:t xml:space="preserve">)). </w:t>
      </w:r>
      <w:r>
        <w:rPr>
          <w:rtl w:val="true"/>
        </w:rPr>
        <w:t>אין כל הכרח כי הסכמת השותפים לביצוע המעשה בצוותא תהא תוצאה של שיחה מקדימה</w:t>
      </w:r>
      <w:r>
        <w:rPr>
          <w:rtl w:val="true"/>
        </w:rPr>
        <w:t xml:space="preserve">: </w:t>
      </w:r>
      <w:r>
        <w:rPr>
          <w:rtl w:val="true"/>
        </w:rPr>
        <w:t>בכגון דא</w:t>
      </w:r>
      <w:r>
        <w:rPr>
          <w:rtl w:val="true"/>
        </w:rPr>
        <w:t xml:space="preserve">, </w:t>
      </w:r>
      <w:r>
        <w:rPr>
          <w:rtl w:val="true"/>
        </w:rPr>
        <w:t>די בהסכמה ספונטנית</w:t>
      </w:r>
      <w:r>
        <w:rPr>
          <w:rtl w:val="true"/>
        </w:rPr>
        <w:t xml:space="preserve">, </w:t>
      </w:r>
      <w:r>
        <w:rPr>
          <w:rtl w:val="true"/>
        </w:rPr>
        <w:t>או</w:t>
      </w:r>
      <w:r>
        <w:rPr>
          <w:rtl w:val="true"/>
        </w:rPr>
        <w:t xml:space="preserve">, </w:t>
      </w:r>
      <w:r>
        <w:rPr>
          <w:rtl w:val="true"/>
        </w:rPr>
        <w:t xml:space="preserve">כפי שהגדירה השופט </w:t>
      </w:r>
      <w:r>
        <w:rPr>
          <w:rFonts w:ascii="Century" w:hAnsi="Century" w:cs="Miriam"/>
          <w:b/>
          <w:b/>
          <w:spacing w:val="0"/>
          <w:sz w:val="22"/>
          <w:sz w:val="22"/>
          <w:szCs w:val="24"/>
          <w:rtl w:val="true"/>
        </w:rPr>
        <w:t>הנדל</w:t>
      </w:r>
      <w:r>
        <w:rPr>
          <w:rtl w:val="true"/>
        </w:rPr>
        <w:t xml:space="preserve">, </w:t>
      </w:r>
      <w:r>
        <w:rPr>
          <w:rtl w:val="true"/>
        </w:rPr>
        <w:t xml:space="preserve">החלטה על חבירה לביצוע העבירה אגב ביצועה </w:t>
      </w:r>
      <w:r>
        <w:rPr>
          <w:rtl w:val="true"/>
        </w:rPr>
        <w:t>(</w:t>
      </w:r>
      <w:r>
        <w:rPr>
          <w:rFonts w:eastAsia="Calibri"/>
          <w:rtl w:val="true"/>
        </w:rPr>
        <w:t>ראו שם</w:t>
      </w:r>
      <w:r>
        <w:rPr>
          <w:rFonts w:eastAsia="Calibri"/>
          <w:rtl w:val="true"/>
        </w:rPr>
        <w:t xml:space="preserve">; </w:t>
      </w:r>
      <w:r>
        <w:rPr>
          <w:rFonts w:eastAsia="Calibri"/>
          <w:rtl w:val="true"/>
        </w:rPr>
        <w:t xml:space="preserve">וכן עניין </w:t>
      </w:r>
      <w:r>
        <w:rPr>
          <w:rFonts w:ascii="Century" w:hAnsi="Century" w:eastAsia="Calibri" w:cs="Miriam"/>
          <w:b/>
          <w:b/>
          <w:spacing w:val="0"/>
          <w:szCs w:val="24"/>
          <w:rtl w:val="true"/>
        </w:rPr>
        <w:t>דנקנר</w:t>
      </w:r>
      <w:r>
        <w:rPr>
          <w:rFonts w:eastAsia="Calibri"/>
          <w:rtl w:val="true"/>
        </w:rPr>
        <w:t xml:space="preserve">, </w:t>
      </w:r>
      <w:r>
        <w:rPr>
          <w:rFonts w:eastAsia="Calibri"/>
          <w:rtl w:val="true"/>
        </w:rPr>
        <w:t xml:space="preserve">פסקה </w:t>
      </w:r>
      <w:r>
        <w:rPr>
          <w:rFonts w:eastAsia="Calibri"/>
        </w:rPr>
        <w:t>18</w:t>
      </w:r>
      <w:r>
        <w:rPr>
          <w:rtl w:val="true"/>
        </w:rPr>
        <w:t xml:space="preserve"> </w:t>
      </w:r>
      <w:r>
        <w:rPr>
          <w:rFonts w:eastAsia="Calibri"/>
          <w:rtl w:val="true"/>
        </w:rPr>
        <w:t xml:space="preserve">לפסק דינו של השופט </w:t>
      </w:r>
      <w:r>
        <w:rPr>
          <w:rFonts w:ascii="Century" w:hAnsi="Century" w:eastAsia="Calibri" w:cs="Miriam"/>
          <w:b/>
          <w:b/>
          <w:spacing w:val="0"/>
          <w:sz w:val="22"/>
          <w:sz w:val="22"/>
          <w:szCs w:val="24"/>
          <w:rtl w:val="true"/>
        </w:rPr>
        <w:t>הנדל</w:t>
      </w:r>
      <w:r>
        <w:rPr>
          <w:rtl w:val="true"/>
        </w:rPr>
        <w:t>).</w:t>
      </w:r>
    </w:p>
    <w:p>
      <w:pPr>
        <w:pStyle w:val="Ruller42"/>
        <w:ind w:end="0"/>
        <w:jc w:val="both"/>
        <w:rPr/>
      </w:pPr>
      <w:r>
        <w:rPr>
          <w:rtl w:val="true"/>
        </w:rPr>
      </w:r>
    </w:p>
    <w:p>
      <w:pPr>
        <w:pStyle w:val="Ruller43"/>
        <w:numPr>
          <w:ilvl w:val="0"/>
          <w:numId w:val="1"/>
        </w:numPr>
        <w:ind w:hanging="0" w:start="0" w:end="0"/>
        <w:jc w:val="both"/>
        <w:rPr>
          <w:rFonts w:ascii="Times New Roman;Times New Roman" w:hAnsi="Times New Roman;Times New Roman" w:cs="Times New Roman;Times New Roman"/>
        </w:rPr>
      </w:pPr>
      <w:r>
        <w:rPr>
          <w:rFonts w:eastAsia="Garamond"/>
          <w:rtl w:val="true"/>
        </w:rPr>
        <w:t xml:space="preserve"> </w:t>
      </w:r>
      <w:r>
        <w:rPr>
          <w:rtl w:val="true"/>
        </w:rPr>
        <w:t xml:space="preserve">נקודה חשובה זו הוסברה היטב על ידי </w:t>
      </w:r>
      <w:r>
        <w:rPr>
          <w:rFonts w:ascii="Times New Roman;Times New Roman" w:hAnsi="Times New Roman;Times New Roman" w:cs="Times New Roman;Times New Roman"/>
          <w:rtl w:val="true"/>
        </w:rPr>
        <w:t xml:space="preserve">הנשיאה </w:t>
      </w:r>
      <w:r>
        <w:rPr>
          <w:rFonts w:ascii="Times New Roman;Times New Roman" w:hAnsi="Times New Roman;Times New Roman" w:cs="Miriam"/>
          <w:spacing w:val="0"/>
          <w:sz w:val="28"/>
          <w:sz w:val="28"/>
          <w:szCs w:val="24"/>
          <w:rtl w:val="true"/>
        </w:rPr>
        <w:t>ד</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ביניש</w:t>
      </w:r>
      <w:r>
        <w:rPr>
          <w:rFonts w:cs="Times New Roman;Times New Roman" w:ascii="Times New Roman;Times New Roman" w:hAnsi="Times New Roman;Times New Roman"/>
          <w:rtl w:val="true"/>
        </w:rPr>
        <w:t xml:space="preserve">: </w:t>
      </w:r>
    </w:p>
    <w:p>
      <w:pPr>
        <w:pStyle w:val="Ruller42"/>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51"/>
        <w:ind w:end="1282"/>
        <w:jc w:val="both"/>
        <w:rPr/>
      </w:pPr>
      <w:r>
        <w:rPr>
          <w:rtl w:val="true"/>
        </w:rPr>
        <w:t>"</w:t>
      </w:r>
      <w:r>
        <w:rPr>
          <w:rtl w:val="true"/>
        </w:rPr>
        <w:t>הלכה</w:t>
      </w:r>
      <w:r>
        <w:rPr>
          <w:rFonts w:eastAsia="Arial TUR;Arial" w:cs="Arial TUR;Arial"/>
          <w:rtl w:val="true"/>
        </w:rPr>
        <w:t xml:space="preserve"> </w:t>
      </w:r>
      <w:r>
        <w:rPr>
          <w:rtl w:val="true"/>
        </w:rPr>
        <w:t>פסוקה</w:t>
      </w:r>
      <w:r>
        <w:rPr>
          <w:rFonts w:eastAsia="Arial TUR;Arial" w:cs="Arial TUR;Arial"/>
          <w:rtl w:val="true"/>
        </w:rPr>
        <w:t xml:space="preserve"> </w:t>
      </w:r>
      <w:r>
        <w:rPr>
          <w:rtl w:val="true"/>
        </w:rPr>
        <w:t>מימים</w:t>
      </w:r>
      <w:r>
        <w:rPr>
          <w:rFonts w:eastAsia="Arial TUR;Arial" w:cs="Arial TUR;Arial"/>
          <w:rtl w:val="true"/>
        </w:rPr>
        <w:t xml:space="preserve"> </w:t>
      </w:r>
      <w:r>
        <w:rPr>
          <w:rtl w:val="true"/>
        </w:rPr>
        <w:t>ימימה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הכרח</w:t>
      </w:r>
      <w:r>
        <w:rPr>
          <w:rFonts w:eastAsia="Arial TUR;Arial" w:cs="Arial TUR;Arial"/>
          <w:rtl w:val="true"/>
        </w:rPr>
        <w:t xml:space="preserve"> </w:t>
      </w:r>
      <w:r>
        <w:rPr>
          <w:rtl w:val="true"/>
        </w:rPr>
        <w:t>בהיוועדות</w:t>
      </w:r>
      <w:r>
        <w:rPr>
          <w:rFonts w:eastAsia="Arial TUR;Arial" w:cs="Arial TUR;Arial"/>
          <w:rtl w:val="true"/>
        </w:rPr>
        <w:t xml:space="preserve"> </w:t>
      </w:r>
      <w:r>
        <w:rPr>
          <w:rtl w:val="true"/>
        </w:rPr>
        <w:t>מוקדמת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בתכנון</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השותפים</w:t>
      </w:r>
      <w:r>
        <w:rPr>
          <w:rFonts w:eastAsia="Arial TUR;Arial" w:cs="Arial TUR;Arial"/>
          <w:rtl w:val="true"/>
        </w:rPr>
        <w:t xml:space="preserve"> </w:t>
      </w:r>
      <w:r>
        <w:rPr>
          <w:rtl w:val="true"/>
        </w:rPr>
        <w:t>למעשה</w:t>
      </w:r>
      <w:r>
        <w:rPr>
          <w:rtl w:val="true"/>
        </w:rPr>
        <w:t>.</w:t>
      </w:r>
      <w:r>
        <w:rPr>
          <w:rtl w:val="true"/>
        </w:rPr>
        <w:t>״</w:t>
      </w:r>
      <w:r>
        <w:rPr>
          <w:rFonts w:eastAsia="Arial TUR;Arial" w:cs="Arial TUR;Arial"/>
          <w:rtl w:val="true"/>
        </w:rPr>
        <w:t xml:space="preserve"> </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 xml:space="preserve">ראו עניין </w:t>
      </w:r>
      <w:r>
        <w:rPr>
          <w:rFonts w:ascii="Century" w:hAnsi="Century" w:cs="Miriam"/>
          <w:b/>
          <w:b/>
          <w:spacing w:val="0"/>
          <w:szCs w:val="24"/>
          <w:rtl w:val="true"/>
        </w:rPr>
        <w:t>בביזאיב</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פסקה </w:t>
      </w:r>
      <w:r>
        <w:rPr>
          <w:rFonts w:cs="Times New Roman;Times New Roman" w:ascii="Times New Roman;Times New Roman" w:hAnsi="Times New Roman;Times New Roman"/>
        </w:rPr>
        <w:t>2</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לפסק דינה של הנשיאה </w:t>
      </w:r>
      <w:r>
        <w:rPr>
          <w:rFonts w:ascii="Century" w:hAnsi="Century" w:cs="Miriam"/>
          <w:b/>
          <w:b/>
          <w:spacing w:val="0"/>
          <w:szCs w:val="24"/>
          <w:rtl w:val="true"/>
        </w:rPr>
        <w:t>ביניש</w:t>
      </w:r>
      <w:r>
        <w:rPr>
          <w:rFonts w:cs="Times New Roman;Times New Roman" w:ascii="Times New Roman;Times New Roman" w:hAnsi="Times New Roman;Times New Roman"/>
          <w:rtl w:val="true"/>
        </w:rPr>
        <w:t>).</w:t>
      </w:r>
      <w:r>
        <w:rPr>
          <w:rtl w:val="true"/>
        </w:rPr>
        <w:t xml:space="preserve"> </w:t>
      </w:r>
    </w:p>
    <w:p>
      <w:pPr>
        <w:pStyle w:val="Ruller51"/>
        <w:ind w:end="1282"/>
        <w:jc w:val="both"/>
        <w:rPr/>
      </w:pPr>
      <w:r>
        <w:rPr>
          <w:rtl w:val="true"/>
        </w:rPr>
      </w:r>
    </w:p>
    <w:p>
      <w:pPr>
        <w:pStyle w:val="Ruller43"/>
        <w:numPr>
          <w:ilvl w:val="0"/>
          <w:numId w:val="1"/>
        </w:numPr>
        <w:ind w:hanging="0" w:start="0" w:end="0"/>
        <w:jc w:val="both"/>
        <w:rPr/>
      </w:pPr>
      <w:r>
        <w:rPr>
          <w:rtl w:val="true"/>
        </w:rPr>
        <w:t>השופט</w:t>
      </w:r>
      <w:r>
        <w:rPr>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חשין</w:t>
      </w:r>
      <w:r>
        <w:rPr>
          <w:rtl w:val="true"/>
        </w:rPr>
        <w:t xml:space="preserve"> </w:t>
      </w:r>
      <w:r>
        <w:rPr>
          <w:rtl w:val="true"/>
        </w:rPr>
        <w:t>(</w:t>
      </w:r>
      <w:r>
        <w:rPr>
          <w:rtl w:val="true"/>
        </w:rPr>
        <w:t>כתוארו</w:t>
      </w:r>
      <w:r>
        <w:rPr>
          <w:rtl w:val="true"/>
        </w:rPr>
        <w:t xml:space="preserve"> </w:t>
      </w:r>
      <w:r>
        <w:rPr>
          <w:rtl w:val="true"/>
        </w:rPr>
        <w:t>אז</w:t>
      </w:r>
      <w:r>
        <w:rPr>
          <w:rtl w:val="true"/>
        </w:rPr>
        <w:t xml:space="preserve">) </w:t>
      </w:r>
      <w:r>
        <w:rPr>
          <w:rtl w:val="true"/>
        </w:rPr>
        <w:t>אמר</w:t>
      </w:r>
      <w:r>
        <w:rPr>
          <w:rtl w:val="true"/>
        </w:rPr>
        <w:t xml:space="preserve"> </w:t>
      </w:r>
      <w:r>
        <w:rPr>
          <w:rtl w:val="true"/>
        </w:rPr>
        <w:t>דברים</w:t>
      </w:r>
      <w:r>
        <w:rPr>
          <w:rtl w:val="true"/>
        </w:rPr>
        <w:t xml:space="preserve"> </w:t>
      </w:r>
      <w:r>
        <w:rPr>
          <w:rtl w:val="true"/>
        </w:rPr>
        <w:t>זהים</w:t>
      </w:r>
      <w:r>
        <w:rPr>
          <w:rtl w:val="true"/>
        </w:rPr>
        <w:t xml:space="preserve"> </w:t>
      </w:r>
      <w:r>
        <w:rPr>
          <w:rtl w:val="true"/>
        </w:rPr>
        <w:t xml:space="preserve">בעניין </w:t>
      </w:r>
      <w:r>
        <w:rPr>
          <w:rFonts w:ascii="Century" w:hAnsi="Century" w:cs="Miriam"/>
          <w:b/>
          <w:b/>
          <w:spacing w:val="0"/>
          <w:sz w:val="22"/>
          <w:sz w:val="22"/>
          <w:szCs w:val="24"/>
          <w:rtl w:val="true"/>
        </w:rPr>
        <w:t>סובחי</w:t>
      </w:r>
      <w:r>
        <w:rPr>
          <w:rtl w:val="true"/>
        </w:rPr>
        <w:t>:</w:t>
      </w:r>
      <w:r>
        <w:rPr>
          <w:rtl w:val="true"/>
        </w:rPr>
        <w:t xml:space="preserve"> </w:t>
      </w:r>
      <w:r>
        <w:rPr>
          <w:rtl w:val="true"/>
        </w:rPr>
        <w:t>״גם</w:t>
      </w:r>
      <w:r>
        <w:rPr>
          <w:rtl w:val="true"/>
        </w:rPr>
        <w:t xml:space="preserve"> </w:t>
      </w:r>
      <w:r>
        <w:rPr>
          <w:rtl w:val="true"/>
        </w:rPr>
        <w:t>שותפות</w:t>
      </w:r>
      <w:r>
        <w:rPr>
          <w:rtl w:val="true"/>
        </w:rPr>
        <w:t xml:space="preserve"> </w:t>
      </w:r>
      <w:r>
        <w:rPr>
          <w:rtl w:val="true"/>
        </w:rPr>
        <w:t>ספונטנית</w:t>
      </w:r>
      <w:r>
        <w:rPr>
          <w:rtl w:val="true"/>
        </w:rPr>
        <w:t xml:space="preserve"> </w:t>
      </w:r>
      <w:r>
        <w:rPr>
          <w:rtl w:val="true"/>
        </w:rPr>
        <w:t>שותפות</w:t>
      </w:r>
      <w:r>
        <w:rPr>
          <w:rtl w:val="true"/>
        </w:rPr>
        <w:t xml:space="preserve"> </w:t>
      </w:r>
      <w:r>
        <w:rPr>
          <w:rtl w:val="true"/>
        </w:rPr>
        <w:t>היא</w:t>
      </w:r>
      <w:r>
        <w:rPr>
          <w:rtl w:val="true"/>
        </w:rPr>
        <w:t xml:space="preserve">, </w:t>
      </w:r>
      <w:r>
        <w:rPr>
          <w:rtl w:val="true"/>
        </w:rPr>
        <w:t>ועושה</w:t>
      </w:r>
      <w:r>
        <w:rPr>
          <w:rtl w:val="true"/>
        </w:rPr>
        <w:t xml:space="preserve"> </w:t>
      </w:r>
      <w:r>
        <w:rPr>
          <w:rtl w:val="true"/>
        </w:rPr>
        <w:t>עבריינים</w:t>
      </w:r>
      <w:r>
        <w:rPr>
          <w:rtl w:val="true"/>
        </w:rPr>
        <w:t xml:space="preserve"> </w:t>
      </w:r>
      <w:r>
        <w:rPr>
          <w:rtl w:val="true"/>
        </w:rPr>
        <w:t>למבצעים</w:t>
      </w:r>
      <w:r>
        <w:rPr>
          <w:rtl w:val="true"/>
        </w:rPr>
        <w:t>-</w:t>
      </w:r>
      <w:r>
        <w:rPr>
          <w:rtl w:val="true"/>
        </w:rPr>
        <w:t>בצוותא</w:t>
      </w:r>
      <w:r>
        <w:rPr>
          <w:rtl w:val="true"/>
        </w:rPr>
        <w:t xml:space="preserve">" </w:t>
      </w:r>
      <w:r>
        <w:rPr>
          <w:rtl w:val="true"/>
        </w:rPr>
        <w:t>(</w:t>
      </w:r>
      <w:r>
        <w:rPr>
          <w:rtl w:val="true"/>
        </w:rPr>
        <w:t>וכך</w:t>
      </w:r>
      <w:r>
        <w:rPr>
          <w:rtl w:val="true"/>
        </w:rPr>
        <w:t xml:space="preserve"> </w:t>
      </w:r>
      <w:r>
        <w:rPr>
          <w:rtl w:val="true"/>
        </w:rPr>
        <w:t>נקבע</w:t>
      </w:r>
      <w:r>
        <w:rPr>
          <w:rtl w:val="true"/>
        </w:rPr>
        <w:t xml:space="preserve"> </w:t>
      </w:r>
      <w:r>
        <w:rPr>
          <w:rtl w:val="true"/>
        </w:rPr>
        <w:t>גם</w:t>
      </w:r>
      <w:r>
        <w:rPr>
          <w:rtl w:val="true"/>
        </w:rPr>
        <w:t xml:space="preserve"> </w:t>
      </w:r>
      <w:r>
        <w:rPr>
          <w:rtl w:val="true"/>
        </w:rPr>
        <w:t>ב</w:t>
      </w:r>
      <w:hyperlink r:id="rId47">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377/67</w:t>
        </w:r>
        <w:r>
          <w:rPr>
            <w:rStyle w:val="Hyperlink"/>
            <w:rtl w:val="true"/>
          </w:rPr>
          <w:t xml:space="preserve"> </w:t>
        </w:r>
        <w:r>
          <w:rPr>
            <w:rStyle w:val="Hyperlink"/>
            <w:rFonts w:ascii="Century" w:hAnsi="Century" w:cs="Miriam"/>
            <w:b/>
            <w:b/>
            <w:spacing w:val="0"/>
            <w:sz w:val="22"/>
            <w:sz w:val="22"/>
            <w:szCs w:val="24"/>
            <w:rtl w:val="true"/>
          </w:rPr>
          <w:t>דהאן</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tl w:val="true"/>
          </w:rPr>
          <w:t xml:space="preserve">, </w:t>
        </w:r>
        <w:r>
          <w:rPr>
            <w:rStyle w:val="Hyperlink"/>
            <w:rtl w:val="true"/>
          </w:rPr>
          <w:t>פ״ד</w:t>
        </w:r>
        <w:r>
          <w:rPr>
            <w:rStyle w:val="Hyperlink"/>
            <w:rtl w:val="true"/>
          </w:rPr>
          <w:t xml:space="preserve"> </w:t>
        </w:r>
        <w:r>
          <w:rPr>
            <w:rStyle w:val="Hyperlink"/>
            <w:rtl w:val="true"/>
          </w:rPr>
          <w:t>כג</w:t>
        </w:r>
      </w:hyperlink>
      <w:r>
        <w:rPr>
          <w:rtl w:val="true"/>
        </w:rPr>
        <w:t>(</w:t>
      </w:r>
      <w:r>
        <w:rPr/>
        <w:t>1</w:t>
      </w:r>
      <w:r>
        <w:rPr>
          <w:rtl w:val="true"/>
        </w:rPr>
        <w:t xml:space="preserve">) </w:t>
      </w:r>
      <w:r>
        <w:rPr/>
        <w:t>197</w:t>
      </w:r>
      <w:r>
        <w:rPr>
          <w:rtl w:val="true"/>
        </w:rPr>
        <w:t xml:space="preserve">, </w:t>
      </w:r>
      <w:r>
        <w:rPr/>
        <w:t>219</w:t>
      </w:r>
      <w:r>
        <w:rPr>
          <w:rtl w:val="true"/>
        </w:rPr>
        <w:t xml:space="preserve"> (</w:t>
      </w:r>
      <w:r>
        <w:rPr/>
        <w:t>1969</w:t>
      </w:r>
      <w:r>
        <w:rPr>
          <w:rtl w:val="true"/>
        </w:rPr>
        <w:t xml:space="preserve">); </w:t>
      </w:r>
      <w:r>
        <w:rPr>
          <w:rtl w:val="true"/>
        </w:rPr>
        <w:t>ב</w:t>
      </w:r>
      <w:hyperlink r:id="rId48">
        <w:r>
          <w:rPr>
            <w:rStyle w:val="Hyperlink"/>
            <w:color w:val="0000FF"/>
            <w:u w:val="single"/>
            <w:rtl w:val="true"/>
          </w:rPr>
          <w:t>ע״פ</w:t>
        </w:r>
        <w:r>
          <w:rPr>
            <w:rStyle w:val="Hyperlink"/>
            <w:color w:val="0000FF"/>
            <w:u w:val="single"/>
            <w:rtl w:val="true"/>
          </w:rPr>
          <w:t xml:space="preserve"> </w:t>
        </w:r>
        <w:r>
          <w:rPr>
            <w:rStyle w:val="Hyperlink"/>
            <w:color w:val="0000FF"/>
            <w:u w:val="single"/>
          </w:rPr>
          <w:t>4188/93</w:t>
        </w:r>
        <w:r>
          <w:rPr>
            <w:rStyle w:val="Hyperlink"/>
            <w:color w:val="0000FF"/>
            <w:u w:val="single"/>
            <w:rtl w:val="true"/>
          </w:rPr>
          <w:t xml:space="preserve">‏ </w:t>
        </w:r>
        <w:r>
          <w:rPr>
            <w:rStyle w:val="Hyperlink"/>
            <w:color w:val="0000FF"/>
            <w:u w:val="single"/>
            <w:rtl w:val="true"/>
          </w:rPr>
          <w:t>לוי</w:t>
        </w:r>
        <w:r>
          <w:rPr>
            <w:rStyle w:val="Hyperlink"/>
            <w:color w:val="0000FF"/>
            <w:u w:val="single"/>
            <w:rtl w:val="true"/>
          </w:rPr>
          <w:t xml:space="preserve"> </w:t>
        </w:r>
        <w:r>
          <w:rPr>
            <w:rStyle w:val="Hyperlink"/>
            <w:color w:val="0000FF"/>
            <w:u w:val="single"/>
          </w:rPr>
          <w:t>‎</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מט</w:t>
        </w:r>
      </w:hyperlink>
      <w:r>
        <w:rPr>
          <w:rtl w:val="true"/>
        </w:rPr>
        <w:t>(</w:t>
      </w:r>
      <w:r>
        <w:rPr/>
        <w:t>1</w:t>
      </w:r>
      <w:r>
        <w:rPr>
          <w:rtl w:val="true"/>
        </w:rPr>
        <w:t xml:space="preserve">) </w:t>
      </w:r>
      <w:r>
        <w:rPr/>
        <w:t>539</w:t>
      </w:r>
      <w:r>
        <w:rPr>
          <w:rtl w:val="true"/>
        </w:rPr>
        <w:t xml:space="preserve">, </w:t>
      </w:r>
      <w:r>
        <w:rPr/>
        <w:t>550</w:t>
      </w:r>
      <w:r>
        <w:rPr>
          <w:rtl w:val="true"/>
        </w:rPr>
        <w:t xml:space="preserve"> (</w:t>
      </w:r>
      <w:r>
        <w:rPr/>
        <w:t>1995</w:t>
      </w:r>
      <w:r>
        <w:rPr>
          <w:rtl w:val="true"/>
        </w:rPr>
        <w:t xml:space="preserve">); </w:t>
      </w:r>
      <w:r>
        <w:rPr>
          <w:rtl w:val="true"/>
        </w:rPr>
        <w:t>וב</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807/99</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עזיזיאן</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נג</w:t>
        </w:r>
      </w:hyperlink>
      <w:r>
        <w:rPr>
          <w:rtl w:val="true"/>
        </w:rPr>
        <w:t>(</w:t>
      </w:r>
      <w:r>
        <w:rPr/>
        <w:t>5</w:t>
      </w:r>
      <w:r>
        <w:rPr>
          <w:rtl w:val="true"/>
        </w:rPr>
        <w:t xml:space="preserve">) </w:t>
      </w:r>
      <w:r>
        <w:rPr/>
        <w:t>747</w:t>
      </w:r>
      <w:r>
        <w:rPr>
          <w:rtl w:val="true"/>
        </w:rPr>
        <w:t xml:space="preserve">, </w:t>
      </w:r>
      <w:r>
        <w:rPr/>
        <w:t>756</w:t>
      </w:r>
      <w:r>
        <w:rPr>
          <w:rtl w:val="true"/>
        </w:rPr>
        <w:t xml:space="preserve"> (</w:t>
      </w:r>
      <w:r>
        <w:rPr/>
        <w:t>1999</w:t>
      </w:r>
      <w:r>
        <w:rPr>
          <w:rtl w:val="true"/>
        </w:rPr>
        <w:t>)</w:t>
      </w:r>
      <w:r>
        <w:rPr>
          <w:rtl w:val="true"/>
        </w:rPr>
        <w:t>)</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rFonts w:ascii="Century" w:hAnsi="Century" w:cs="Miriam"/>
          <w:b/>
          <w:spacing w:val="0"/>
          <w:szCs w:val="24"/>
        </w:rPr>
      </w:pPr>
      <w:r>
        <w:rPr>
          <w:rtl w:val="true"/>
        </w:rPr>
        <w:t>משכך</w:t>
      </w:r>
      <w:r>
        <w:rPr>
          <w:rtl w:val="true"/>
        </w:rPr>
        <w:t xml:space="preserve">, </w:t>
      </w:r>
      <w:r>
        <w:rPr>
          <w:rtl w:val="true"/>
        </w:rPr>
        <w:t xml:space="preserve">השאלה שעליה אנו נדרשים לתת מענה בעניין דקירת המתלונן </w:t>
      </w:r>
      <w:r>
        <w:rPr/>
        <w:t>1</w:t>
      </w:r>
      <w:r>
        <w:rPr>
          <w:rtl w:val="true"/>
        </w:rPr>
        <w:t xml:space="preserve"> </w:t>
      </w:r>
      <w:r>
        <w:rPr>
          <w:rtl w:val="true"/>
        </w:rPr>
        <w:t>בצווארו אינה אלא זו</w:t>
      </w:r>
      <w:r>
        <w:rPr>
          <w:rtl w:val="true"/>
        </w:rPr>
        <w:t xml:space="preserve">: </w:t>
      </w:r>
      <w:r>
        <w:rPr>
          <w:rtl w:val="true"/>
        </w:rPr>
        <w:t xml:space="preserve">האם היה שיתוף פעולה כלשהו בין המערער לבין הדוקר האחר כשכל אחד מהם דקר את המתלונן </w:t>
      </w:r>
      <w:r>
        <w:rPr/>
        <w:t>1</w:t>
      </w:r>
      <w:r>
        <w:rPr>
          <w:rtl w:val="true"/>
        </w:rPr>
        <w:t>?</w:t>
      </w:r>
      <w:r>
        <w:rPr>
          <w:rtl w:val="true"/>
        </w:rPr>
        <w:t xml:space="preserve"> (</w:t>
      </w:r>
      <w:r>
        <w:rPr>
          <w:rtl w:val="true"/>
        </w:rPr>
        <w:t xml:space="preserve">ראו עניין </w:t>
      </w:r>
      <w:r>
        <w:rPr>
          <w:rFonts w:ascii="Century" w:hAnsi="Century" w:cs="Miriam"/>
          <w:b/>
          <w:b/>
          <w:spacing w:val="0"/>
          <w:sz w:val="22"/>
          <w:sz w:val="22"/>
          <w:szCs w:val="24"/>
          <w:rtl w:val="true"/>
        </w:rPr>
        <w:t>והבה</w:t>
      </w:r>
      <w:r>
        <w:rPr>
          <w:rtl w:val="true"/>
        </w:rPr>
        <w:t xml:space="preserve">, </w:t>
      </w:r>
      <w:r>
        <w:rPr>
          <w:rtl w:val="true"/>
        </w:rPr>
        <w:t xml:space="preserve">פסקה </w:t>
      </w:r>
      <w:r>
        <w:rPr/>
        <w:t>142</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קביעותיו העובדתיות של בית משפט קמא בנוגע לדוקר הנוסף לא הותירו ספקות באשר למענה הנכון לשאלה זו</w:t>
      </w:r>
      <w:r>
        <w:rPr>
          <w:rtl w:val="true"/>
        </w:rPr>
        <w:t xml:space="preserve">. </w:t>
      </w:r>
      <w:r>
        <w:rPr>
          <w:rtl w:val="true"/>
        </w:rPr>
        <w:t>ברי הוא</w:t>
      </w:r>
      <w:r>
        <w:rPr>
          <w:rtl w:val="true"/>
        </w:rPr>
        <w:t xml:space="preserve">, </w:t>
      </w:r>
      <w:r>
        <w:rPr>
          <w:rtl w:val="true"/>
        </w:rPr>
        <w:t>כי לשאלה זו עלינו לענות בחיוב</w:t>
      </w:r>
      <w:r>
        <w:rPr>
          <w:rtl w:val="true"/>
        </w:rPr>
        <w:t xml:space="preserve">, </w:t>
      </w:r>
      <w:r>
        <w:rPr>
          <w:rtl w:val="true"/>
        </w:rPr>
        <w:t>שכן כל תשובה אחרת תהא בלתי סבירה בעליל ומנותקת מהמציאות</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הראיות שמוכיחות את שיתוף הפעולה בין המערער לבין הדוקר הנוסף כוללות את אלה</w:t>
      </w:r>
      <w:r>
        <w:rPr>
          <w:rtl w:val="true"/>
        </w:rPr>
        <w:t>:</w:t>
      </w:r>
    </w:p>
    <w:p>
      <w:pPr>
        <w:pStyle w:val="Ruller42"/>
        <w:ind w:end="0"/>
        <w:jc w:val="both"/>
        <w:rPr/>
      </w:pPr>
      <w:r>
        <w:rPr>
          <w:rtl w:val="true"/>
        </w:rPr>
      </w:r>
    </w:p>
    <w:p>
      <w:pPr>
        <w:pStyle w:val="Ruller42"/>
        <w:ind w:start="720" w:end="720"/>
        <w:jc w:val="both"/>
        <w:rPr/>
      </w:pPr>
      <w:r>
        <w:rPr>
          <w:rFonts w:ascii="Century" w:hAnsi="Century" w:cs="Miriam"/>
          <w:b/>
          <w:b/>
          <w:spacing w:val="0"/>
          <w:szCs w:val="24"/>
          <w:rtl w:val="true"/>
        </w:rPr>
        <w:t>א</w:t>
      </w:r>
      <w:r>
        <w:rPr>
          <w:rFonts w:cs="Miriam" w:ascii="Century" w:hAnsi="Century"/>
          <w:b/>
          <w:spacing w:val="0"/>
          <w:szCs w:val="24"/>
          <w:rtl w:val="true"/>
        </w:rPr>
        <w:t>.</w:t>
      </w:r>
      <w:r>
        <w:rPr>
          <w:rtl w:val="true"/>
        </w:rPr>
        <w:tab/>
      </w:r>
      <w:r>
        <w:rPr>
          <w:rtl w:val="true"/>
        </w:rPr>
        <w:t>עד</w:t>
      </w:r>
      <w:r>
        <w:rPr>
          <w:rFonts w:eastAsia="Arial TUR;Arial" w:cs="Arial TUR;Arial"/>
          <w:rtl w:val="true"/>
        </w:rPr>
        <w:t xml:space="preserve"> </w:t>
      </w:r>
      <w:r>
        <w:rPr>
          <w:rtl w:val="true"/>
        </w:rPr>
        <w:t>תביעה</w:t>
      </w:r>
      <w:r>
        <w:rPr>
          <w:rFonts w:eastAsia="Arial TUR;Arial" w:cs="Arial TUR;Arial"/>
          <w:rtl w:val="true"/>
        </w:rPr>
        <w:t xml:space="preserve"> </w:t>
      </w:r>
      <w:r>
        <w:rPr/>
        <w:t>10</w:t>
      </w:r>
      <w:r>
        <w:rPr>
          <w:rtl w:val="true"/>
        </w:rPr>
        <w:t xml:space="preserve">, </w:t>
      </w:r>
      <w:r>
        <w:rPr>
          <w:rtl w:val="true"/>
        </w:rPr>
        <w:t>שמכוח</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הסיק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דוקרים</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עמ</w:t>
      </w:r>
      <w:r>
        <w:rPr>
          <w:rtl w:val="true"/>
        </w:rPr>
        <w:t xml:space="preserve">' </w:t>
      </w:r>
      <w:r>
        <w:rPr/>
        <w:t>164</w:t>
      </w:r>
      <w:r>
        <w:rPr>
          <w:rtl w:val="true"/>
        </w:rPr>
        <w:t xml:space="preserve">, </w:t>
      </w:r>
      <w:r>
        <w:rPr>
          <w:rtl w:val="true"/>
        </w:rPr>
        <w:t>שורה</w:t>
      </w:r>
      <w:r>
        <w:rPr>
          <w:rFonts w:eastAsia="Arial TUR;Arial" w:cs="Arial TUR;Arial"/>
          <w:rtl w:val="true"/>
        </w:rPr>
        <w:t xml:space="preserve"> </w:t>
      </w:r>
      <w:r>
        <w:rPr/>
        <w:t>3</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r>
        <w:rPr>
          <w:rFonts w:cs="Century" w:ascii="Century" w:hAnsi="Century"/>
          <w:rtl w:val="true"/>
        </w:rPr>
        <w:t xml:space="preserve">. </w:t>
      </w:r>
      <w:r>
        <w:rPr>
          <w:rtl w:val="true"/>
        </w:rPr>
        <w:t>עד</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w:t>
      </w:r>
      <w:r>
        <w:rPr>
          <w:rtl w:val="true"/>
        </w:rPr>
        <w:t>ת</w:t>
      </w:r>
      <w:r>
        <w:rPr>
          <w:rtl w:val="true"/>
        </w:rPr>
        <w:t>/</w:t>
      </w:r>
      <w:r>
        <w:rPr/>
        <w:t>19</w:t>
      </w:r>
      <w:r>
        <w:rPr>
          <w:rtl w:val="true"/>
        </w:rPr>
        <w:t xml:space="preserve">): "[...] </w:t>
      </w:r>
      <w:r>
        <w:rPr>
          <w:rtl w:val="true"/>
        </w:rPr>
        <w:t>בזמן</w:t>
      </w:r>
      <w:r>
        <w:rPr>
          <w:rFonts w:eastAsia="Arial TUR;Arial" w:cs="Arial TUR;Arial"/>
          <w:rtl w:val="true"/>
        </w:rPr>
        <w:t xml:space="preserve"> </w:t>
      </w:r>
      <w:r>
        <w:rPr>
          <w:rtl w:val="true"/>
        </w:rPr>
        <w:t>זה</w:t>
      </w:r>
      <w:r>
        <w:rPr>
          <w:rtl w:val="true"/>
        </w:rPr>
        <w:t xml:space="preserve">, </w:t>
      </w:r>
      <w:r>
        <w:rPr>
          <w:rtl w:val="true"/>
        </w:rPr>
        <w:t>אותם</w:t>
      </w:r>
      <w:r>
        <w:rPr>
          <w:rFonts w:eastAsia="Arial TUR;Arial" w:cs="Arial TUR;Arial"/>
          <w:rtl w:val="true"/>
        </w:rPr>
        <w:t xml:space="preserve"> </w:t>
      </w:r>
      <w:r>
        <w:rPr>
          <w:rtl w:val="true"/>
        </w:rPr>
        <w:t>בחורים</w:t>
      </w:r>
      <w:r>
        <w:rPr>
          <w:rFonts w:eastAsia="Arial TUR;Arial" w:cs="Arial TUR;Arial"/>
          <w:rtl w:val="true"/>
        </w:rPr>
        <w:t xml:space="preserve"> </w:t>
      </w:r>
      <w:r>
        <w:rPr>
          <w:rtl w:val="true"/>
        </w:rPr>
        <w:t>הוציאו</w:t>
      </w:r>
      <w:r>
        <w:rPr>
          <w:rFonts w:eastAsia="Arial TUR;Arial" w:cs="Arial TUR;Arial"/>
          <w:rtl w:val="true"/>
        </w:rPr>
        <w:t xml:space="preserve"> </w:t>
      </w:r>
      <w:r>
        <w:rPr>
          <w:rtl w:val="true"/>
        </w:rPr>
        <w:t>סכינים</w:t>
      </w:r>
      <w:r>
        <w:rPr>
          <w:rtl w:val="true"/>
        </w:rPr>
        <w:t xml:space="preserve">, </w:t>
      </w:r>
      <w:r>
        <w:rPr>
          <w:rtl w:val="true"/>
        </w:rPr>
        <w:t>מדובר</w:t>
      </w:r>
      <w:r>
        <w:rPr>
          <w:rFonts w:eastAsia="Arial TUR;Arial" w:cs="Arial TUR;Arial"/>
          <w:rtl w:val="true"/>
        </w:rPr>
        <w:t xml:space="preserve"> </w:t>
      </w:r>
      <w:r>
        <w:rPr>
          <w:rtl w:val="true"/>
        </w:rPr>
        <w:t>בלהב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יפנית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מלופפת</w:t>
      </w:r>
      <w:r>
        <w:rPr>
          <w:rFonts w:eastAsia="Arial TUR;Arial" w:cs="Arial TUR;Arial"/>
          <w:rtl w:val="true"/>
        </w:rPr>
        <w:t xml:space="preserve"> </w:t>
      </w:r>
      <w:r>
        <w:rPr>
          <w:rtl w:val="true"/>
        </w:rPr>
        <w:t>בנייר</w:t>
      </w:r>
      <w:r>
        <w:rPr>
          <w:rFonts w:eastAsia="Arial TUR;Arial" w:cs="Arial TUR;Arial"/>
          <w:rtl w:val="true"/>
        </w:rPr>
        <w:t xml:space="preserve"> </w:t>
      </w:r>
      <w:r>
        <w:rPr>
          <w:rtl w:val="true"/>
        </w:rPr>
        <w:t>דבק</w:t>
      </w:r>
      <w:r>
        <w:rPr>
          <w:rFonts w:eastAsia="Arial TUR;Arial" w:cs="Arial TUR;Arial"/>
          <w:rtl w:val="true"/>
        </w:rPr>
        <w:t xml:space="preserve"> </w:t>
      </w:r>
      <w:r>
        <w:rPr>
          <w:rtl w:val="true"/>
        </w:rPr>
        <w:t>שחור</w:t>
      </w:r>
      <w:r>
        <w:rPr>
          <w:rFonts w:eastAsia="Arial TUR;Arial" w:cs="Arial TUR;Arial"/>
          <w:rtl w:val="true"/>
        </w:rPr>
        <w:t xml:space="preserve"> </w:t>
      </w:r>
      <w:r>
        <w:rPr>
          <w:rtl w:val="true"/>
        </w:rPr>
        <w:t xml:space="preserve">[...] </w:t>
      </w:r>
      <w:r>
        <w:rPr>
          <w:rtl w:val="true"/>
        </w:rPr>
        <w:t>התחילו</w:t>
      </w:r>
      <w:r>
        <w:rPr>
          <w:rFonts w:eastAsia="Arial TUR;Arial" w:cs="Arial TUR;Arial"/>
          <w:rtl w:val="true"/>
        </w:rPr>
        <w:t xml:space="preserve"> </w:t>
      </w:r>
      <w:r>
        <w:rPr>
          <w:rtl w:val="true"/>
        </w:rPr>
        <w:t>לריב</w:t>
      </w:r>
      <w:r>
        <w:rPr>
          <w:rFonts w:eastAsia="Arial TUR;Arial" w:cs="Arial TUR;Arial"/>
          <w:rtl w:val="true"/>
        </w:rPr>
        <w:t xml:space="preserve"> </w:t>
      </w:r>
      <w:r>
        <w:rPr>
          <w:rtl w:val="true"/>
        </w:rPr>
        <w:t>ישר</w:t>
      </w:r>
      <w:r>
        <w:rPr>
          <w:rFonts w:eastAsia="Arial TUR;Arial" w:cs="Arial TUR;Arial"/>
          <w:rtl w:val="true"/>
        </w:rPr>
        <w:t xml:space="preserve"> </w:t>
      </w:r>
      <w:r>
        <w:rPr>
          <w:rtl w:val="true"/>
        </w:rPr>
        <w:t>הוציאו</w:t>
      </w:r>
      <w:r>
        <w:rPr>
          <w:rFonts w:eastAsia="Arial TUR;Arial" w:cs="Arial TUR;Arial"/>
          <w:rtl w:val="true"/>
        </w:rPr>
        <w:t xml:space="preserve"> </w:t>
      </w:r>
      <w:r>
        <w:rPr>
          <w:rtl w:val="true"/>
        </w:rPr>
        <w:t>סכין</w:t>
      </w:r>
      <w:r>
        <w:rPr>
          <w:rtl w:val="true"/>
        </w:rPr>
        <w:t xml:space="preserve">, </w:t>
      </w:r>
      <w:r>
        <w:rPr>
          <w:rtl w:val="true"/>
        </w:rPr>
        <w:t>הבחור</w:t>
      </w:r>
      <w:r>
        <w:rPr>
          <w:rFonts w:eastAsia="Arial TUR;Arial" w:cs="Arial TUR;Arial"/>
          <w:rtl w:val="true"/>
        </w:rPr>
        <w:t xml:space="preserve"> </w:t>
      </w:r>
      <w:r>
        <w:rPr>
          <w:rtl w:val="true"/>
        </w:rPr>
        <w:t>המבוגר</w:t>
      </w:r>
      <w:r>
        <w:rPr>
          <w:rFonts w:eastAsia="Arial TUR;Arial" w:cs="Arial TUR;Arial"/>
          <w:rtl w:val="true"/>
        </w:rPr>
        <w:t xml:space="preserve"> </w:t>
      </w:r>
      <w:r>
        <w:rPr>
          <w:rtl w:val="true"/>
        </w:rPr>
        <w:t>[</w:t>
      </w:r>
      <w:r>
        <w:rPr>
          <w:rtl w:val="true"/>
        </w:rPr>
        <w:t>המתלונן</w:t>
      </w:r>
      <w:r>
        <w:rPr>
          <w:rFonts w:eastAsia="Arial TUR;Arial" w:cs="Arial TUR;Arial"/>
          <w:rtl w:val="true"/>
        </w:rPr>
        <w:t xml:space="preserve"> </w:t>
      </w:r>
      <w:r>
        <w:rPr/>
        <w:t>1</w:t>
      </w:r>
      <w:r>
        <w:rPr>
          <w:rtl w:val="true"/>
        </w:rPr>
        <w:t xml:space="preserve"> </w:t>
      </w:r>
      <w:r>
        <w:rPr>
          <w:rtl w:val="true"/>
        </w:rPr>
        <w:t>–</w:t>
      </w:r>
      <w:r>
        <w:rPr>
          <w:rtl w:val="true"/>
        </w:rPr>
        <w:t xml:space="preserve"> </w:t>
      </w:r>
      <w:r>
        <w:rPr>
          <w:rtl w:val="true"/>
        </w:rPr>
        <w:t>א</w:t>
      </w:r>
      <w:r>
        <w:rPr>
          <w:rtl w:val="true"/>
        </w:rPr>
        <w:t>.</w:t>
      </w:r>
      <w:r>
        <w:rPr>
          <w:rtl w:val="true"/>
        </w:rPr>
        <w:t>ש</w:t>
      </w:r>
      <w:r>
        <w:rPr>
          <w:rtl w:val="true"/>
        </w:rPr>
        <w:t xml:space="preserve">.] </w:t>
      </w:r>
      <w:r>
        <w:rPr>
          <w:rtl w:val="true"/>
        </w:rPr>
        <w:t>הבחין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הוציאו</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וניסה</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בבחור</w:t>
      </w:r>
      <w:r>
        <w:rPr>
          <w:rFonts w:eastAsia="Arial TUR;Arial" w:cs="Arial TUR;Arial"/>
          <w:rtl w:val="true"/>
        </w:rPr>
        <w:t xml:space="preserve"> </w:t>
      </w:r>
      <w:r>
        <w:rPr>
          <w:rtl w:val="true"/>
        </w:rPr>
        <w:t>הצעיר</w:t>
      </w:r>
      <w:r>
        <w:rPr>
          <w:rFonts w:eastAsia="Arial TUR;Arial" w:cs="Arial TUR;Arial"/>
          <w:rtl w:val="true"/>
        </w:rPr>
        <w:t xml:space="preserve"> </w:t>
      </w:r>
      <w:r>
        <w:rPr>
          <w:rtl w:val="true"/>
        </w:rPr>
        <w:t>[</w:t>
      </w:r>
      <w:r>
        <w:rPr>
          <w:rtl w:val="true"/>
        </w:rPr>
        <w:t>המתלונן</w:t>
      </w:r>
      <w:r>
        <w:rPr>
          <w:rFonts w:eastAsia="Arial TUR;Arial" w:cs="Arial TUR;Arial"/>
          <w:rtl w:val="true"/>
        </w:rPr>
        <w:t xml:space="preserve"> </w:t>
      </w:r>
      <w:r>
        <w:rPr/>
        <w:t>2</w:t>
      </w:r>
      <w:r>
        <w:rPr>
          <w:rtl w:val="true"/>
        </w:rPr>
        <w:t xml:space="preserve"> </w:t>
      </w:r>
      <w:r>
        <w:rPr>
          <w:rtl w:val="true"/>
        </w:rPr>
        <w:t>–</w:t>
      </w:r>
      <w:r>
        <w:rPr>
          <w:rtl w:val="true"/>
        </w:rPr>
        <w:t xml:space="preserve"> </w:t>
      </w:r>
      <w:r>
        <w:rPr>
          <w:rtl w:val="true"/>
        </w:rPr>
        <w:t>א</w:t>
      </w:r>
      <w:r>
        <w:rPr>
          <w:rtl w:val="true"/>
        </w:rPr>
        <w:t>.</w:t>
      </w:r>
      <w:r>
        <w:rPr>
          <w:rtl w:val="true"/>
        </w:rPr>
        <w:t>ש</w:t>
      </w:r>
      <w:r>
        <w:rPr>
          <w:rtl w:val="true"/>
        </w:rPr>
        <w:t xml:space="preserve">.], </w:t>
      </w:r>
      <w:r>
        <w:rPr>
          <w:rtl w:val="true"/>
        </w:rPr>
        <w:t>הבחור</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גופיה</w:t>
      </w:r>
      <w:r>
        <w:rPr>
          <w:rFonts w:eastAsia="Arial TUR;Arial" w:cs="Arial TUR;Arial"/>
          <w:rtl w:val="true"/>
        </w:rPr>
        <w:t xml:space="preserve"> </w:t>
      </w:r>
      <w:r>
        <w:rPr>
          <w:rtl w:val="true"/>
        </w:rPr>
        <w:t>שחורה</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מכה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הצליח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הבחור</w:t>
      </w:r>
      <w:r>
        <w:rPr>
          <w:rFonts w:eastAsia="Arial TUR;Arial" w:cs="Arial TUR;Arial"/>
          <w:rtl w:val="true"/>
        </w:rPr>
        <w:t xml:space="preserve"> </w:t>
      </w:r>
      <w:r>
        <w:rPr>
          <w:rtl w:val="true"/>
        </w:rPr>
        <w:t>המבוגר</w:t>
      </w:r>
      <w:r>
        <w:rPr>
          <w:rFonts w:eastAsia="Arial TUR;Arial" w:cs="Arial TUR;Arial"/>
          <w:rtl w:val="true"/>
        </w:rPr>
        <w:t xml:space="preserve"> </w:t>
      </w:r>
      <w:r>
        <w:rPr>
          <w:rtl w:val="true"/>
        </w:rPr>
        <w:t>הבחין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והזיז</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היד</w:t>
      </w:r>
      <w:r>
        <w:rPr>
          <w:rFonts w:eastAsia="Arial TUR;Arial" w:cs="Arial TUR;Arial"/>
          <w:rtl w:val="true"/>
        </w:rPr>
        <w:t xml:space="preserve"> </w:t>
      </w:r>
      <w:r>
        <w:rPr>
          <w:rtl w:val="true"/>
        </w:rPr>
        <w:t>ואז</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בחור</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ודקר</w:t>
      </w:r>
      <w:r>
        <w:rPr>
          <w:rFonts w:eastAsia="Arial TUR;Arial" w:cs="Arial TUR;Arial"/>
          <w:rtl w:val="true"/>
        </w:rPr>
        <w:t xml:space="preserve"> </w:t>
      </w:r>
      <w:r>
        <w:rPr>
          <w:rtl w:val="true"/>
        </w:rPr>
        <w:t>אותו</w:t>
      </w:r>
      <w:r>
        <w:rPr>
          <w:rtl w:val="true"/>
        </w:rPr>
        <w:t>" (</w:t>
      </w:r>
      <w:r>
        <w:rPr>
          <w:rtl w:val="true"/>
        </w:rPr>
        <w:t>ת</w:t>
      </w:r>
      <w:r>
        <w:rPr>
          <w:rtl w:val="true"/>
        </w:rPr>
        <w:t>/</w:t>
      </w:r>
      <w:r>
        <w:rPr/>
        <w:t>19</w:t>
      </w:r>
      <w:r>
        <w:rPr>
          <w:rtl w:val="true"/>
        </w:rPr>
        <w:t xml:space="preserve">, </w:t>
      </w:r>
      <w:r>
        <w:rPr>
          <w:rtl w:val="true"/>
        </w:rPr>
        <w:t>שורות</w:t>
      </w:r>
      <w:r>
        <w:rPr>
          <w:rFonts w:eastAsia="Arial TUR;Arial" w:cs="Arial TUR;Arial"/>
          <w:rtl w:val="true"/>
        </w:rPr>
        <w:t xml:space="preserve"> </w:t>
      </w:r>
      <w:r>
        <w:rPr/>
        <w:t>27-7</w:t>
      </w:r>
      <w:r>
        <w:rPr>
          <w:rtl w:val="true"/>
        </w:rPr>
        <w:t xml:space="preserve">). </w:t>
      </w:r>
      <w:r>
        <w:rPr>
          <w:rtl w:val="true"/>
        </w:rPr>
        <w:t>בהמשך</w:t>
      </w:r>
      <w:r>
        <w:rPr>
          <w:rtl w:val="true"/>
        </w:rPr>
        <w:t xml:space="preserve">, </w:t>
      </w:r>
      <w:r>
        <w:rPr>
          <w:rtl w:val="true"/>
        </w:rPr>
        <w:t>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הבחור</w:t>
      </w:r>
      <w:r>
        <w:rPr>
          <w:rFonts w:eastAsia="Arial TUR;Arial" w:cs="Arial TUR;Arial"/>
          <w:rtl w:val="true"/>
        </w:rPr>
        <w:t xml:space="preserve"> </w:t>
      </w:r>
      <w:r>
        <w:rPr>
          <w:rtl w:val="true"/>
        </w:rPr>
        <w:t>שאחז</w:t>
      </w:r>
      <w:r>
        <w:rPr>
          <w:rFonts w:eastAsia="Arial TUR;Arial" w:cs="Arial TUR;Arial"/>
          <w:rtl w:val="true"/>
        </w:rPr>
        <w:t xml:space="preserve"> </w:t>
      </w:r>
      <w:r>
        <w:rPr>
          <w:rtl w:val="true"/>
        </w:rPr>
        <w:t>בסכין</w:t>
      </w:r>
      <w:r>
        <w:rPr>
          <w:rFonts w:eastAsia="Arial TUR;Arial" w:cs="Arial TUR;Arial"/>
          <w:rtl w:val="true"/>
        </w:rPr>
        <w:t xml:space="preserve"> </w:t>
      </w:r>
      <w:r>
        <w:rPr>
          <w:rtl w:val="true"/>
        </w:rPr>
        <w:t>לבש</w:t>
      </w:r>
      <w:r>
        <w:rPr>
          <w:rFonts w:eastAsia="Arial TUR;Arial" w:cs="Arial TUR;Arial"/>
          <w:rtl w:val="true"/>
        </w:rPr>
        <w:t xml:space="preserve"> </w:t>
      </w:r>
      <w:r>
        <w:rPr>
          <w:rtl w:val="true"/>
        </w:rPr>
        <w:t>גופיה</w:t>
      </w:r>
      <w:r>
        <w:rPr>
          <w:rFonts w:eastAsia="Arial TUR;Arial" w:cs="Arial TUR;Arial"/>
          <w:rtl w:val="true"/>
        </w:rPr>
        <w:t xml:space="preserve"> </w:t>
      </w:r>
      <w:r>
        <w:rPr>
          <w:rtl w:val="true"/>
        </w:rPr>
        <w:t>שחורה</w:t>
      </w:r>
      <w:r>
        <w:rPr>
          <w:rFonts w:eastAsia="Arial TUR;Arial" w:cs="Arial TUR;Arial"/>
          <w:rtl w:val="true"/>
        </w:rPr>
        <w:t xml:space="preserve"> </w:t>
      </w:r>
      <w:r>
        <w:rPr>
          <w:rtl w:val="true"/>
        </w:rPr>
        <w:t>ומכנס</w:t>
      </w:r>
      <w:r>
        <w:rPr>
          <w:rFonts w:eastAsia="Arial TUR;Arial" w:cs="Arial TUR;Arial"/>
          <w:rtl w:val="true"/>
        </w:rPr>
        <w:t xml:space="preserve"> </w:t>
      </w:r>
      <w:r>
        <w:rPr>
          <w:rtl w:val="true"/>
        </w:rPr>
        <w:t>ג</w:t>
      </w:r>
      <w:r>
        <w:rPr>
          <w:rtl w:val="true"/>
        </w:rPr>
        <w:t>'</w:t>
      </w:r>
      <w:r>
        <w:rPr>
          <w:rtl w:val="true"/>
        </w:rPr>
        <w:t>ינס</w:t>
      </w:r>
      <w:r>
        <w:rPr>
          <w:rFonts w:eastAsia="Arial TUR;Arial" w:cs="Arial TUR;Arial"/>
          <w:rtl w:val="true"/>
        </w:rPr>
        <w:t xml:space="preserve"> </w:t>
      </w:r>
      <w:r>
        <w:rPr>
          <w:rtl w:val="true"/>
        </w:rPr>
        <w:t>והבחור</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שדקר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לבש</w:t>
      </w:r>
      <w:r>
        <w:rPr>
          <w:rFonts w:eastAsia="Arial TUR;Arial" w:cs="Arial TUR;Arial"/>
          <w:rtl w:val="true"/>
        </w:rPr>
        <w:t xml:space="preserve"> </w:t>
      </w:r>
      <w:r>
        <w:rPr>
          <w:rtl w:val="true"/>
        </w:rPr>
        <w:t>גופיה</w:t>
      </w:r>
      <w:r>
        <w:rPr>
          <w:rFonts w:eastAsia="Arial TUR;Arial" w:cs="Arial TUR;Arial"/>
          <w:rtl w:val="true"/>
        </w:rPr>
        <w:t xml:space="preserve"> </w:t>
      </w:r>
      <w:r>
        <w:rPr>
          <w:rtl w:val="true"/>
        </w:rPr>
        <w:t>שחורה</w:t>
      </w:r>
      <w:r>
        <w:rPr>
          <w:rtl w:val="true"/>
        </w:rPr>
        <w:t>.</w:t>
      </w:r>
    </w:p>
    <w:p>
      <w:pPr>
        <w:pStyle w:val="Ruller42"/>
        <w:ind w:start="720" w:end="720"/>
        <w:jc w:val="both"/>
        <w:rPr/>
      </w:pPr>
      <w:r>
        <w:rPr>
          <w:rtl w:val="true"/>
        </w:rPr>
      </w:r>
    </w:p>
    <w:p>
      <w:pPr>
        <w:pStyle w:val="Ruller42"/>
        <w:ind w:start="720" w:end="720"/>
        <w:jc w:val="both"/>
        <w:rPr>
          <w:rFonts w:ascii="Century" w:hAnsi="Century" w:cs="Century"/>
        </w:rPr>
      </w:pPr>
      <w:r>
        <w:rPr>
          <w:rFonts w:ascii="Century" w:hAnsi="Century" w:cs="Miriam"/>
          <w:b/>
          <w:b/>
          <w:spacing w:val="0"/>
          <w:szCs w:val="24"/>
          <w:rtl w:val="true"/>
        </w:rPr>
        <w:t>ב</w:t>
      </w:r>
      <w:r>
        <w:rPr>
          <w:rFonts w:cs="Miriam" w:ascii="Century" w:hAnsi="Century"/>
          <w:b/>
          <w:spacing w:val="0"/>
          <w:szCs w:val="24"/>
          <w:rtl w:val="true"/>
        </w:rPr>
        <w:t>.</w:t>
      </w:r>
      <w:r>
        <w:rPr>
          <w:rFonts w:cs="Century" w:ascii="Century" w:hAnsi="Century"/>
          <w:rtl w:val="true"/>
        </w:rPr>
        <w:tab/>
      </w:r>
      <w:r>
        <w:rPr>
          <w:rFonts w:ascii="Century" w:hAnsi="Century" w:cs="Century"/>
          <w:rtl w:val="true"/>
        </w:rPr>
        <w:t xml:space="preserve">עד תביעה </w:t>
      </w:r>
      <w:r>
        <w:rPr>
          <w:rFonts w:cs="Century" w:ascii="Century" w:hAnsi="Century"/>
        </w:rPr>
        <w:t>1</w:t>
      </w:r>
      <w:r>
        <w:rPr>
          <w:rFonts w:cs="Century" w:ascii="Century" w:hAnsi="Century"/>
          <w:rtl w:val="true"/>
        </w:rPr>
        <w:t xml:space="preserve">, </w:t>
      </w:r>
      <w:r>
        <w:rPr>
          <w:rFonts w:ascii="Century" w:hAnsi="Century" w:cs="Century"/>
          <w:rtl w:val="true"/>
        </w:rPr>
        <w:t>שתיעד את אירוע הדקירה כפי שראה אותו במצלמות האבטחה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ידיו</w:t>
      </w:r>
      <w:r>
        <w:rPr>
          <w:rFonts w:eastAsia="Arial TUR;Arial" w:cs="Arial TUR;Arial"/>
          <w:rtl w:val="true"/>
        </w:rPr>
        <w:t xml:space="preserve"> </w:t>
      </w:r>
      <w:r>
        <w:rPr>
          <w:rFonts w:cs="Century" w:ascii="Century" w:hAnsi="Century"/>
          <w:rtl w:val="true"/>
        </w:rPr>
        <w:t>(</w:t>
      </w:r>
      <w:r>
        <w:rPr>
          <w:rFonts w:ascii="Century" w:hAnsi="Century" w:cs="Century"/>
          <w:rtl w:val="true"/>
        </w:rPr>
        <w:t>ראו עמ</w:t>
      </w:r>
      <w:r>
        <w:rPr>
          <w:rFonts w:cs="Century" w:ascii="Century" w:hAnsi="Century"/>
          <w:rtl w:val="true"/>
        </w:rPr>
        <w:t xml:space="preserve">' </w:t>
      </w:r>
      <w:r>
        <w:rPr>
          <w:rFonts w:cs="Century" w:ascii="Century" w:hAnsi="Century"/>
        </w:rPr>
        <w:t>166</w:t>
      </w:r>
      <w:r>
        <w:rPr>
          <w:rFonts w:cs="Century" w:ascii="Century" w:hAnsi="Century"/>
          <w:rtl w:val="true"/>
        </w:rPr>
        <w:t xml:space="preserve">, </w:t>
      </w:r>
      <w:r>
        <w:rPr>
          <w:rFonts w:ascii="Century" w:hAnsi="Century" w:cs="Century"/>
          <w:rtl w:val="true"/>
        </w:rPr>
        <w:t xml:space="preserve">שורה </w:t>
      </w:r>
      <w:r>
        <w:rPr>
          <w:rFonts w:cs="Century" w:ascii="Century" w:hAnsi="Century"/>
        </w:rPr>
        <w:t>21</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 xml:space="preserve">עד זה כתב במזכר שהוגש לבית משפט קמא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10</w:t>
      </w:r>
      <w:r>
        <w:rPr>
          <w:rFonts w:cs="Century" w:ascii="Century" w:hAnsi="Century"/>
          <w:rtl w:val="true"/>
        </w:rPr>
        <w:t>)</w:t>
      </w:r>
      <w:r>
        <w:rPr>
          <w:rFonts w:cs="Century" w:ascii="Century" w:hAnsi="Century"/>
          <w:rtl w:val="true"/>
        </w:rPr>
        <w:t xml:space="preserve"> </w:t>
      </w:r>
      <w:r>
        <w:rPr>
          <w:rFonts w:ascii="Century" w:hAnsi="Century" w:cs="Century"/>
          <w:rtl w:val="true"/>
        </w:rPr>
        <w:t>כדלקמן</w:t>
      </w:r>
      <w:r>
        <w:rPr>
          <w:rFonts w:cs="Century" w:ascii="Century" w:hAnsi="Century"/>
          <w:rtl w:val="true"/>
        </w:rPr>
        <w:t>: "</w:t>
      </w:r>
      <w:r>
        <w:rPr>
          <w:rFonts w:cs="Century" w:ascii="Century" w:hAnsi="Century"/>
        </w:rPr>
        <w:t>00:03:13</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נראה מגיח מתחתית המצלמה מאחורי הנדקר </w:t>
      </w:r>
      <w:r>
        <w:rPr>
          <w:rFonts w:cs="Century" w:ascii="Century" w:hAnsi="Century"/>
          <w:rtl w:val="true"/>
        </w:rPr>
        <w:t>[</w:t>
      </w:r>
      <w:r>
        <w:rPr>
          <w:rFonts w:ascii="Century" w:hAnsi="Century" w:cs="Century"/>
          <w:rtl w:val="true"/>
        </w:rPr>
        <w:t xml:space="preserve">המתלונן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r>
        <w:rPr>
          <w:rFonts w:cs="Century" w:ascii="Century" w:hAnsi="Century"/>
          <w:rtl w:val="true"/>
        </w:rPr>
        <w:t xml:space="preserve">] </w:t>
      </w:r>
      <w:r>
        <w:rPr>
          <w:rFonts w:ascii="Century" w:hAnsi="Century" w:cs="Century"/>
          <w:rtl w:val="true"/>
        </w:rPr>
        <w:t>ואשתו בחור לבוש גופיה שחורה וככל הנראה ג</w:t>
      </w:r>
      <w:r>
        <w:rPr>
          <w:rFonts w:cs="Century" w:ascii="Century" w:hAnsi="Century"/>
          <w:rtl w:val="true"/>
        </w:rPr>
        <w:t>'</w:t>
      </w:r>
      <w:r>
        <w:rPr>
          <w:rFonts w:ascii="Century" w:hAnsi="Century" w:cs="Century"/>
          <w:rtl w:val="true"/>
        </w:rPr>
        <w:t xml:space="preserve">ינס ארוך </w:t>
      </w:r>
      <w:r>
        <w:rPr>
          <w:rFonts w:cs="Century" w:ascii="Century" w:hAnsi="Century"/>
          <w:rtl w:val="true"/>
        </w:rPr>
        <w:t>[</w:t>
      </w:r>
      <w:r>
        <w:rPr>
          <w:rFonts w:ascii="Century" w:hAnsi="Century" w:cs="Century"/>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r>
        <w:rPr>
          <w:rFonts w:cs="Century" w:ascii="Century" w:hAnsi="Century"/>
          <w:rtl w:val="true"/>
        </w:rPr>
        <w:t xml:space="preserve">]. [...] </w:t>
      </w:r>
      <w:r>
        <w:rPr>
          <w:rFonts w:cs="Century" w:ascii="Century" w:hAnsi="Century"/>
        </w:rPr>
        <w:t>00:03:10</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ואז נראה הבחור עם הגופייה השחורה כשהוא דוקר ככל הנראה פעמיים את המבוגר</w:t>
      </w:r>
      <w:r>
        <w:rPr>
          <w:rFonts w:cs="Century" w:ascii="Century" w:hAnsi="Century"/>
          <w:rtl w:val="true"/>
        </w:rPr>
        <w:t xml:space="preserve">, </w:t>
      </w:r>
      <w:r>
        <w:rPr>
          <w:rFonts w:ascii="Century" w:hAnsi="Century" w:cs="Miriam"/>
          <w:b/>
          <w:b/>
          <w:spacing w:val="0"/>
          <w:szCs w:val="24"/>
          <w:rtl w:val="true"/>
        </w:rPr>
        <w:t>כשבמקביל</w:t>
      </w:r>
      <w:r>
        <w:rPr>
          <w:rFonts w:ascii="Century" w:hAnsi="Century" w:eastAsia="Century" w:cs="Century"/>
          <w:b/>
          <w:b/>
          <w:spacing w:val="0"/>
          <w:szCs w:val="24"/>
          <w:rtl w:val="true"/>
        </w:rPr>
        <w:t xml:space="preserve"> </w:t>
      </w:r>
      <w:r>
        <w:rPr>
          <w:rFonts w:ascii="Century" w:hAnsi="Century" w:cs="Miriam"/>
          <w:b/>
          <w:b/>
          <w:spacing w:val="0"/>
          <w:szCs w:val="24"/>
          <w:rtl w:val="true"/>
        </w:rPr>
        <w:t>לכך</w:t>
      </w:r>
      <w:r>
        <w:rPr>
          <w:rFonts w:ascii="Century" w:hAnsi="Century" w:cs="Century"/>
          <w:rtl w:val="true"/>
        </w:rPr>
        <w:t xml:space="preserve"> נראה בחור נוסף </w:t>
      </w:r>
      <w:r>
        <w:rPr>
          <w:rFonts w:cs="Century" w:ascii="Century" w:hAnsi="Century"/>
          <w:rtl w:val="true"/>
        </w:rPr>
        <w:t>(</w:t>
      </w:r>
      <w:r>
        <w:rPr>
          <w:rFonts w:ascii="Century" w:hAnsi="Century" w:cs="Century"/>
          <w:rtl w:val="true"/>
        </w:rPr>
        <w:t>גם הוא בגופייה שחורה</w:t>
      </w:r>
      <w:r>
        <w:rPr>
          <w:rFonts w:cs="Century" w:ascii="Century" w:hAnsi="Century"/>
          <w:rtl w:val="true"/>
        </w:rPr>
        <w:t xml:space="preserve">) </w:t>
      </w:r>
      <w:r>
        <w:rPr>
          <w:rFonts w:ascii="Century" w:hAnsi="Century" w:cs="Century"/>
          <w:rtl w:val="true"/>
        </w:rPr>
        <w:t xml:space="preserve">המגיע מאחורי הנדקר מצדו הימני </w:t>
      </w:r>
      <w:r>
        <w:rPr>
          <w:rFonts w:cs="Century" w:ascii="Century" w:hAnsi="Century"/>
          <w:rtl w:val="true"/>
        </w:rPr>
        <w:t>(</w:t>
      </w:r>
      <w:r>
        <w:rPr>
          <w:rFonts w:ascii="Century" w:hAnsi="Century" w:cs="Century"/>
          <w:rtl w:val="true"/>
        </w:rPr>
        <w:t>לזווית הצילום</w:t>
      </w:r>
      <w:r>
        <w:rPr>
          <w:rFonts w:cs="Century" w:ascii="Century" w:hAnsi="Century"/>
          <w:rtl w:val="true"/>
        </w:rPr>
        <w:t xml:space="preserve">) </w:t>
      </w:r>
      <w:r>
        <w:rPr>
          <w:rFonts w:ascii="Century" w:hAnsi="Century" w:cs="Century"/>
          <w:rtl w:val="true"/>
        </w:rPr>
        <w:t>ואף הוא נראה מרים ידו ומוריד לעבר גופו של הנדקר</w:t>
      </w:r>
      <w:r>
        <w:rPr>
          <w:rFonts w:cs="Century" w:ascii="Century" w:hAnsi="Century"/>
          <w:rtl w:val="true"/>
        </w:rPr>
        <w:t xml:space="preserve">, </w:t>
      </w:r>
      <w:r>
        <w:rPr>
          <w:rFonts w:ascii="Century" w:hAnsi="Century" w:cs="Century"/>
          <w:rtl w:val="true"/>
        </w:rPr>
        <w:t xml:space="preserve">כבתנועות דקירה </w:t>
      </w:r>
      <w:r>
        <w:rPr>
          <w:rFonts w:cs="Century" w:ascii="Century" w:hAnsi="Century"/>
          <w:rtl w:val="true"/>
        </w:rPr>
        <w:t xml:space="preserve">[...]" </w:t>
      </w:r>
      <w:r>
        <w:rPr>
          <w:rtl w:val="true"/>
        </w:rPr>
        <w:t>(</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r>
        <w:rPr>
          <w:rFonts w:cs="Century" w:ascii="Century" w:hAnsi="Century"/>
          <w:rtl w:val="true"/>
        </w:rPr>
        <w:t>).</w:t>
      </w:r>
    </w:p>
    <w:p>
      <w:pPr>
        <w:pStyle w:val="Ruller42"/>
        <w:ind w:start="720" w:end="720"/>
        <w:jc w:val="both"/>
        <w:rPr>
          <w:rFonts w:ascii="Century" w:hAnsi="Century" w:cs="Century"/>
        </w:rPr>
      </w:pPr>
      <w:r>
        <w:rPr>
          <w:rFonts w:cs="Century" w:ascii="Century" w:hAnsi="Century"/>
          <w:rtl w:val="true"/>
        </w:rPr>
      </w:r>
    </w:p>
    <w:p>
      <w:pPr>
        <w:pStyle w:val="Ruller42"/>
        <w:ind w:start="720" w:end="720"/>
        <w:jc w:val="both"/>
        <w:rPr>
          <w:rFonts w:ascii="Century" w:hAnsi="Century" w:cs="Century"/>
        </w:rPr>
      </w:pPr>
      <w:r>
        <w:rPr>
          <w:rFonts w:ascii="Century" w:hAnsi="Century" w:cs="Miriam"/>
          <w:b/>
          <w:b/>
          <w:spacing w:val="0"/>
          <w:szCs w:val="24"/>
          <w:rtl w:val="true"/>
        </w:rPr>
        <w:t>ג</w:t>
      </w:r>
      <w:r>
        <w:rPr>
          <w:rFonts w:cs="Miriam" w:ascii="Century" w:hAnsi="Century"/>
          <w:b/>
          <w:spacing w:val="0"/>
          <w:szCs w:val="24"/>
          <w:rtl w:val="true"/>
        </w:rPr>
        <w:t>.</w:t>
      </w:r>
      <w:r>
        <w:rPr>
          <w:rFonts w:cs="Century" w:ascii="Century" w:hAnsi="Century"/>
          <w:rtl w:val="true"/>
        </w:rPr>
        <w:tab/>
      </w:r>
      <w:r>
        <w:rPr>
          <w:rFonts w:ascii="Century" w:hAnsi="Century" w:cs="Century"/>
          <w:rtl w:val="true"/>
        </w:rPr>
        <w:t xml:space="preserve">עד תביעה </w:t>
      </w:r>
      <w:r>
        <w:rPr>
          <w:rFonts w:cs="Century" w:ascii="Century" w:hAnsi="Century"/>
        </w:rPr>
        <w:t>2</w:t>
      </w:r>
      <w:r>
        <w:rPr>
          <w:rFonts w:cs="Century" w:ascii="Century" w:hAnsi="Century"/>
          <w:rtl w:val="true"/>
        </w:rPr>
        <w:t xml:space="preserve">, </w:t>
      </w:r>
      <w:r>
        <w:rPr>
          <w:rFonts w:ascii="Century" w:hAnsi="Century" w:cs="Century"/>
          <w:rtl w:val="true"/>
        </w:rPr>
        <w:t>שתיעד את אירוע הדקירה כפי שראה אותו במצלמות האבטחה</w:t>
      </w:r>
      <w:r>
        <w:rPr>
          <w:rFonts w:cs="Century" w:ascii="Century" w:hAnsi="Century"/>
          <w:rtl w:val="true"/>
        </w:rPr>
        <w:t xml:space="preserve">. </w:t>
      </w:r>
      <w:r>
        <w:rPr>
          <w:rFonts w:ascii="Century" w:hAnsi="Century" w:cs="Century"/>
          <w:rtl w:val="true"/>
        </w:rPr>
        <w:t xml:space="preserve">עד זה כתב במזכר שהוגש לבית המשפט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16</w:t>
      </w:r>
      <w:r>
        <w:rPr>
          <w:rFonts w:cs="Century" w:ascii="Century" w:hAnsi="Century"/>
          <w:rtl w:val="true"/>
        </w:rPr>
        <w:t xml:space="preserve">) </w:t>
      </w:r>
      <w:r>
        <w:rPr>
          <w:rFonts w:ascii="Century" w:hAnsi="Century" w:cs="Century"/>
          <w:rtl w:val="true"/>
        </w:rPr>
        <w:t>כדלקמן</w:t>
      </w:r>
      <w:r>
        <w:rPr>
          <w:rFonts w:cs="Century" w:ascii="Century" w:hAnsi="Century"/>
          <w:rtl w:val="true"/>
        </w:rPr>
        <w:t>: "</w:t>
      </w:r>
      <w:r>
        <w:rPr>
          <w:rFonts w:cs="Century" w:ascii="Century" w:hAnsi="Century"/>
        </w:rPr>
        <w:t>00:01</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אני מבחין בנדקר </w:t>
      </w:r>
      <w:r>
        <w:rPr>
          <w:rtl w:val="true"/>
        </w:rPr>
        <w:t>[</w:t>
      </w:r>
      <w:r>
        <w:rPr>
          <w:rtl w:val="true"/>
        </w:rPr>
        <w:t>המתלונן</w:t>
      </w:r>
      <w:r>
        <w:rPr>
          <w:rFonts w:eastAsia="Arial TUR;Arial" w:cs="Arial TUR;Arial"/>
          <w:rtl w:val="true"/>
        </w:rPr>
        <w:t xml:space="preserve"> </w:t>
      </w:r>
      <w:r>
        <w:rPr/>
        <w:t>1</w:t>
      </w:r>
      <w:r>
        <w:rPr>
          <w:rtl w:val="true"/>
        </w:rPr>
        <w:t xml:space="preserve"> </w:t>
      </w:r>
      <w:r>
        <w:rPr>
          <w:rtl w:val="true"/>
        </w:rPr>
        <w:t>–</w:t>
      </w:r>
      <w:r>
        <w:rPr>
          <w:rtl w:val="true"/>
        </w:rPr>
        <w:t xml:space="preserve"> </w:t>
      </w:r>
      <w:r>
        <w:rPr>
          <w:rtl w:val="true"/>
        </w:rPr>
        <w:t>א</w:t>
      </w:r>
      <w:r>
        <w:rPr>
          <w:rtl w:val="true"/>
        </w:rPr>
        <w:t>.</w:t>
      </w:r>
      <w:r>
        <w:rPr>
          <w:rtl w:val="true"/>
        </w:rPr>
        <w:t>ש</w:t>
      </w:r>
      <w:r>
        <w:rPr>
          <w:rtl w:val="true"/>
        </w:rPr>
        <w:t>.]</w:t>
      </w:r>
      <w:r>
        <w:rPr>
          <w:rFonts w:cs="Century" w:ascii="Century" w:hAnsi="Century"/>
          <w:rtl w:val="true"/>
        </w:rPr>
        <w:t xml:space="preserve">, </w:t>
      </w:r>
      <w:r>
        <w:rPr>
          <w:rFonts w:ascii="Century" w:hAnsi="Century" w:cs="Century"/>
          <w:rtl w:val="true"/>
        </w:rPr>
        <w:t>חולצה אפורה</w:t>
      </w:r>
      <w:r>
        <w:rPr>
          <w:rFonts w:cs="Century" w:ascii="Century" w:hAnsi="Century"/>
          <w:rtl w:val="true"/>
        </w:rPr>
        <w:t xml:space="preserve">, </w:t>
      </w:r>
      <w:r>
        <w:rPr>
          <w:rFonts w:ascii="Century" w:hAnsi="Century" w:cs="Century"/>
          <w:rtl w:val="true"/>
        </w:rPr>
        <w:t>יורד בשביל גישה של הנכים מקרוסלה במתחם הספירל יחד עמו יורדים בני משפחתו ואחרים שבאו עמו לחופשה</w:t>
      </w:r>
      <w:r>
        <w:rPr>
          <w:rFonts w:cs="Century" w:ascii="Century" w:hAnsi="Century"/>
          <w:rtl w:val="true"/>
        </w:rPr>
        <w:t xml:space="preserve">, </w:t>
      </w:r>
      <w:r>
        <w:rPr>
          <w:rFonts w:ascii="Century" w:hAnsi="Century" w:cs="Century"/>
          <w:rtl w:val="true"/>
        </w:rPr>
        <w:t xml:space="preserve">מולם עולים אחד הדוקרים </w:t>
      </w:r>
      <w:r>
        <w:rPr>
          <w:rFonts w:cs="Century" w:ascii="Century" w:hAnsi="Century"/>
          <w:rtl w:val="true"/>
        </w:rPr>
        <w:t>(</w:t>
      </w:r>
      <w:r>
        <w:rPr>
          <w:rFonts w:ascii="Century" w:hAnsi="Century" w:cs="Century"/>
          <w:rtl w:val="true"/>
        </w:rPr>
        <w:t>גופיה שחורה מכנס ברמודה</w:t>
      </w:r>
      <w:r>
        <w:rPr>
          <w:rFonts w:cs="Century" w:ascii="Century" w:hAnsi="Century"/>
          <w:rtl w:val="true"/>
        </w:rPr>
        <w:t xml:space="preserve">) </w:t>
      </w:r>
      <w:r>
        <w:rPr>
          <w:rFonts w:ascii="Century" w:hAnsi="Century" w:cs="Century"/>
          <w:rtl w:val="true"/>
        </w:rPr>
        <w:t>יחד עמו בחור לובש גופיה גוון לבן מכנס ספורט שחור</w:t>
      </w:r>
      <w:r>
        <w:rPr>
          <w:rFonts w:cs="Century" w:ascii="Century" w:hAnsi="Century"/>
          <w:rtl w:val="true"/>
        </w:rPr>
        <w:t xml:space="preserve">. </w:t>
      </w:r>
      <w:r>
        <w:rPr>
          <w:rFonts w:cs="Century" w:ascii="Century" w:hAnsi="Century"/>
        </w:rPr>
        <w:t>00:01:33</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מבחינים בבחור לבוש חולצה כחולה יורד במעבר מטה</w:t>
      </w:r>
      <w:r>
        <w:rPr>
          <w:rFonts w:cs="Century" w:ascii="Century" w:hAnsi="Century"/>
          <w:rtl w:val="true"/>
        </w:rPr>
        <w:t xml:space="preserve">, </w:t>
      </w:r>
      <w:r>
        <w:rPr>
          <w:rFonts w:ascii="Century" w:hAnsi="Century" w:cs="Century"/>
          <w:rtl w:val="true"/>
        </w:rPr>
        <w:t>מולו עולים הדוקר וחבר שלו</w:t>
      </w:r>
      <w:r>
        <w:rPr>
          <w:rFonts w:cs="Century" w:ascii="Century" w:hAnsi="Century"/>
          <w:rtl w:val="true"/>
        </w:rPr>
        <w:t xml:space="preserve">, </w:t>
      </w:r>
      <w:r>
        <w:rPr>
          <w:rFonts w:ascii="Century" w:hAnsi="Century" w:cs="Century"/>
          <w:rtl w:val="true"/>
        </w:rPr>
        <w:t>מתפתח ביניהם דין ודברים</w:t>
      </w:r>
      <w:r>
        <w:rPr>
          <w:rFonts w:cs="Century" w:ascii="Century" w:hAnsi="Century"/>
          <w:rtl w:val="true"/>
        </w:rPr>
        <w:t xml:space="preserve">, </w:t>
      </w:r>
      <w:r>
        <w:rPr>
          <w:rFonts w:ascii="Century" w:hAnsi="Century" w:cs="Century"/>
          <w:rtl w:val="true"/>
        </w:rPr>
        <w:t>הנדקר מגיע לעברם ומנהלים שיחה</w:t>
      </w:r>
      <w:r>
        <w:rPr>
          <w:rFonts w:cs="Century" w:ascii="Century" w:hAnsi="Century"/>
          <w:rtl w:val="true"/>
        </w:rPr>
        <w:t xml:space="preserve">, </w:t>
      </w:r>
      <w:r>
        <w:rPr>
          <w:rFonts w:ascii="Century" w:hAnsi="Century" w:cs="Century"/>
          <w:rtl w:val="true"/>
        </w:rPr>
        <w:t>הבחורה עם החיג</w:t>
      </w:r>
      <w:r>
        <w:rPr>
          <w:rFonts w:cs="Century" w:ascii="Century" w:hAnsi="Century"/>
          <w:rtl w:val="true"/>
        </w:rPr>
        <w:t>'</w:t>
      </w:r>
      <w:r>
        <w:rPr>
          <w:rFonts w:ascii="Century" w:hAnsi="Century" w:cs="Century"/>
          <w:rtl w:val="true"/>
        </w:rPr>
        <w:t xml:space="preserve">אב הלבן </w:t>
      </w:r>
      <w:r>
        <w:rPr>
          <w:rFonts w:cs="Century" w:ascii="Century" w:hAnsi="Century"/>
          <w:rtl w:val="true"/>
        </w:rPr>
        <w:t>(</w:t>
      </w:r>
      <w:r>
        <w:rPr>
          <w:rFonts w:ascii="Century" w:hAnsi="Century" w:cs="Century"/>
          <w:rtl w:val="true"/>
        </w:rPr>
        <w:t>ניבל</w:t>
      </w:r>
      <w:r>
        <w:rPr>
          <w:rFonts w:cs="Century" w:ascii="Century" w:hAnsi="Century"/>
          <w:rtl w:val="true"/>
        </w:rPr>
        <w:t xml:space="preserve">) </w:t>
      </w:r>
      <w:r>
        <w:rPr>
          <w:rFonts w:ascii="Century" w:hAnsi="Century" w:cs="Century"/>
          <w:rtl w:val="true"/>
        </w:rPr>
        <w:t xml:space="preserve">מזיזה את בנה </w:t>
      </w:r>
      <w:r>
        <w:rPr>
          <w:rFonts w:cs="Century" w:ascii="Century" w:hAnsi="Century"/>
          <w:rtl w:val="true"/>
        </w:rPr>
        <w:t>(</w:t>
      </w:r>
      <w:r>
        <w:rPr>
          <w:rFonts w:ascii="Century" w:hAnsi="Century" w:cs="Century"/>
          <w:rtl w:val="true"/>
        </w:rPr>
        <w:t>חולצה כחולה</w:t>
      </w:r>
      <w:r>
        <w:rPr>
          <w:rFonts w:cs="Century" w:ascii="Century" w:hAnsi="Century"/>
          <w:rtl w:val="true"/>
        </w:rPr>
        <w:t xml:space="preserve">), </w:t>
      </w:r>
      <w:r>
        <w:rPr>
          <w:rFonts w:ascii="Century" w:hAnsi="Century" w:cs="Century"/>
          <w:rtl w:val="true"/>
        </w:rPr>
        <w:t xml:space="preserve">מבחין בהמולה במקום בין הנדקר וחבריו לבין שני הבחורים </w:t>
      </w:r>
      <w:r>
        <w:rPr>
          <w:rFonts w:cs="Century" w:ascii="Century" w:hAnsi="Century"/>
          <w:rtl w:val="true"/>
        </w:rPr>
        <w:t>(</w:t>
      </w:r>
      <w:r>
        <w:rPr>
          <w:rFonts w:ascii="Century" w:hAnsi="Century" w:cs="Century"/>
          <w:rtl w:val="true"/>
        </w:rPr>
        <w:t>הדוקר וחברו</w:t>
      </w:r>
      <w:r>
        <w:rPr>
          <w:rFonts w:cs="Century" w:ascii="Century" w:hAnsi="Century"/>
          <w:rtl w:val="true"/>
        </w:rPr>
        <w:t xml:space="preserve">), </w:t>
      </w:r>
      <w:r>
        <w:rPr>
          <w:rFonts w:ascii="Century" w:hAnsi="Century" w:cs="Century"/>
          <w:rtl w:val="true"/>
        </w:rPr>
        <w:t xml:space="preserve">מפרידים בין הצדדים והנדקר וחבריו יורדים למטה והדוקר וחברו עולים למעלה לכיוון </w:t>
      </w:r>
      <w:r>
        <w:rPr>
          <w:rFonts w:cs="Century" w:ascii="Century" w:hAnsi="Century"/>
          <w:rtl w:val="true"/>
        </w:rPr>
        <w:t>"</w:t>
      </w:r>
      <w:r>
        <w:rPr>
          <w:rFonts w:ascii="Century" w:hAnsi="Century" w:cs="Century"/>
          <w:rtl w:val="true"/>
        </w:rPr>
        <w:t>דיוטי מוטי</w:t>
      </w:r>
      <w:r>
        <w:rPr>
          <w:rFonts w:cs="Century" w:ascii="Century" w:hAnsi="Century"/>
          <w:rtl w:val="true"/>
        </w:rPr>
        <w:t xml:space="preserve">". </w:t>
      </w:r>
      <w:r>
        <w:rPr>
          <w:rFonts w:cs="Century" w:ascii="Century" w:hAnsi="Century"/>
        </w:rPr>
        <w:t>00:04:30</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Miriam"/>
          <w:b/>
          <w:b/>
          <w:spacing w:val="0"/>
          <w:szCs w:val="24"/>
          <w:rtl w:val="true"/>
        </w:rPr>
        <w:t>מזהה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הדוקר</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גופיה</w:t>
      </w:r>
      <w:r>
        <w:rPr>
          <w:rFonts w:ascii="Century" w:hAnsi="Century" w:eastAsia="Century" w:cs="Century"/>
          <w:b/>
          <w:b/>
          <w:spacing w:val="0"/>
          <w:szCs w:val="24"/>
          <w:rtl w:val="true"/>
        </w:rPr>
        <w:t xml:space="preserve"> </w:t>
      </w:r>
      <w:r>
        <w:rPr>
          <w:rFonts w:ascii="Century" w:hAnsi="Century" w:cs="Miriam"/>
          <w:b/>
          <w:b/>
          <w:spacing w:val="0"/>
          <w:szCs w:val="24"/>
          <w:rtl w:val="true"/>
        </w:rPr>
        <w:t>שחורה</w:t>
      </w:r>
      <w:r>
        <w:rPr>
          <w:rFonts w:cs="Miriam" w:ascii="Century" w:hAnsi="Century"/>
          <w:b/>
          <w:spacing w:val="0"/>
          <w:szCs w:val="24"/>
          <w:rtl w:val="true"/>
        </w:rPr>
        <w:t xml:space="preserve">, </w:t>
      </w:r>
      <w:r>
        <w:rPr>
          <w:rFonts w:ascii="Century" w:hAnsi="Century" w:cs="Miriam"/>
          <w:b/>
          <w:b/>
          <w:spacing w:val="0"/>
          <w:szCs w:val="24"/>
          <w:rtl w:val="true"/>
        </w:rPr>
        <w:t>מכנס</w:t>
      </w:r>
      <w:r>
        <w:rPr>
          <w:rFonts w:ascii="Century" w:hAnsi="Century" w:eastAsia="Century" w:cs="Century"/>
          <w:b/>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ינס</w:t>
      </w:r>
      <w:r>
        <w:rPr>
          <w:rFonts w:ascii="Century" w:hAnsi="Century" w:eastAsia="Century" w:cs="Century"/>
          <w:b/>
          <w:b/>
          <w:spacing w:val="0"/>
          <w:szCs w:val="24"/>
          <w:rtl w:val="true"/>
        </w:rPr>
        <w:t xml:space="preserve"> </w:t>
      </w:r>
      <w:r>
        <w:rPr>
          <w:rFonts w:ascii="Century" w:hAnsi="Century" w:cs="Miriam"/>
          <w:b/>
          <w:b/>
          <w:spacing w:val="0"/>
          <w:szCs w:val="24"/>
          <w:rtl w:val="true"/>
        </w:rPr>
        <w:t>ארוך</w:t>
      </w:r>
      <w:r>
        <w:rPr>
          <w:rFonts w:cs="Miriam" w:ascii="Century" w:hAnsi="Century"/>
          <w:b/>
          <w:spacing w:val="0"/>
          <w:szCs w:val="24"/>
          <w:rtl w:val="true"/>
        </w:rPr>
        <w:t xml:space="preserve">) + </w:t>
      </w:r>
      <w:r>
        <w:rPr>
          <w:rFonts w:ascii="Century" w:hAnsi="Century" w:cs="Miriam"/>
          <w:b/>
          <w:b/>
          <w:spacing w:val="0"/>
          <w:szCs w:val="24"/>
          <w:rtl w:val="true"/>
        </w:rPr>
        <w:t>הדוקר</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גופיה</w:t>
      </w:r>
      <w:r>
        <w:rPr>
          <w:rFonts w:ascii="Century" w:hAnsi="Century" w:eastAsia="Century" w:cs="Century"/>
          <w:b/>
          <w:b/>
          <w:spacing w:val="0"/>
          <w:szCs w:val="24"/>
          <w:rtl w:val="true"/>
        </w:rPr>
        <w:t xml:space="preserve"> </w:t>
      </w:r>
      <w:r>
        <w:rPr>
          <w:rFonts w:ascii="Century" w:hAnsi="Century" w:cs="Miriam"/>
          <w:b/>
          <w:b/>
          <w:spacing w:val="0"/>
          <w:szCs w:val="24"/>
          <w:rtl w:val="true"/>
        </w:rPr>
        <w:t>שחורה</w:t>
      </w:r>
      <w:r>
        <w:rPr>
          <w:rFonts w:ascii="Century" w:hAnsi="Century" w:eastAsia="Century" w:cs="Century"/>
          <w:b/>
          <w:b/>
          <w:spacing w:val="0"/>
          <w:szCs w:val="24"/>
          <w:rtl w:val="true"/>
        </w:rPr>
        <w:t xml:space="preserve"> </w:t>
      </w:r>
      <w:r>
        <w:rPr>
          <w:rFonts w:ascii="Century" w:hAnsi="Century" w:cs="Miriam"/>
          <w:b/>
          <w:b/>
          <w:spacing w:val="0"/>
          <w:szCs w:val="24"/>
          <w:rtl w:val="true"/>
        </w:rPr>
        <w:t>מכנס</w:t>
      </w:r>
      <w:r>
        <w:rPr>
          <w:rFonts w:ascii="Century" w:hAnsi="Century" w:eastAsia="Century" w:cs="Century"/>
          <w:b/>
          <w:b/>
          <w:spacing w:val="0"/>
          <w:szCs w:val="24"/>
          <w:rtl w:val="true"/>
        </w:rPr>
        <w:t xml:space="preserve"> </w:t>
      </w:r>
      <w:r>
        <w:rPr>
          <w:rFonts w:ascii="Century" w:hAnsi="Century" w:cs="Miriam"/>
          <w:b/>
          <w:b/>
          <w:spacing w:val="0"/>
          <w:szCs w:val="24"/>
          <w:rtl w:val="true"/>
        </w:rPr>
        <w:t>ברמודה</w:t>
      </w:r>
      <w:r>
        <w:rPr>
          <w:rFonts w:cs="Miriam" w:ascii="Century" w:hAnsi="Century"/>
          <w:b/>
          <w:spacing w:val="0"/>
          <w:szCs w:val="24"/>
          <w:rtl w:val="true"/>
        </w:rPr>
        <w:t xml:space="preserve">) </w:t>
      </w:r>
      <w:r>
        <w:rPr>
          <w:rFonts w:ascii="Century" w:hAnsi="Century" w:cs="Miriam"/>
          <w:b/>
          <w:b/>
          <w:spacing w:val="0"/>
          <w:szCs w:val="24"/>
          <w:rtl w:val="true"/>
        </w:rPr>
        <w:t>יחד</w:t>
      </w:r>
      <w:r>
        <w:rPr>
          <w:rFonts w:ascii="Century" w:hAnsi="Century" w:eastAsia="Century" w:cs="Century"/>
          <w:b/>
          <w:b/>
          <w:spacing w:val="0"/>
          <w:szCs w:val="24"/>
          <w:rtl w:val="true"/>
        </w:rPr>
        <w:t xml:space="preserve"> </w:t>
      </w:r>
      <w:r>
        <w:rPr>
          <w:rFonts w:ascii="Century" w:hAnsi="Century" w:cs="Miriam"/>
          <w:b/>
          <w:b/>
          <w:spacing w:val="0"/>
          <w:szCs w:val="24"/>
          <w:rtl w:val="true"/>
        </w:rPr>
        <w:t>עמם</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מספר</w:t>
      </w:r>
      <w:r>
        <w:rPr>
          <w:rFonts w:ascii="Century" w:hAnsi="Century" w:eastAsia="Century" w:cs="Century"/>
          <w:b/>
          <w:b/>
          <w:spacing w:val="0"/>
          <w:szCs w:val="24"/>
          <w:rtl w:val="true"/>
        </w:rPr>
        <w:t xml:space="preserve"> </w:t>
      </w:r>
      <w:r>
        <w:rPr>
          <w:rFonts w:ascii="Century" w:hAnsi="Century" w:cs="Miriam"/>
          <w:b/>
          <w:b/>
          <w:spacing w:val="0"/>
          <w:szCs w:val="24"/>
          <w:rtl w:val="true"/>
        </w:rPr>
        <w:t>רב</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ניגשים</w:t>
      </w:r>
      <w:r>
        <w:rPr>
          <w:rFonts w:ascii="Century" w:hAnsi="Century" w:eastAsia="Century" w:cs="Century"/>
          <w:b/>
          <w:b/>
          <w:spacing w:val="0"/>
          <w:szCs w:val="24"/>
          <w:rtl w:val="true"/>
        </w:rPr>
        <w:t xml:space="preserve"> </w:t>
      </w:r>
      <w:r>
        <w:rPr>
          <w:rFonts w:ascii="Century" w:hAnsi="Century" w:cs="Miriam"/>
          <w:b/>
          <w:b/>
          <w:spacing w:val="0"/>
          <w:szCs w:val="24"/>
          <w:rtl w:val="true"/>
        </w:rPr>
        <w:t>לכיוון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הבחור</w:t>
      </w:r>
      <w:r>
        <w:rPr>
          <w:rFonts w:ascii="Century" w:hAnsi="Century" w:eastAsia="Century" w:cs="Century"/>
          <w:b/>
          <w:b/>
          <w:spacing w:val="0"/>
          <w:szCs w:val="24"/>
          <w:rtl w:val="true"/>
        </w:rPr>
        <w:t xml:space="preserve"> </w:t>
      </w:r>
      <w:r>
        <w:rPr>
          <w:rFonts w:ascii="Century" w:hAnsi="Century" w:cs="Miriam"/>
          <w:b/>
          <w:b/>
          <w:spacing w:val="0"/>
          <w:szCs w:val="24"/>
          <w:rtl w:val="true"/>
        </w:rPr>
        <w:t>שנדקר</w:t>
      </w:r>
      <w:r>
        <w:rPr>
          <w:rFonts w:cs="Miriam" w:ascii="Century" w:hAnsi="Century"/>
          <w:b/>
          <w:spacing w:val="0"/>
          <w:szCs w:val="24"/>
          <w:rtl w:val="true"/>
        </w:rPr>
        <w:t xml:space="preserve">, </w:t>
      </w:r>
      <w:r>
        <w:rPr>
          <w:rFonts w:ascii="Century" w:hAnsi="Century" w:cs="Miriam"/>
          <w:b/>
          <w:b/>
          <w:spacing w:val="0"/>
          <w:szCs w:val="24"/>
          <w:rtl w:val="true"/>
        </w:rPr>
        <w:t>מתפתח</w:t>
      </w:r>
      <w:r>
        <w:rPr>
          <w:rFonts w:ascii="Century" w:hAnsi="Century" w:eastAsia="Century" w:cs="Century"/>
          <w:b/>
          <w:b/>
          <w:spacing w:val="0"/>
          <w:szCs w:val="24"/>
          <w:rtl w:val="true"/>
        </w:rPr>
        <w:t xml:space="preserve"> </w:t>
      </w:r>
      <w:r>
        <w:rPr>
          <w:rFonts w:ascii="Century" w:hAnsi="Century" w:cs="Miriam"/>
          <w:b/>
          <w:b/>
          <w:spacing w:val="0"/>
          <w:szCs w:val="24"/>
          <w:rtl w:val="true"/>
        </w:rPr>
        <w:t>דין</w:t>
      </w:r>
      <w:r>
        <w:rPr>
          <w:rFonts w:ascii="Century" w:hAnsi="Century" w:eastAsia="Century" w:cs="Century"/>
          <w:b/>
          <w:b/>
          <w:spacing w:val="0"/>
          <w:szCs w:val="24"/>
          <w:rtl w:val="true"/>
        </w:rPr>
        <w:t xml:space="preserve"> </w:t>
      </w:r>
      <w:r>
        <w:rPr>
          <w:rFonts w:ascii="Century" w:hAnsi="Century" w:cs="Miriam"/>
          <w:b/>
          <w:b/>
          <w:spacing w:val="0"/>
          <w:szCs w:val="24"/>
          <w:rtl w:val="true"/>
        </w:rPr>
        <w:t>ודברים</w:t>
      </w:r>
      <w:r>
        <w:rPr>
          <w:rFonts w:ascii="Century" w:hAnsi="Century" w:eastAsia="Century" w:cs="Century"/>
          <w:b/>
          <w:b/>
          <w:spacing w:val="0"/>
          <w:szCs w:val="24"/>
          <w:rtl w:val="true"/>
        </w:rPr>
        <w:t xml:space="preserve"> </w:t>
      </w:r>
      <w:r>
        <w:rPr>
          <w:rFonts w:ascii="Century" w:hAnsi="Century" w:cs="Miriam"/>
          <w:b/>
          <w:b/>
          <w:spacing w:val="0"/>
          <w:szCs w:val="24"/>
          <w:rtl w:val="true"/>
        </w:rPr>
        <w:t>ביניהם</w:t>
      </w:r>
      <w:r>
        <w:rPr>
          <w:rFonts w:ascii="Century" w:hAnsi="Century" w:eastAsia="Century" w:cs="Century"/>
          <w:b/>
          <w:b/>
          <w:spacing w:val="0"/>
          <w:szCs w:val="24"/>
          <w:rtl w:val="true"/>
        </w:rPr>
        <w:t xml:space="preserve"> </w:t>
      </w:r>
      <w:r>
        <w:rPr>
          <w:rFonts w:ascii="Century" w:hAnsi="Century" w:cs="Miriam"/>
          <w:b/>
          <w:b/>
          <w:spacing w:val="0"/>
          <w:szCs w:val="24"/>
          <w:rtl w:val="true"/>
        </w:rPr>
        <w:t>זזים</w:t>
      </w:r>
      <w:r>
        <w:rPr>
          <w:rFonts w:ascii="Century" w:hAnsi="Century" w:eastAsia="Century" w:cs="Century"/>
          <w:b/>
          <w:b/>
          <w:spacing w:val="0"/>
          <w:szCs w:val="24"/>
          <w:rtl w:val="true"/>
        </w:rPr>
        <w:t xml:space="preserve"> </w:t>
      </w:r>
      <w:r>
        <w:rPr>
          <w:rFonts w:ascii="Century" w:hAnsi="Century" w:cs="Miriam"/>
          <w:b/>
          <w:b/>
          <w:spacing w:val="0"/>
          <w:szCs w:val="24"/>
          <w:rtl w:val="true"/>
        </w:rPr>
        <w:t>הצידה</w:t>
      </w:r>
      <w:r>
        <w:rPr>
          <w:rFonts w:ascii="Century" w:hAnsi="Century" w:eastAsia="Century" w:cs="Century"/>
          <w:b/>
          <w:b/>
          <w:spacing w:val="0"/>
          <w:szCs w:val="24"/>
          <w:rtl w:val="true"/>
        </w:rPr>
        <w:t xml:space="preserve"> </w:t>
      </w:r>
      <w:r>
        <w:rPr>
          <w:rFonts w:ascii="Century" w:hAnsi="Century" w:cs="Miriam"/>
          <w:b/>
          <w:b/>
          <w:spacing w:val="0"/>
          <w:szCs w:val="24"/>
          <w:rtl w:val="true"/>
        </w:rPr>
        <w:t>ומתחיל</w:t>
      </w:r>
      <w:r>
        <w:rPr>
          <w:rFonts w:ascii="Century" w:hAnsi="Century" w:eastAsia="Century" w:cs="Century"/>
          <w:b/>
          <w:b/>
          <w:spacing w:val="0"/>
          <w:szCs w:val="24"/>
          <w:rtl w:val="true"/>
        </w:rPr>
        <w:t xml:space="preserve"> </w:t>
      </w:r>
      <w:r>
        <w:rPr>
          <w:rFonts w:ascii="Century" w:hAnsi="Century" w:cs="Miriam"/>
          <w:b/>
          <w:b/>
          <w:spacing w:val="0"/>
          <w:szCs w:val="24"/>
          <w:rtl w:val="true"/>
        </w:rPr>
        <w:t>אירוע</w:t>
      </w:r>
      <w:r>
        <w:rPr>
          <w:rFonts w:ascii="Century" w:hAnsi="Century" w:eastAsia="Century" w:cs="Century"/>
          <w:b/>
          <w:b/>
          <w:spacing w:val="0"/>
          <w:szCs w:val="24"/>
          <w:rtl w:val="true"/>
        </w:rPr>
        <w:t xml:space="preserve"> </w:t>
      </w:r>
      <w:r>
        <w:rPr>
          <w:rFonts w:ascii="Century" w:hAnsi="Century" w:cs="Miriam"/>
          <w:b/>
          <w:b/>
          <w:spacing w:val="0"/>
          <w:szCs w:val="24"/>
          <w:rtl w:val="true"/>
        </w:rPr>
        <w:t>הדקירות</w:t>
      </w:r>
      <w:r>
        <w:rPr>
          <w:rFonts w:cs="Century" w:ascii="Century" w:hAnsi="Century"/>
          <w:rtl w:val="true"/>
        </w:rPr>
        <w:t xml:space="preserve">. </w:t>
      </w:r>
      <w:r>
        <w:rPr>
          <w:rFonts w:cs="Century" w:ascii="Century" w:hAnsi="Century"/>
        </w:rPr>
        <w:t>00:06:00</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מתחילה מנוסה של הדוקרים וחבריהם</w:t>
      </w:r>
      <w:r>
        <w:rPr>
          <w:rFonts w:cs="Century" w:ascii="Century" w:hAnsi="Century"/>
          <w:rtl w:val="true"/>
        </w:rPr>
        <w:t xml:space="preserve">, </w:t>
      </w:r>
      <w:r>
        <w:rPr>
          <w:rFonts w:ascii="Century" w:hAnsi="Century" w:cs="Century"/>
          <w:rtl w:val="true"/>
        </w:rPr>
        <w:t xml:space="preserve">הדוקר </w:t>
      </w:r>
      <w:r>
        <w:rPr>
          <w:rFonts w:cs="Century" w:ascii="Century" w:hAnsi="Century"/>
          <w:rtl w:val="true"/>
        </w:rPr>
        <w:t>(</w:t>
      </w:r>
      <w:r>
        <w:rPr>
          <w:rFonts w:ascii="Century" w:hAnsi="Century" w:cs="Century"/>
          <w:rtl w:val="true"/>
        </w:rPr>
        <w:t>גופיה שחורה מכנס ארוך</w:t>
      </w:r>
      <w:r>
        <w:rPr>
          <w:rFonts w:cs="Century" w:ascii="Century" w:hAnsi="Century"/>
          <w:rtl w:val="true"/>
        </w:rPr>
        <w:t xml:space="preserve">) </w:t>
      </w:r>
      <w:r>
        <w:rPr>
          <w:rFonts w:ascii="Century" w:hAnsi="Century" w:cs="Century"/>
          <w:rtl w:val="true"/>
        </w:rPr>
        <w:t>הולך שמאלה כיוון כללי באסטות</w:t>
      </w:r>
      <w:r>
        <w:rPr>
          <w:rFonts w:cs="Century" w:ascii="Century" w:hAnsi="Century"/>
          <w:rtl w:val="true"/>
        </w:rPr>
        <w:t xml:space="preserve">, </w:t>
      </w:r>
      <w:r>
        <w:rPr>
          <w:rFonts w:ascii="Century" w:hAnsi="Century" w:cs="Century"/>
          <w:rtl w:val="true"/>
        </w:rPr>
        <w:t xml:space="preserve">הדוקר השני </w:t>
      </w:r>
      <w:r>
        <w:rPr>
          <w:rFonts w:cs="Century" w:ascii="Century" w:hAnsi="Century"/>
          <w:rtl w:val="true"/>
        </w:rPr>
        <w:t>(</w:t>
      </w:r>
      <w:r>
        <w:rPr>
          <w:rFonts w:ascii="Century" w:hAnsi="Century" w:cs="Century"/>
          <w:rtl w:val="true"/>
        </w:rPr>
        <w:t>גופיה שחורה מכנס ברמודה</w:t>
      </w:r>
      <w:r>
        <w:rPr>
          <w:rFonts w:cs="Century" w:ascii="Century" w:hAnsi="Century"/>
          <w:rtl w:val="true"/>
        </w:rPr>
        <w:t xml:space="preserve">) </w:t>
      </w:r>
      <w:r>
        <w:rPr>
          <w:rFonts w:ascii="Century" w:hAnsi="Century" w:cs="Century"/>
          <w:rtl w:val="true"/>
        </w:rPr>
        <w:t>הולך ימינה לכיוון הגשר</w:t>
      </w:r>
      <w:r>
        <w:rPr>
          <w:rFonts w:cs="Century" w:ascii="Century" w:hAnsi="Century"/>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r>
        <w:rPr>
          <w:rFonts w:ascii="Century" w:hAnsi="Century" w:cs="Century"/>
          <w:rtl w:val="true"/>
        </w:rPr>
        <w:t xml:space="preserve">בית משפט קמא קבע כי עדות זו לא נסתרה ולא הובאה ראיה לסתירתה </w:t>
      </w:r>
      <w:r>
        <w:rPr>
          <w:rFonts w:cs="Century" w:ascii="Century" w:hAnsi="Century"/>
          <w:rtl w:val="true"/>
        </w:rPr>
        <w:t>(</w:t>
      </w:r>
      <w:r>
        <w:rPr>
          <w:rFonts w:ascii="Century" w:hAnsi="Century" w:cs="Century"/>
          <w:rtl w:val="true"/>
        </w:rPr>
        <w:t>ראו עמ</w:t>
      </w:r>
      <w:r>
        <w:rPr>
          <w:rFonts w:cs="Century" w:ascii="Century" w:hAnsi="Century"/>
          <w:rtl w:val="true"/>
        </w:rPr>
        <w:t xml:space="preserve">' </w:t>
      </w:r>
      <w:r>
        <w:rPr>
          <w:rFonts w:cs="Century" w:ascii="Century" w:hAnsi="Century"/>
        </w:rPr>
        <w:t>168</w:t>
      </w:r>
      <w:r>
        <w:rPr>
          <w:rFonts w:cs="Century" w:ascii="Century" w:hAnsi="Century"/>
          <w:rtl w:val="true"/>
        </w:rPr>
        <w:t xml:space="preserve">, </w:t>
      </w:r>
      <w:r>
        <w:rPr>
          <w:rFonts w:ascii="Century" w:hAnsi="Century" w:cs="Century"/>
          <w:rtl w:val="true"/>
        </w:rPr>
        <w:t xml:space="preserve">שורות </w:t>
      </w:r>
      <w:r>
        <w:rPr>
          <w:rFonts w:cs="Century" w:ascii="Century" w:hAnsi="Century"/>
        </w:rPr>
        <w:t>24-15</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Ruller43"/>
        <w:numPr>
          <w:ilvl w:val="0"/>
          <w:numId w:val="1"/>
        </w:numPr>
        <w:ind w:hanging="0" w:start="0" w:end="0"/>
        <w:jc w:val="both"/>
        <w:rPr/>
      </w:pPr>
      <w:r>
        <w:rPr>
          <w:rtl w:val="true"/>
        </w:rPr>
        <w:t xml:space="preserve">מראיות אלה עולה בבירור כי המערער והדוקר הנוסף היו חלק מחבורה אשר התקדמה יחדיו אל עבר המתלונן </w:t>
      </w:r>
      <w:r>
        <w:rPr/>
        <w:t>1</w:t>
      </w:r>
      <w:r>
        <w:rPr>
          <w:rtl w:val="true"/>
        </w:rPr>
        <w:t xml:space="preserve"> </w:t>
      </w:r>
      <w:r>
        <w:rPr>
          <w:rtl w:val="true"/>
        </w:rPr>
        <w:t>וכי הדקירה שבוצעה על</w:t>
      </w:r>
      <w:r>
        <w:rPr>
          <w:rtl w:val="true"/>
        </w:rPr>
        <w:t>-</w:t>
      </w:r>
      <w:r>
        <w:rPr>
          <w:rtl w:val="true"/>
        </w:rPr>
        <w:t>ידי המערער התרחשה במקביל לדקירה שבוצעה על</w:t>
      </w:r>
      <w:r>
        <w:rPr>
          <w:rtl w:val="true"/>
        </w:rPr>
        <w:t>-</w:t>
      </w:r>
      <w:r>
        <w:rPr>
          <w:rtl w:val="true"/>
        </w:rPr>
        <w:t>ידי הדוקר הנוסף</w:t>
      </w:r>
      <w:r>
        <w:rPr>
          <w:rtl w:val="true"/>
        </w:rPr>
        <w:t xml:space="preserve">. </w:t>
      </w:r>
      <w:r>
        <w:rPr>
          <w:rtl w:val="true"/>
        </w:rPr>
        <w:t>הווה אומר</w:t>
      </w:r>
      <w:r>
        <w:rPr>
          <w:rtl w:val="true"/>
        </w:rPr>
        <w:t xml:space="preserve">: </w:t>
      </w:r>
      <w:r>
        <w:rPr>
          <w:rtl w:val="true"/>
        </w:rPr>
        <w:t>המערער והדוקר הנוסף לקחו שניהם חלק פעיל באירוע הדקירות</w:t>
      </w:r>
      <w:r>
        <w:rPr>
          <w:rtl w:val="true"/>
        </w:rPr>
        <w:t xml:space="preserve">, </w:t>
      </w:r>
      <w:r>
        <w:rPr>
          <w:rtl w:val="true"/>
        </w:rPr>
        <w:t>כל אחד מכיוונו שלו</w:t>
      </w:r>
      <w:r>
        <w:rPr>
          <w:rtl w:val="true"/>
        </w:rPr>
        <w:t xml:space="preserve">. </w:t>
      </w:r>
      <w:r>
        <w:rPr>
          <w:rtl w:val="true"/>
        </w:rPr>
        <w:t>לפיכך</w:t>
      </w:r>
      <w:r>
        <w:rPr>
          <w:rtl w:val="true"/>
        </w:rPr>
        <w:t xml:space="preserve">, </w:t>
      </w:r>
      <w:r>
        <w:rPr>
          <w:rtl w:val="true"/>
        </w:rPr>
        <w:t>היסוד העובדתי לביצוע הדקירות בצוותא חדא התקיים</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כך הוא גם לגבי היסוד הנפשי</w:t>
      </w:r>
      <w:r>
        <w:rPr>
          <w:rtl w:val="true"/>
        </w:rPr>
        <w:t xml:space="preserve">. </w:t>
      </w:r>
      <w:r>
        <w:rPr>
          <w:rtl w:val="true"/>
        </w:rPr>
        <w:t>ברי הוא</w:t>
      </w:r>
      <w:r>
        <w:rPr>
          <w:rtl w:val="true"/>
        </w:rPr>
        <w:t xml:space="preserve">, </w:t>
      </w:r>
      <w:r>
        <w:rPr>
          <w:rtl w:val="true"/>
        </w:rPr>
        <w:t xml:space="preserve">כי המערער והדוקר הנוסף פעלו במקביל למען מטרה משותפת </w:t>
      </w:r>
      <w:r>
        <w:rPr>
          <w:rtl w:val="true"/>
        </w:rPr>
        <w:t>–</w:t>
      </w:r>
      <w:r>
        <w:rPr>
          <w:rtl w:val="true"/>
        </w:rPr>
        <w:t xml:space="preserve"> פגיעה אלימה במתלונן </w:t>
      </w:r>
      <w:r>
        <w:rPr/>
        <w:t>1</w:t>
      </w:r>
      <w:r>
        <w:rPr>
          <w:rtl w:val="true"/>
        </w:rPr>
        <w:t xml:space="preserve"> </w:t>
      </w:r>
      <w:r>
        <w:rPr>
          <w:rtl w:val="true"/>
        </w:rPr>
        <w:t>–</w:t>
      </w:r>
      <w:r>
        <w:rPr>
          <w:rtl w:val="true"/>
        </w:rPr>
        <w:t xml:space="preserve"> </w:t>
      </w:r>
      <w:r>
        <w:rPr>
          <w:rtl w:val="true"/>
        </w:rPr>
        <w:t>בעקבות הערתו והתגרה שהתפתחה אחריה</w:t>
      </w:r>
      <w:r>
        <w:rPr>
          <w:rtl w:val="true"/>
        </w:rPr>
        <w:t xml:space="preserve">. </w:t>
      </w:r>
      <w:r>
        <w:rPr>
          <w:rtl w:val="true"/>
        </w:rPr>
        <w:t>ברי הוא גם</w:t>
      </w:r>
      <w:r>
        <w:rPr>
          <w:rtl w:val="true"/>
        </w:rPr>
        <w:t xml:space="preserve">, </w:t>
      </w:r>
      <w:r>
        <w:rPr>
          <w:rtl w:val="true"/>
        </w:rPr>
        <w:t>כי המערער היה מודע למעשיו של הדוקר הנוסף ואילו הדוקר הנוסף היה מודע למעשיו של המערער</w:t>
      </w:r>
      <w:r>
        <w:rPr>
          <w:rtl w:val="true"/>
        </w:rPr>
        <w:t xml:space="preserve">. </w:t>
      </w:r>
      <w:r>
        <w:rPr>
          <w:rtl w:val="true"/>
        </w:rPr>
        <w:t xml:space="preserve">על מעשים כאלה נאמר בעניין </w:t>
      </w:r>
      <w:r>
        <w:rPr>
          <w:rFonts w:cs="Miriam"/>
          <w:szCs w:val="24"/>
          <w:rtl w:val="true"/>
        </w:rPr>
        <w:t>בביזאיב</w:t>
      </w:r>
      <w:r>
        <w:rPr>
          <w:rtl w:val="true"/>
        </w:rPr>
        <w:t xml:space="preserve"> כי</w:t>
      </w:r>
      <w:r>
        <w:rPr>
          <w:rtl w:val="true"/>
        </w:rPr>
        <w:t>:</w:t>
      </w:r>
    </w:p>
    <w:p>
      <w:pPr>
        <w:pStyle w:val="Ruller51"/>
        <w:ind w:end="1282"/>
        <w:jc w:val="both"/>
        <w:rPr/>
      </w:pPr>
      <w:r>
        <w:rPr>
          <w:rtl w:val="true"/>
        </w:rPr>
      </w:r>
    </w:p>
    <w:p>
      <w:pPr>
        <w:pStyle w:val="Ruller51"/>
        <w:ind w:end="1282"/>
        <w:jc w:val="both"/>
        <w:rPr/>
      </w:pPr>
      <w:r>
        <w:rPr>
          <w:rtl w:val="true"/>
        </w:rPr>
        <w:t>"</w:t>
      </w:r>
      <w:r>
        <w:rPr>
          <w:rtl w:val="true"/>
        </w:rPr>
        <w:t>הצטרפות</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חבורה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אפילו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ספונטנית</w:t>
      </w:r>
      <w:r>
        <w:rPr>
          <w:rFonts w:eastAsia="Arial TUR;Arial" w:cs="Arial TUR;Arial"/>
          <w:rtl w:val="true"/>
        </w:rPr>
        <w:t xml:space="preserve"> </w:t>
      </w:r>
      <w:r>
        <w:rPr>
          <w:rtl w:val="true"/>
        </w:rPr>
        <w:t>וללא</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החבורה</w:t>
      </w:r>
      <w:r>
        <w:rPr>
          <w:rFonts w:eastAsia="Arial TUR;Arial" w:cs="Arial TUR;Arial"/>
          <w:rtl w:val="true"/>
        </w:rPr>
        <w:t xml:space="preserve"> </w:t>
      </w:r>
      <w:r>
        <w:rPr>
          <w:rtl w:val="true"/>
        </w:rPr>
        <w:t>נוטל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ואינו</w:t>
      </w:r>
      <w:r>
        <w:rPr>
          <w:rFonts w:eastAsia="Arial TUR;Arial" w:cs="Arial TUR;Arial"/>
          <w:rtl w:val="true"/>
        </w:rPr>
        <w:t xml:space="preserve"> </w:t>
      </w:r>
      <w:r>
        <w:rPr>
          <w:rtl w:val="true"/>
        </w:rPr>
        <w:t>מונע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ההתנהגות</w:t>
      </w:r>
      <w:r>
        <w:rPr>
          <w:rFonts w:eastAsia="Arial TUR;Arial" w:cs="Arial TUR;Arial"/>
          <w:rtl w:val="true"/>
        </w:rPr>
        <w:t xml:space="preserve"> </w:t>
      </w:r>
      <w:r>
        <w:rPr>
          <w:rtl w:val="true"/>
        </w:rPr>
        <w:t>הקבוצתית</w:t>
      </w:r>
      <w:r>
        <w:rPr>
          <w:rtl w:val="true"/>
        </w:rPr>
        <w:t xml:space="preserve">, </w:t>
      </w:r>
      <w:r>
        <w:rPr>
          <w:rtl w:val="true"/>
        </w:rPr>
        <w:t>די</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מצדו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המצטרף</w:t>
      </w:r>
      <w:r>
        <w:rPr>
          <w:rtl w:val="true"/>
        </w:rPr>
        <w:t>" (</w:t>
      </w:r>
      <w:r>
        <w:rPr>
          <w:rtl w:val="true"/>
        </w:rPr>
        <w:t>שם</w:t>
      </w:r>
      <w:r>
        <w:rPr>
          <w:rtl w:val="true"/>
        </w:rPr>
        <w:t xml:space="preserve">, </w:t>
      </w:r>
      <w:r>
        <w:rPr>
          <w:rtl w:val="true"/>
        </w:rPr>
        <w:t>בעמ</w:t>
      </w:r>
      <w:r>
        <w:rPr>
          <w:rtl w:val="true"/>
        </w:rPr>
        <w:t xml:space="preserve">' </w:t>
      </w:r>
      <w:r>
        <w:rPr/>
        <w:t>585-584</w:t>
      </w:r>
      <w:r>
        <w:rPr>
          <w:rtl w:val="true"/>
        </w:rPr>
        <w:t xml:space="preserve">). </w:t>
      </w:r>
    </w:p>
    <w:p>
      <w:pPr>
        <w:pStyle w:val="Ruller43"/>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3"/>
        <w:numPr>
          <w:ilvl w:val="0"/>
          <w:numId w:val="1"/>
        </w:numPr>
        <w:ind w:hanging="0" w:start="0" w:end="0"/>
        <w:jc w:val="both"/>
        <w:rPr/>
      </w:pPr>
      <w:r>
        <w:rPr>
          <w:rtl w:val="true"/>
        </w:rPr>
        <w:t xml:space="preserve">באשר לכוונה מחמירה לגרום חבלה </w:t>
      </w:r>
      <w:r>
        <w:rPr>
          <w:rtl w:val="true"/>
        </w:rPr>
        <w:t>–</w:t>
      </w:r>
      <w:r>
        <w:rPr>
          <w:rtl w:val="true"/>
        </w:rPr>
        <w:t xml:space="preserve"> היסוד הנפשי הדרוש להתהוות העבירה לפי </w:t>
      </w:r>
      <w:r>
        <w:rPr>
          <w:sz w:val="28"/>
          <w:sz w:val="28"/>
          <w:rtl w:val="true"/>
        </w:rPr>
        <w:t xml:space="preserve">סעיף </w:t>
      </w:r>
      <w:hyperlink r:id="rId50">
        <w:r>
          <w:rPr>
            <w:rStyle w:val="Hyperlink"/>
            <w:color w:val="0000FF"/>
            <w:sz w:val="28"/>
            <w:u w:val="single"/>
          </w:rPr>
          <w:t>329</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1</w:t>
        </w:r>
        <w:r>
          <w:rPr>
            <w:rStyle w:val="Hyperlink"/>
            <w:color w:val="0000FF"/>
            <w:sz w:val="28"/>
            <w:u w:val="single"/>
            <w:rtl w:val="true"/>
          </w:rPr>
          <w:t>)</w:t>
        </w:r>
      </w:hyperlink>
      <w:r>
        <w:rPr>
          <w:rtl w:val="true"/>
        </w:rPr>
        <w:t xml:space="preserve"> </w:t>
      </w:r>
      <w:r>
        <w:rPr>
          <w:rtl w:val="true"/>
        </w:rPr>
        <w:t>ל</w:t>
      </w:r>
      <w:hyperlink r:id="rId51">
        <w:r>
          <w:rPr>
            <w:rStyle w:val="Hyperlink"/>
            <w:color w:val="000000"/>
            <w:sz w:val="28"/>
            <w:sz w:val="28"/>
            <w:u w:val="none"/>
            <w:rtl w:val="true"/>
          </w:rPr>
          <w:t>חוק העונשין</w:t>
        </w:r>
      </w:hyperlink>
      <w:r>
        <w:rPr>
          <w:rtl w:val="true"/>
        </w:rPr>
        <w:t xml:space="preserve">, </w:t>
      </w:r>
      <w:r>
        <w:rPr>
          <w:rtl w:val="true"/>
        </w:rPr>
        <w:t xml:space="preserve">בה הורשע המערער </w:t>
      </w:r>
      <w:r>
        <w:rPr>
          <w:rtl w:val="true"/>
        </w:rPr>
        <w:t>–</w:t>
      </w:r>
      <w:r>
        <w:rPr>
          <w:rtl w:val="true"/>
        </w:rPr>
        <w:t xml:space="preserve"> סבורני כי נוכל להסתפק בקביעתו של בית משפט קמא כי האופן שבו דקר המערער את המתלונן </w:t>
      </w:r>
      <w:r>
        <w:rPr/>
        <w:t>1</w:t>
      </w:r>
      <w:r>
        <w:rPr>
          <w:rtl w:val="true"/>
        </w:rPr>
        <w:t xml:space="preserve"> </w:t>
      </w:r>
      <w:r>
        <w:rPr>
          <w:rtl w:val="true"/>
        </w:rPr>
        <w:t>מוכיח את קיומה</w:t>
      </w:r>
      <w:r>
        <w:rPr>
          <w:rtl w:val="true"/>
        </w:rPr>
        <w:t xml:space="preserve">. </w:t>
      </w:r>
      <w:r>
        <w:rPr>
          <w:rtl w:val="true"/>
        </w:rPr>
        <w:t xml:space="preserve">נזכור כי מדובר במספר דקירות באזור הבטן והמותניים </w:t>
      </w:r>
      <w:r>
        <w:rPr>
          <w:rtl w:val="true"/>
        </w:rPr>
        <w:t>(</w:t>
      </w:r>
      <w:r>
        <w:rPr>
          <w:rtl w:val="true"/>
        </w:rPr>
        <w:t>ראו עמ</w:t>
      </w:r>
      <w:r>
        <w:rPr>
          <w:rtl w:val="true"/>
        </w:rPr>
        <w:t xml:space="preserve">' </w:t>
      </w:r>
      <w:r>
        <w:rPr/>
        <w:t>183</w:t>
      </w:r>
      <w:r>
        <w:rPr>
          <w:rtl w:val="true"/>
        </w:rPr>
        <w:t xml:space="preserve">, </w:t>
      </w:r>
      <w:r>
        <w:rPr>
          <w:rtl w:val="true"/>
        </w:rPr>
        <w:t xml:space="preserve">שורות </w:t>
      </w:r>
      <w:r>
        <w:rPr/>
        <w:t>2-1</w:t>
      </w:r>
      <w:r>
        <w:rPr>
          <w:rtl w:val="true"/>
        </w:rPr>
        <w:t xml:space="preserve"> </w:t>
      </w:r>
      <w:r>
        <w:rPr>
          <w:rtl w:val="true"/>
        </w:rPr>
        <w:t>להכרעת הדין</w:t>
      </w:r>
      <w:r>
        <w:rPr>
          <w:rtl w:val="true"/>
        </w:rPr>
        <w:t xml:space="preserve">). </w:t>
      </w:r>
      <w:r>
        <w:rPr>
          <w:rtl w:val="true"/>
        </w:rPr>
        <w:t>לזאת אוסיף</w:t>
      </w:r>
      <w:r>
        <w:rPr>
          <w:rtl w:val="true"/>
        </w:rPr>
        <w:t xml:space="preserve">, </w:t>
      </w:r>
      <w:r>
        <w:rPr>
          <w:rtl w:val="true"/>
        </w:rPr>
        <w:t>כי הדקירה בצווארו של אותו מתלונן</w:t>
      </w:r>
      <w:r>
        <w:rPr>
          <w:rtl w:val="true"/>
        </w:rPr>
        <w:t xml:space="preserve">, </w:t>
      </w:r>
      <w:r>
        <w:rPr>
          <w:rtl w:val="true"/>
        </w:rPr>
        <w:t>אשר בוצעה על ידי שותפו של המערער למעשה התקיפה</w:t>
      </w:r>
      <w:r>
        <w:rPr>
          <w:rtl w:val="true"/>
        </w:rPr>
        <w:t xml:space="preserve">, </w:t>
      </w:r>
      <w:r>
        <w:rPr>
          <w:rtl w:val="true"/>
        </w:rPr>
        <w:t xml:space="preserve">היתה מלווה באותה כוונה מחמירה לגרום חבלה במקום רגיש בגוף הקורבן </w:t>
      </w:r>
      <w:r>
        <w:rPr>
          <w:rtl w:val="true"/>
        </w:rPr>
        <w:t>(</w:t>
      </w:r>
      <w:r>
        <w:rPr>
          <w:rtl w:val="true"/>
        </w:rPr>
        <w:t>ראו</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1554/13</w:t>
        </w:r>
      </w:hyperlink>
      <w:r>
        <w:rPr>
          <w:rtl w:val="true"/>
        </w:rPr>
        <w:t xml:space="preserve"> </w:t>
      </w:r>
      <w:r>
        <w:rPr>
          <w:rFonts w:ascii="Century" w:hAnsi="Century" w:cs="Miriam"/>
          <w:spacing w:val="0"/>
          <w:sz w:val="22"/>
          <w:sz w:val="22"/>
          <w:szCs w:val="24"/>
          <w:rtl w:val="true"/>
        </w:rPr>
        <w:t>פלוני</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נ</w:t>
      </w:r>
      <w:r>
        <w:rPr>
          <w:rFonts w:cs="Miriam" w:ascii="Century" w:hAnsi="Century"/>
          <w:spacing w:val="0"/>
          <w:sz w:val="22"/>
          <w:szCs w:val="24"/>
          <w:rtl w:val="true"/>
        </w:rPr>
        <w:t xml:space="preserve">' </w:t>
      </w:r>
      <w:r>
        <w:rPr>
          <w:rFonts w:ascii="Century" w:hAnsi="Century" w:cs="Miriam"/>
          <w:spacing w:val="0"/>
          <w:sz w:val="22"/>
          <w:sz w:val="22"/>
          <w:szCs w:val="24"/>
          <w:rtl w:val="true"/>
        </w:rPr>
        <w:t>מדינת</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20</w:t>
      </w:r>
      <w:r>
        <w:rPr>
          <w:rtl w:val="true"/>
        </w:rPr>
        <w:t xml:space="preserve"> (</w:t>
      </w:r>
      <w:r>
        <w:rPr/>
        <w:t>19.5</w:t>
      </w:r>
      <w:r>
        <w:rPr/>
        <w:t>.2015</w:t>
      </w:r>
      <w:r>
        <w:rPr>
          <w:rtl w:val="true"/>
        </w:rPr>
        <w:t>)</w:t>
      </w:r>
      <w:r>
        <w:rPr>
          <w:rtl w:val="true"/>
        </w:rPr>
        <w:t xml:space="preserve">; </w:t>
      </w:r>
      <w:r>
        <w:rPr>
          <w:rtl w:val="true"/>
        </w:rPr>
        <w:t xml:space="preserve">וכן </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8266/13</w:t>
        </w:r>
      </w:hyperlink>
      <w:r>
        <w:rPr>
          <w:rtl w:val="true"/>
        </w:rPr>
        <w:t xml:space="preserve"> </w:t>
      </w:r>
      <w:r>
        <w:rPr>
          <w:rFonts w:ascii="Century" w:hAnsi="Century" w:cs="Miriam"/>
          <w:spacing w:val="0"/>
          <w:sz w:val="22"/>
          <w:sz w:val="22"/>
          <w:szCs w:val="24"/>
          <w:rtl w:val="true"/>
        </w:rPr>
        <w:t>לאפי</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נ</w:t>
      </w:r>
      <w:r>
        <w:rPr>
          <w:rFonts w:cs="Miriam" w:ascii="Century" w:hAnsi="Century"/>
          <w:spacing w:val="0"/>
          <w:sz w:val="22"/>
          <w:szCs w:val="24"/>
          <w:rtl w:val="true"/>
        </w:rPr>
        <w:t xml:space="preserve">' </w:t>
      </w:r>
      <w:r>
        <w:rPr>
          <w:rFonts w:ascii="Century" w:hAnsi="Century" w:cs="Miriam"/>
          <w:spacing w:val="0"/>
          <w:sz w:val="22"/>
          <w:sz w:val="22"/>
          <w:szCs w:val="24"/>
          <w:rtl w:val="true"/>
        </w:rPr>
        <w:t>מדינת</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16.2</w:t>
      </w:r>
      <w:r>
        <w:rPr/>
        <w:t>.2015</w:t>
      </w:r>
      <w:r>
        <w:rPr>
          <w:rtl w:val="true"/>
        </w:rPr>
        <w:t>)</w:t>
      </w:r>
      <w:r>
        <w:rPr>
          <w:rtl w:val="true"/>
        </w:rPr>
        <w:t>).</w:t>
      </w:r>
    </w:p>
    <w:p>
      <w:pPr>
        <w:pStyle w:val="Ruller43"/>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טענת</w:t>
      </w:r>
      <w:r>
        <w:rPr>
          <w:rFonts w:ascii="Century" w:hAnsi="Century" w:eastAsia="Century" w:cs="Century"/>
          <w:b/>
          <w:b/>
          <w:spacing w:val="0"/>
          <w:szCs w:val="24"/>
          <w:rtl w:val="true"/>
        </w:rPr>
        <w:t xml:space="preserve"> </w:t>
      </w:r>
      <w:r>
        <w:rPr>
          <w:rFonts w:ascii="Century" w:hAnsi="Century" w:cs="Miriam"/>
          <w:b/>
          <w:b/>
          <w:spacing w:val="0"/>
          <w:szCs w:val="24"/>
          <w:rtl w:val="true"/>
        </w:rPr>
        <w:t>הגנה</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הצדק</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המערער טוען להגנה מן הצדק</w:t>
      </w:r>
      <w:r>
        <w:rPr>
          <w:rtl w:val="true"/>
        </w:rPr>
        <w:t xml:space="preserve">. </w:t>
      </w:r>
      <w:r>
        <w:rPr>
          <w:rtl w:val="true"/>
        </w:rPr>
        <w:t>לטענתו</w:t>
      </w:r>
      <w:r>
        <w:rPr>
          <w:rtl w:val="true"/>
        </w:rPr>
        <w:t xml:space="preserve">, </w:t>
      </w:r>
      <w:r>
        <w:rPr>
          <w:rtl w:val="true"/>
        </w:rPr>
        <w:t>הוא זכאי להגנה זו בשל כך שהמשיבה לא חיפשה אחר הדוקרים הנוספים והעמידה לדין רק אותו</w:t>
      </w:r>
      <w:r>
        <w:rPr>
          <w:rtl w:val="true"/>
        </w:rPr>
        <w:t xml:space="preserve">. </w:t>
      </w:r>
      <w:r>
        <w:rPr>
          <w:rtl w:val="true"/>
        </w:rPr>
        <w:t>לדברי המערער</w:t>
      </w:r>
      <w:r>
        <w:rPr>
          <w:rtl w:val="true"/>
        </w:rPr>
        <w:t xml:space="preserve">, </w:t>
      </w:r>
      <w:r>
        <w:rPr>
          <w:rtl w:val="true"/>
        </w:rPr>
        <w:t xml:space="preserve">הדבר מהווה אכיפת דין בררנית </w:t>
      </w:r>
      <w:r>
        <w:rPr>
          <w:rtl w:val="true"/>
        </w:rPr>
        <w:t>–</w:t>
      </w:r>
      <w:r>
        <w:rPr>
          <w:rtl w:val="true"/>
        </w:rPr>
        <w:t xml:space="preserve"> עוולה שלטונית שבעטיה הוא זכאי לתרופה בדמות ההגנה מן הצדק לפי </w:t>
      </w:r>
      <w:hyperlink r:id="rId54">
        <w:r>
          <w:rPr>
            <w:rStyle w:val="Hyperlink"/>
            <w:color w:val="0000FF"/>
            <w:u w:val="single"/>
            <w:rtl w:val="true"/>
          </w:rPr>
          <w:t>סעיף</w:t>
        </w:r>
        <w:r>
          <w:rPr>
            <w:rStyle w:val="Hyperlink"/>
            <w:color w:val="0000FF"/>
            <w:u w:val="single"/>
            <w:rtl w:val="true"/>
          </w:rPr>
          <w:t xml:space="preserve"> </w:t>
        </w:r>
        <w:r>
          <w:rPr>
            <w:rStyle w:val="Hyperlink"/>
            <w:color w:val="0000FF"/>
            <w:u w:val="single"/>
          </w:rPr>
          <w:t>149</w:t>
        </w:r>
        <w:r>
          <w:rPr>
            <w:rStyle w:val="Hyperlink"/>
            <w:color w:val="0000FF"/>
            <w:u w:val="single"/>
            <w:rtl w:val="true"/>
          </w:rPr>
          <w:t>(</w:t>
        </w:r>
        <w:r>
          <w:rPr>
            <w:rStyle w:val="Hyperlink"/>
            <w:color w:val="0000FF"/>
            <w:u w:val="single"/>
          </w:rPr>
          <w:t>10</w:t>
        </w:r>
        <w:r>
          <w:rPr>
            <w:rStyle w:val="Hyperlink"/>
            <w:color w:val="0000FF"/>
            <w:u w:val="single"/>
            <w:rtl w:val="true"/>
          </w:rPr>
          <w:t>)</w:t>
        </w:r>
      </w:hyperlink>
      <w:r>
        <w:rPr>
          <w:rtl w:val="true"/>
        </w:rPr>
        <w:t xml:space="preserve"> </w:t>
      </w:r>
      <w:r>
        <w:rPr>
          <w:rtl w:val="true"/>
        </w:rPr>
        <w:t>ל</w:t>
      </w:r>
      <w:hyperlink r:id="rId5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טענה זו תלויה על בלימה</w:t>
      </w:r>
      <w:r>
        <w:rPr>
          <w:rtl w:val="true"/>
        </w:rPr>
        <w:t xml:space="preserve">. </w:t>
      </w:r>
      <w:r>
        <w:rPr>
          <w:rtl w:val="true"/>
        </w:rPr>
        <w:t>ב</w:t>
      </w:r>
      <w:hyperlink r:id="rId56">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6396/96</w:t>
        </w:r>
        <w:r>
          <w:rPr>
            <w:rStyle w:val="Hyperlink"/>
            <w:color w:val="0000FF"/>
            <w:u w:val="single"/>
            <w:rtl w:val="true"/>
          </w:rPr>
          <w:t xml:space="preserve"> </w:t>
        </w:r>
        <w:r>
          <w:rPr>
            <w:rStyle w:val="Hyperlink"/>
            <w:color w:val="0000FF"/>
            <w:u w:val="single"/>
            <w:rtl w:val="true"/>
          </w:rPr>
          <w:t>זקין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ראש</w:t>
        </w:r>
        <w:r>
          <w:rPr>
            <w:rStyle w:val="Hyperlink"/>
            <w:color w:val="0000FF"/>
            <w:u w:val="single"/>
            <w:rtl w:val="true"/>
          </w:rPr>
          <w:t>-</w:t>
        </w:r>
        <w:r>
          <w:rPr>
            <w:rStyle w:val="Hyperlink"/>
            <w:color w:val="0000FF"/>
            <w:u w:val="single"/>
            <w:rtl w:val="true"/>
          </w:rPr>
          <w:t>עיריית</w:t>
        </w:r>
        <w:r>
          <w:rPr>
            <w:rStyle w:val="Hyperlink"/>
            <w:color w:val="0000FF"/>
            <w:u w:val="single"/>
            <w:rtl w:val="true"/>
          </w:rPr>
          <w:t xml:space="preserve"> </w:t>
        </w:r>
        <w:r>
          <w:rPr>
            <w:rStyle w:val="Hyperlink"/>
            <w:color w:val="0000FF"/>
            <w:u w:val="single"/>
            <w:rtl w:val="true"/>
          </w:rPr>
          <w:t>באר</w:t>
        </w:r>
        <w:r>
          <w:rPr>
            <w:rStyle w:val="Hyperlink"/>
            <w:color w:val="0000FF"/>
            <w:u w:val="single"/>
            <w:rtl w:val="true"/>
          </w:rPr>
          <w:t>-</w:t>
        </w:r>
        <w:r>
          <w:rPr>
            <w:rStyle w:val="Hyperlink"/>
            <w:color w:val="0000FF"/>
            <w:u w:val="single"/>
            <w:rtl w:val="true"/>
          </w:rPr>
          <w:t>שבע</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נג</w:t>
        </w:r>
      </w:hyperlink>
      <w:r>
        <w:rPr>
          <w:rtl w:val="true"/>
        </w:rPr>
        <w:t>(</w:t>
      </w:r>
      <w:r>
        <w:rPr/>
        <w:t>3</w:t>
      </w:r>
      <w:r>
        <w:rPr>
          <w:rtl w:val="true"/>
        </w:rPr>
        <w:t xml:space="preserve">) </w:t>
      </w:r>
      <w:r>
        <w:rPr/>
        <w:t>289</w:t>
      </w:r>
      <w:r>
        <w:rPr>
          <w:rtl w:val="true"/>
        </w:rPr>
        <w:t xml:space="preserve"> (</w:t>
      </w:r>
      <w:r>
        <w:rPr/>
        <w:t>1999</w:t>
      </w:r>
      <w:r>
        <w:rPr>
          <w:rtl w:val="true"/>
        </w:rPr>
        <w:t>)</w:t>
      </w:r>
      <w:r>
        <w:rPr>
          <w:rtl w:val="true"/>
        </w:rPr>
        <w:t xml:space="preserve">, </w:t>
      </w:r>
      <w:r>
        <w:rPr>
          <w:rtl w:val="true"/>
        </w:rPr>
        <w:t>נאמרו דברים אלו</w:t>
      </w:r>
      <w:r>
        <w:rPr>
          <w:rtl w:val="true"/>
        </w:rPr>
        <w:t xml:space="preserve">, </w:t>
      </w:r>
      <w:r>
        <w:rPr>
          <w:rtl w:val="true"/>
        </w:rPr>
        <w:t>החשובים לענייננו</w:t>
      </w:r>
      <w:r>
        <w:rPr>
          <w:rtl w:val="true"/>
        </w:rPr>
        <w:t>:</w:t>
      </w:r>
    </w:p>
    <w:p>
      <w:pPr>
        <w:pStyle w:val="Ruller42"/>
        <w:ind w:end="0"/>
        <w:jc w:val="both"/>
        <w:rPr/>
      </w:pPr>
      <w:r>
        <w:rPr>
          <w:rtl w:val="true"/>
        </w:rPr>
      </w:r>
    </w:p>
    <w:p>
      <w:pPr>
        <w:pStyle w:val="Ruller51"/>
        <w:ind w:end="1282"/>
        <w:jc w:val="both"/>
        <w:rPr/>
      </w:pPr>
      <w:r>
        <w:rPr>
          <w:rtl w:val="true"/>
        </w:rPr>
        <w:t>"</w:t>
      </w:r>
      <w:r>
        <w:rPr>
          <w:rtl w:val="true"/>
        </w:rPr>
        <w:t>אכיפה</w:t>
      </w:r>
      <w:r>
        <w:rPr>
          <w:rFonts w:eastAsia="Arial TUR;Arial" w:cs="Arial TUR;Arial"/>
          <w:rtl w:val="true"/>
        </w:rPr>
        <w:t xml:space="preserve"> </w:t>
      </w:r>
      <w:r>
        <w:rPr>
          <w:rtl w:val="true"/>
        </w:rPr>
        <w:t>בררנית</w:t>
      </w:r>
      <w:r>
        <w:rPr>
          <w:rFonts w:eastAsia="Arial TUR;Arial" w:cs="Arial TUR;Arial"/>
          <w:rtl w:val="true"/>
        </w:rPr>
        <w:t xml:space="preserve"> </w:t>
      </w:r>
      <w:r>
        <w:rPr>
          <w:rtl w:val="true"/>
        </w:rPr>
        <w:t>(</w:t>
      </w:r>
      <w:r>
        <w:rPr>
          <w:rtl w:val="true"/>
        </w:rPr>
        <w:t>באנגלית</w:t>
      </w:r>
      <w:r>
        <w:rPr>
          <w:rtl w:val="true"/>
        </w:rPr>
        <w:t xml:space="preserve">: </w:t>
      </w:r>
      <w:r>
        <w:rPr>
          <w:rFonts w:cs="Times New Roman;Times New Roman" w:ascii="Times New Roman;Times New Roman" w:hAnsi="Times New Roman;Times New Roman"/>
          <w:sz w:val="24"/>
          <w:szCs w:val="24"/>
        </w:rPr>
        <w:t>selective enforcement</w:t>
      </w:r>
      <w:r>
        <w:rPr>
          <w:rtl w:val="true"/>
        </w:rPr>
        <w:t xml:space="preserve">) </w:t>
      </w:r>
      <w:r>
        <w:rPr>
          <w:rtl w:val="true"/>
        </w:rPr>
        <w:t>אינה</w:t>
      </w:r>
      <w:r>
        <w:rPr>
          <w:rFonts w:eastAsia="Arial TUR;Arial" w:cs="Arial TUR;Arial"/>
          <w:rtl w:val="true"/>
        </w:rPr>
        <w:t xml:space="preserve"> </w:t>
      </w:r>
      <w:r>
        <w:rPr>
          <w:rtl w:val="true"/>
        </w:rPr>
        <w:t>היפוך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מלאה</w:t>
      </w:r>
      <w:r>
        <w:rPr>
          <w:rtl w:val="true"/>
        </w:rPr>
        <w:t xml:space="preserve">. </w:t>
      </w:r>
      <w:r>
        <w:rPr>
          <w:rtl w:val="true"/>
        </w:rPr>
        <w:t>לעתים</w:t>
      </w:r>
      <w:r>
        <w:rPr>
          <w:rFonts w:eastAsia="Arial TUR;Arial" w:cs="Arial TUR;Arial"/>
          <w:rtl w:val="true"/>
        </w:rPr>
        <w:t xml:space="preserve"> </w:t>
      </w:r>
      <w:r>
        <w:rPr>
          <w:rtl w:val="true"/>
        </w:rPr>
        <w:t>קרובות</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מלאה</w:t>
      </w:r>
      <w:r>
        <w:rPr>
          <w:rtl w:val="true"/>
        </w:rPr>
        <w:t xml:space="preserve">, </w:t>
      </w:r>
      <w:r>
        <w:rPr>
          <w:rtl w:val="true"/>
        </w:rPr>
        <w:t>ומבחינה</w:t>
      </w:r>
      <w:r>
        <w:rPr>
          <w:rFonts w:eastAsia="Arial TUR;Arial" w:cs="Arial TUR;Arial"/>
          <w:rtl w:val="true"/>
        </w:rPr>
        <w:t xml:space="preserve"> </w:t>
      </w:r>
      <w:r>
        <w:rPr>
          <w:rtl w:val="true"/>
        </w:rPr>
        <w:t>מעשית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מלאה</w:t>
      </w:r>
      <w:r>
        <w:rPr>
          <w:rtl w:val="true"/>
        </w:rPr>
        <w:t xml:space="preserve">, </w:t>
      </w:r>
      <w:r>
        <w:rPr>
          <w:rtl w:val="true"/>
        </w:rPr>
        <w:t>של</w:t>
      </w:r>
      <w:r>
        <w:rPr>
          <w:rFonts w:eastAsia="Arial TUR;Arial" w:cs="Arial TUR;Arial"/>
          <w:rtl w:val="true"/>
        </w:rPr>
        <w:t xml:space="preserve"> </w:t>
      </w:r>
      <w:r>
        <w:rPr>
          <w:rtl w:val="true"/>
        </w:rPr>
        <w:t>חוק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תקנות</w:t>
      </w:r>
      <w:r>
        <w:rPr>
          <w:rtl w:val="true"/>
        </w:rPr>
        <w:t xml:space="preserve">. </w:t>
      </w:r>
      <w:r>
        <w:rPr>
          <w:rtl w:val="true"/>
        </w:rPr>
        <w:t>אכיפה</w:t>
      </w:r>
      <w:r>
        <w:rPr>
          <w:rFonts w:eastAsia="Arial TUR;Arial" w:cs="Arial TUR;Arial"/>
          <w:rtl w:val="true"/>
        </w:rPr>
        <w:t xml:space="preserve"> </w:t>
      </w:r>
      <w:r>
        <w:rPr>
          <w:rtl w:val="true"/>
        </w:rPr>
        <w:t>חלקית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פסולה</w:t>
      </w:r>
      <w:r>
        <w:rPr>
          <w:rtl w:val="true"/>
        </w:rPr>
        <w:t xml:space="preserve">. [...] </w:t>
      </w:r>
      <w:r>
        <w:rPr>
          <w:rtl w:val="true"/>
        </w:rPr>
        <w:t>אולם</w:t>
      </w:r>
      <w:r>
        <w:rPr>
          <w:rtl w:val="true"/>
        </w:rPr>
        <w:t xml:space="preserve">, </w:t>
      </w:r>
      <w:r>
        <w:rPr>
          <w:rtl w:val="true"/>
        </w:rPr>
        <w:t>אפשר</w:t>
      </w:r>
      <w:r>
        <w:rPr>
          <w:rFonts w:eastAsia="Arial TUR;Arial" w:cs="Arial TUR;Arial"/>
          <w:rtl w:val="true"/>
        </w:rPr>
        <w:t xml:space="preserve"> </w:t>
      </w:r>
      <w:r>
        <w:rPr>
          <w:rtl w:val="true"/>
        </w:rPr>
        <w:t>שאכיפה</w:t>
      </w:r>
      <w:r>
        <w:rPr>
          <w:rFonts w:eastAsia="Arial TUR;Arial" w:cs="Arial TUR;Arial"/>
          <w:rtl w:val="true"/>
        </w:rPr>
        <w:t xml:space="preserve"> </w:t>
      </w:r>
      <w:r>
        <w:rPr>
          <w:rtl w:val="true"/>
        </w:rPr>
        <w:t>חלקית</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בררנית</w:t>
      </w:r>
      <w:r>
        <w:rPr>
          <w:rFonts w:eastAsia="Arial TUR;Arial" w:cs="Arial TUR;Arial"/>
          <w:rtl w:val="true"/>
        </w:rPr>
        <w:t xml:space="preserve"> </w:t>
      </w:r>
      <w:r>
        <w:rPr>
          <w:rtl w:val="true"/>
        </w:rPr>
        <w:t>ובשל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פסולה</w:t>
      </w:r>
      <w:r>
        <w:rPr>
          <w:rtl w:val="true"/>
        </w:rPr>
        <w:t xml:space="preserve">. </w:t>
      </w:r>
      <w:r>
        <w:rPr>
          <w:rtl w:val="true"/>
        </w:rPr>
        <w:t>מהי</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כזאת</w:t>
      </w:r>
      <w:r>
        <w:rPr>
          <w:rtl w:val="true"/>
        </w:rPr>
        <w:t xml:space="preserve">? </w:t>
      </w:r>
      <w:r>
        <w:rPr>
          <w:rtl w:val="true"/>
        </w:rPr>
        <w:t>אפשר</w:t>
      </w:r>
      <w:r>
        <w:rPr>
          <w:rFonts w:eastAsia="Arial TUR;Arial" w:cs="Arial TUR;Arial"/>
          <w:rtl w:val="true"/>
        </w:rPr>
        <w:t xml:space="preserve"> </w:t>
      </w:r>
      <w:r>
        <w:rPr>
          <w:rtl w:val="true"/>
        </w:rPr>
        <w:t>להגדיר</w:t>
      </w:r>
      <w:r>
        <w:rPr>
          <w:rFonts w:eastAsia="Arial TUR;Arial" w:cs="Arial TUR;Arial"/>
          <w:rtl w:val="true"/>
        </w:rPr>
        <w:t xml:space="preserve"> </w:t>
      </w:r>
      <w:r>
        <w:rPr>
          <w:rtl w:val="true"/>
        </w:rPr>
        <w:t>אכיפה</w:t>
      </w:r>
      <w:r>
        <w:rPr>
          <w:rFonts w:eastAsia="Arial TUR;Arial" w:cs="Arial TUR;Arial"/>
          <w:rtl w:val="true"/>
        </w:rPr>
        <w:t xml:space="preserve"> </w:t>
      </w:r>
      <w:r>
        <w:rPr>
          <w:rtl w:val="true"/>
        </w:rPr>
        <w:t>בררנית</w:t>
      </w:r>
      <w:r>
        <w:rPr>
          <w:rFonts w:eastAsia="Arial TUR;Arial" w:cs="Arial TUR;Arial"/>
          <w:rtl w:val="true"/>
        </w:rPr>
        <w:t xml:space="preserve"> </w:t>
      </w:r>
      <w:r>
        <w:rPr>
          <w:rtl w:val="true"/>
        </w:rPr>
        <w:t>בדרכים</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לצרכים</w:t>
      </w:r>
      <w:r>
        <w:rPr>
          <w:rFonts w:eastAsia="Arial TUR;Arial" w:cs="Arial TUR;Arial"/>
          <w:rtl w:val="true"/>
        </w:rPr>
        <w:t xml:space="preserve"> </w:t>
      </w:r>
      <w:r>
        <w:rPr>
          <w:rtl w:val="true"/>
        </w:rPr>
        <w:t>שונים</w:t>
      </w:r>
      <w:r>
        <w:rPr>
          <w:rtl w:val="true"/>
        </w:rPr>
        <w:t xml:space="preserve">. [...] </w:t>
      </w:r>
      <w:r>
        <w:rPr>
          <w:rtl w:val="true"/>
        </w:rPr>
        <w:t>ללא</w:t>
      </w:r>
      <w:r>
        <w:rPr>
          <w:rFonts w:eastAsia="Arial TUR;Arial" w:cs="Arial TUR;Arial"/>
          <w:rtl w:val="true"/>
        </w:rPr>
        <w:t xml:space="preserve"> </w:t>
      </w:r>
      <w:r>
        <w:rPr>
          <w:rtl w:val="true"/>
        </w:rPr>
        <w:t>יומרה</w:t>
      </w:r>
      <w:r>
        <w:rPr>
          <w:rFonts w:eastAsia="Arial TUR;Arial" w:cs="Arial TUR;Arial"/>
          <w:rtl w:val="true"/>
        </w:rPr>
        <w:t xml:space="preserve"> </w:t>
      </w:r>
      <w:r>
        <w:rPr>
          <w:rtl w:val="true"/>
        </w:rPr>
        <w:t>להציע</w:t>
      </w:r>
      <w:r>
        <w:rPr>
          <w:rFonts w:eastAsia="Arial TUR;Arial" w:cs="Arial TUR;Arial"/>
          <w:rtl w:val="true"/>
        </w:rPr>
        <w:t xml:space="preserve"> </w:t>
      </w:r>
      <w:r>
        <w:rPr>
          <w:rtl w:val="true"/>
        </w:rPr>
        <w:t>הגדרה</w:t>
      </w:r>
      <w:r>
        <w:rPr>
          <w:rFonts w:eastAsia="Arial TUR;Arial" w:cs="Arial TUR;Arial"/>
          <w:rtl w:val="true"/>
        </w:rPr>
        <w:t xml:space="preserve"> </w:t>
      </w:r>
      <w:r>
        <w:rPr>
          <w:rtl w:val="true"/>
        </w:rPr>
        <w:t>ממצה</w:t>
      </w:r>
      <w:r>
        <w:rPr>
          <w:rtl w:val="true"/>
        </w:rPr>
        <w:t xml:space="preserve">, </w:t>
      </w:r>
      <w:r>
        <w:rPr>
          <w:rtl w:val="true"/>
        </w:rPr>
        <w:t>אפשר</w:t>
      </w:r>
      <w:r>
        <w:rPr>
          <w:rFonts w:eastAsia="Arial TUR;Arial" w:cs="Arial TUR;Arial"/>
          <w:rtl w:val="true"/>
        </w:rPr>
        <w:t xml:space="preserve"> </w:t>
      </w:r>
      <w:r>
        <w:rPr>
          <w:rtl w:val="true"/>
        </w:rPr>
        <w:t>לומר</w:t>
      </w:r>
      <w:r>
        <w:rPr>
          <w:rtl w:val="true"/>
        </w:rPr>
        <w:t xml:space="preserve">, </w:t>
      </w:r>
      <w:r>
        <w:rPr>
          <w:rtl w:val="true"/>
        </w:rPr>
        <w:t>לצורך</w:t>
      </w:r>
      <w:r>
        <w:rPr>
          <w:rFonts w:eastAsia="Arial TUR;Arial" w:cs="Arial TUR;Arial"/>
          <w:rtl w:val="true"/>
        </w:rPr>
        <w:t xml:space="preserve"> </w:t>
      </w:r>
      <w:r>
        <w:rPr>
          <w:rtl w:val="true"/>
        </w:rPr>
        <w:t>עתירה</w:t>
      </w:r>
      <w:r>
        <w:rPr>
          <w:rFonts w:eastAsia="Arial TUR;Arial" w:cs="Arial TUR;Arial"/>
          <w:rtl w:val="true"/>
        </w:rPr>
        <w:t xml:space="preserve"> </w:t>
      </w:r>
      <w:r>
        <w:rPr>
          <w:rtl w:val="true"/>
        </w:rPr>
        <w:t>זאת</w:t>
      </w:r>
      <w:r>
        <w:rPr>
          <w:rtl w:val="true"/>
        </w:rPr>
        <w:t xml:space="preserve">, </w:t>
      </w:r>
      <w:r>
        <w:rPr>
          <w:rtl w:val="true"/>
        </w:rPr>
        <w:t>כי</w:t>
      </w:r>
      <w:r>
        <w:rPr>
          <w:rFonts w:eastAsia="Arial TUR;Arial" w:cs="Arial TUR;Arial"/>
          <w:rtl w:val="true"/>
        </w:rPr>
        <w:t xml:space="preserve"> </w:t>
      </w:r>
      <w:r>
        <w:rPr>
          <w:rFonts w:ascii="Century" w:hAnsi="Century" w:cs="Miriam"/>
          <w:b/>
          <w:b/>
          <w:spacing w:val="0"/>
          <w:szCs w:val="24"/>
          <w:rtl w:val="true"/>
        </w:rPr>
        <w:t>אכיפה</w:t>
      </w:r>
      <w:r>
        <w:rPr>
          <w:rFonts w:ascii="Century" w:hAnsi="Century" w:eastAsia="Century" w:cs="Century"/>
          <w:b/>
          <w:b/>
          <w:spacing w:val="0"/>
          <w:szCs w:val="24"/>
          <w:rtl w:val="true"/>
        </w:rPr>
        <w:t xml:space="preserve"> </w:t>
      </w:r>
      <w:r>
        <w:rPr>
          <w:rFonts w:ascii="Century" w:hAnsi="Century" w:cs="Miriam"/>
          <w:b/>
          <w:b/>
          <w:spacing w:val="0"/>
          <w:szCs w:val="24"/>
          <w:rtl w:val="true"/>
        </w:rPr>
        <w:t>בררנית</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אכיפה</w:t>
      </w:r>
      <w:r>
        <w:rPr>
          <w:rFonts w:ascii="Century" w:hAnsi="Century" w:eastAsia="Century" w:cs="Century"/>
          <w:b/>
          <w:b/>
          <w:spacing w:val="0"/>
          <w:szCs w:val="24"/>
          <w:rtl w:val="true"/>
        </w:rPr>
        <w:t xml:space="preserve"> </w:t>
      </w:r>
      <w:r>
        <w:rPr>
          <w:rFonts w:ascii="Century" w:hAnsi="Century" w:cs="Miriam"/>
          <w:b/>
          <w:b/>
          <w:spacing w:val="0"/>
          <w:szCs w:val="24"/>
          <w:rtl w:val="true"/>
        </w:rPr>
        <w:t>הפוגעת</w:t>
      </w:r>
      <w:r>
        <w:rPr>
          <w:rFonts w:ascii="Century" w:hAnsi="Century" w:eastAsia="Century" w:cs="Century"/>
          <w:b/>
          <w:b/>
          <w:spacing w:val="0"/>
          <w:szCs w:val="24"/>
          <w:rtl w:val="true"/>
        </w:rPr>
        <w:t xml:space="preserve"> </w:t>
      </w:r>
      <w:r>
        <w:rPr>
          <w:rFonts w:ascii="Century" w:hAnsi="Century" w:cs="Miriam"/>
          <w:b/>
          <w:b/>
          <w:spacing w:val="0"/>
          <w:szCs w:val="24"/>
          <w:rtl w:val="true"/>
        </w:rPr>
        <w:t>בשוויון</w:t>
      </w:r>
      <w:r>
        <w:rPr>
          <w:rFonts w:ascii="Century" w:hAnsi="Century" w:eastAsia="Century" w:cs="Century"/>
          <w:b/>
          <w:b/>
          <w:spacing w:val="0"/>
          <w:szCs w:val="24"/>
          <w:rtl w:val="true"/>
        </w:rPr>
        <w:t xml:space="preserve"> </w:t>
      </w:r>
      <w:r>
        <w:rPr>
          <w:rFonts w:ascii="Century" w:hAnsi="Century" w:cs="Miriam"/>
          <w:b/>
          <w:b/>
          <w:spacing w:val="0"/>
          <w:szCs w:val="24"/>
          <w:rtl w:val="true"/>
        </w:rPr>
        <w:t>במובן</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מבדילה</w:t>
      </w:r>
      <w:r>
        <w:rPr>
          <w:rFonts w:ascii="Century" w:hAnsi="Century" w:eastAsia="Century" w:cs="Century"/>
          <w:b/>
          <w:b/>
          <w:spacing w:val="0"/>
          <w:szCs w:val="24"/>
          <w:rtl w:val="true"/>
        </w:rPr>
        <w:t xml:space="preserve"> </w:t>
      </w:r>
      <w:r>
        <w:rPr>
          <w:rFonts w:ascii="Century" w:hAnsi="Century" w:cs="Miriam"/>
          <w:b/>
          <w:b/>
          <w:spacing w:val="0"/>
          <w:szCs w:val="24"/>
          <w:rtl w:val="true"/>
        </w:rPr>
        <w:t>לצורך</w:t>
      </w:r>
      <w:r>
        <w:rPr>
          <w:rFonts w:ascii="Century" w:hAnsi="Century" w:eastAsia="Century" w:cs="Century"/>
          <w:b/>
          <w:b/>
          <w:spacing w:val="0"/>
          <w:szCs w:val="24"/>
          <w:rtl w:val="true"/>
        </w:rPr>
        <w:t xml:space="preserve"> </w:t>
      </w:r>
      <w:r>
        <w:rPr>
          <w:rFonts w:ascii="Century" w:hAnsi="Century" w:cs="Miriam"/>
          <w:b/>
          <w:b/>
          <w:spacing w:val="0"/>
          <w:szCs w:val="24"/>
          <w:rtl w:val="true"/>
        </w:rPr>
        <w:t>אכיפה</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בני</w:t>
      </w:r>
      <w:r>
        <w:rPr>
          <w:rFonts w:cs="Miriam" w:ascii="Century" w:hAnsi="Century"/>
          <w:b/>
          <w:spacing w:val="0"/>
          <w:szCs w:val="24"/>
          <w:rtl w:val="true"/>
        </w:rPr>
        <w:t>-</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דומים</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מצבים</w:t>
      </w:r>
      <w:r>
        <w:rPr>
          <w:rFonts w:ascii="Century" w:hAnsi="Century" w:eastAsia="Century" w:cs="Century"/>
          <w:b/>
          <w:b/>
          <w:spacing w:val="0"/>
          <w:szCs w:val="24"/>
          <w:rtl w:val="true"/>
        </w:rPr>
        <w:t xml:space="preserve"> </w:t>
      </w:r>
      <w:r>
        <w:rPr>
          <w:rFonts w:ascii="Century" w:hAnsi="Century" w:cs="Miriam"/>
          <w:b/>
          <w:b/>
          <w:spacing w:val="0"/>
          <w:szCs w:val="24"/>
          <w:rtl w:val="true"/>
        </w:rPr>
        <w:t>דומים</w:t>
      </w:r>
      <w:r>
        <w:rPr>
          <w:rFonts w:ascii="Century" w:hAnsi="Century" w:eastAsia="Century" w:cs="Century"/>
          <w:b/>
          <w:b/>
          <w:spacing w:val="0"/>
          <w:szCs w:val="24"/>
          <w:rtl w:val="true"/>
        </w:rPr>
        <w:t xml:space="preserve"> </w:t>
      </w:r>
      <w:r>
        <w:rPr>
          <w:rFonts w:ascii="Century" w:hAnsi="Century" w:cs="Miriam"/>
          <w:b/>
          <w:b/>
          <w:spacing w:val="0"/>
          <w:szCs w:val="24"/>
          <w:rtl w:val="true"/>
        </w:rPr>
        <w:t>לשם</w:t>
      </w:r>
      <w:r>
        <w:rPr>
          <w:rFonts w:ascii="Century" w:hAnsi="Century" w:eastAsia="Century" w:cs="Century"/>
          <w:b/>
          <w:b/>
          <w:spacing w:val="0"/>
          <w:szCs w:val="24"/>
          <w:rtl w:val="true"/>
        </w:rPr>
        <w:t xml:space="preserve"> </w:t>
      </w:r>
      <w:r>
        <w:rPr>
          <w:rFonts w:ascii="Century" w:hAnsi="Century" w:cs="Miriam"/>
          <w:b/>
          <w:b/>
          <w:spacing w:val="0"/>
          <w:szCs w:val="24"/>
          <w:rtl w:val="true"/>
        </w:rPr>
        <w:t>השגת</w:t>
      </w:r>
      <w:r>
        <w:rPr>
          <w:rFonts w:ascii="Century" w:hAnsi="Century" w:eastAsia="Century" w:cs="Century"/>
          <w:b/>
          <w:b/>
          <w:spacing w:val="0"/>
          <w:szCs w:val="24"/>
          <w:rtl w:val="true"/>
        </w:rPr>
        <w:t xml:space="preserve"> </w:t>
      </w:r>
      <w:r>
        <w:rPr>
          <w:rFonts w:ascii="Century" w:hAnsi="Century" w:cs="Miriam"/>
          <w:b/>
          <w:b/>
          <w:spacing w:val="0"/>
          <w:szCs w:val="24"/>
          <w:rtl w:val="true"/>
        </w:rPr>
        <w:t>מטרה</w:t>
      </w:r>
      <w:r>
        <w:rPr>
          <w:rFonts w:ascii="Century" w:hAnsi="Century" w:eastAsia="Century" w:cs="Century"/>
          <w:b/>
          <w:b/>
          <w:spacing w:val="0"/>
          <w:szCs w:val="24"/>
          <w:rtl w:val="true"/>
        </w:rPr>
        <w:t xml:space="preserve"> </w:t>
      </w:r>
      <w:r>
        <w:rPr>
          <w:rFonts w:ascii="Century" w:hAnsi="Century" w:cs="Miriam"/>
          <w:b/>
          <w:b/>
          <w:spacing w:val="0"/>
          <w:szCs w:val="24"/>
          <w:rtl w:val="true"/>
        </w:rPr>
        <w:t>פסולה</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יסוד</w:t>
      </w:r>
      <w:r>
        <w:rPr>
          <w:rFonts w:ascii="Century" w:hAnsi="Century" w:eastAsia="Century" w:cs="Century"/>
          <w:b/>
          <w:b/>
          <w:spacing w:val="0"/>
          <w:szCs w:val="24"/>
          <w:rtl w:val="true"/>
        </w:rPr>
        <w:t xml:space="preserve"> </w:t>
      </w:r>
      <w:r>
        <w:rPr>
          <w:rFonts w:ascii="Century" w:hAnsi="Century" w:cs="Miriam"/>
          <w:b/>
          <w:b/>
          <w:spacing w:val="0"/>
          <w:szCs w:val="24"/>
          <w:rtl w:val="true"/>
        </w:rPr>
        <w:t>שיקול</w:t>
      </w:r>
      <w:r>
        <w:rPr>
          <w:rFonts w:ascii="Century" w:hAnsi="Century" w:eastAsia="Century" w:cs="Century"/>
          <w:b/>
          <w:b/>
          <w:spacing w:val="0"/>
          <w:szCs w:val="24"/>
          <w:rtl w:val="true"/>
        </w:rPr>
        <w:t xml:space="preserve"> </w:t>
      </w:r>
      <w:r>
        <w:rPr>
          <w:rFonts w:ascii="Century" w:hAnsi="Century" w:cs="Miriam"/>
          <w:b/>
          <w:b/>
          <w:spacing w:val="0"/>
          <w:szCs w:val="24"/>
          <w:rtl w:val="true"/>
        </w:rPr>
        <w:t>זר</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מתוך</w:t>
      </w:r>
      <w:r>
        <w:rPr>
          <w:rFonts w:ascii="Century" w:hAnsi="Century" w:eastAsia="Century" w:cs="Century"/>
          <w:b/>
          <w:b/>
          <w:spacing w:val="0"/>
          <w:szCs w:val="24"/>
          <w:rtl w:val="true"/>
        </w:rPr>
        <w:t xml:space="preserve"> </w:t>
      </w:r>
      <w:r>
        <w:rPr>
          <w:rFonts w:ascii="Century" w:hAnsi="Century" w:cs="Miriam"/>
          <w:b/>
          <w:b/>
          <w:spacing w:val="0"/>
          <w:szCs w:val="24"/>
          <w:rtl w:val="true"/>
        </w:rPr>
        <w:t>שרירות</w:t>
      </w:r>
      <w:r>
        <w:rPr>
          <w:rFonts w:ascii="Century" w:hAnsi="Century" w:eastAsia="Century" w:cs="Century"/>
          <w:b/>
          <w:b/>
          <w:spacing w:val="0"/>
          <w:szCs w:val="24"/>
          <w:rtl w:val="true"/>
        </w:rPr>
        <w:t xml:space="preserve"> </w:t>
      </w:r>
      <w:r>
        <w:rPr>
          <w:rFonts w:ascii="Century" w:hAnsi="Century" w:cs="Miriam"/>
          <w:b/>
          <w:b/>
          <w:spacing w:val="0"/>
          <w:szCs w:val="24"/>
          <w:rtl w:val="true"/>
        </w:rPr>
        <w:t>גרידא</w:t>
      </w:r>
      <w:r>
        <w:rPr>
          <w:rtl w:val="true"/>
        </w:rPr>
        <w:t xml:space="preserve">. </w:t>
      </w:r>
      <w:r>
        <w:rPr>
          <w:rtl w:val="true"/>
        </w:rPr>
        <w:t>דוגמה</w:t>
      </w:r>
      <w:r>
        <w:rPr>
          <w:rFonts w:eastAsia="Arial TUR;Arial" w:cs="Arial TUR;Arial"/>
          <w:rtl w:val="true"/>
        </w:rPr>
        <w:t xml:space="preserve"> </w:t>
      </w:r>
      <w:r>
        <w:rPr>
          <w:rtl w:val="true"/>
        </w:rPr>
        <w:t>מובהקת</w:t>
      </w:r>
      <w:r>
        <w:rPr>
          <w:rFonts w:eastAsia="Arial TUR;Arial" w:cs="Arial TUR;Arial"/>
          <w:rtl w:val="true"/>
        </w:rPr>
        <w:t xml:space="preserve"> </w:t>
      </w:r>
      <w:r>
        <w:rPr>
          <w:rtl w:val="true"/>
        </w:rPr>
        <w:t>לאכיפה</w:t>
      </w:r>
      <w:r>
        <w:rPr>
          <w:rFonts w:eastAsia="Arial TUR;Arial" w:cs="Arial TUR;Arial"/>
          <w:rtl w:val="true"/>
        </w:rPr>
        <w:t xml:space="preserve"> </w:t>
      </w:r>
      <w:r>
        <w:rPr>
          <w:rtl w:val="true"/>
        </w:rPr>
        <w:t>בררנית</w:t>
      </w:r>
      <w:r>
        <w:rPr>
          <w:rFonts w:eastAsia="Arial TUR;Arial" w:cs="Arial TUR;Arial"/>
          <w:rtl w:val="true"/>
        </w:rPr>
        <w:t xml:space="preserve"> </w:t>
      </w:r>
      <w:r>
        <w:rPr>
          <w:rtl w:val="true"/>
        </w:rPr>
        <w:t>היא</w:t>
      </w:r>
      <w:r>
        <w:rPr>
          <w:rtl w:val="true"/>
        </w:rPr>
        <w:t xml:space="preserve">, </w:t>
      </w:r>
      <w:r>
        <w:rPr>
          <w:rtl w:val="true"/>
        </w:rPr>
        <w:t>בדרך</w:t>
      </w:r>
      <w:r>
        <w:rPr>
          <w:vertAlign w:val="superscript"/>
          <w:rtl w:val="true"/>
        </w:rPr>
        <w:t>-</w:t>
      </w:r>
      <w:r>
        <w:rPr>
          <w:rtl w:val="true"/>
        </w:rPr>
        <w:t>כלל</w:t>
      </w:r>
      <w:r>
        <w:rPr>
          <w:rtl w:val="true"/>
        </w:rPr>
        <w:t xml:space="preserve">, </w:t>
      </w:r>
      <w:r>
        <w:rPr>
          <w:rtl w:val="true"/>
        </w:rPr>
        <w:t>החלטה</w:t>
      </w:r>
      <w:r>
        <w:rPr>
          <w:rFonts w:eastAsia="Arial TUR;Arial" w:cs="Arial TUR;Arial"/>
          <w:rtl w:val="true"/>
        </w:rPr>
        <w:t xml:space="preserve"> </w:t>
      </w:r>
      <w:r>
        <w:rPr>
          <w:rtl w:val="true"/>
        </w:rPr>
        <w:t>לאכוף</w:t>
      </w:r>
      <w:r>
        <w:rPr>
          <w:rFonts w:eastAsia="Arial TUR;Arial" w:cs="Arial TUR;Arial"/>
          <w:rtl w:val="true"/>
        </w:rPr>
        <w:t xml:space="preserve"> </w:t>
      </w:r>
      <w:r>
        <w:rPr>
          <w:rtl w:val="true"/>
        </w:rPr>
        <w:t>חוק</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פלוני</w:t>
      </w:r>
      <w:r>
        <w:rPr>
          <w:rtl w:val="true"/>
        </w:rPr>
        <w:t xml:space="preserve">, </w:t>
      </w:r>
      <w:r>
        <w:rPr>
          <w:rtl w:val="true"/>
        </w:rPr>
        <w:t>ולא</w:t>
      </w:r>
      <w:r>
        <w:rPr>
          <w:rFonts w:eastAsia="Arial TUR;Arial" w:cs="Arial TUR;Arial"/>
          <w:rtl w:val="true"/>
        </w:rPr>
        <w:t xml:space="preserve"> </w:t>
      </w:r>
      <w:r>
        <w:rPr>
          <w:rtl w:val="true"/>
        </w:rPr>
        <w:t>לאכוף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פלמוני</w:t>
      </w:r>
      <w:r>
        <w:rPr>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שיקולים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דת</w:t>
      </w:r>
      <w:r>
        <w:rPr>
          <w:rtl w:val="true"/>
        </w:rPr>
        <w:t xml:space="preserve">, </w:t>
      </w:r>
      <w:r>
        <w:rPr>
          <w:rtl w:val="true"/>
        </w:rPr>
        <w:t>לאום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מין</w:t>
      </w:r>
      <w:r>
        <w:rPr>
          <w:rtl w:val="true"/>
        </w:rPr>
        <w:t xml:space="preserve">, </w:t>
      </w:r>
      <w:r>
        <w:rPr>
          <w:rtl w:val="true"/>
        </w:rPr>
        <w:t>או</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יחס</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עוינות</w:t>
      </w:r>
      <w:r>
        <w:rPr>
          <w:rFonts w:eastAsia="Arial TUR;Arial" w:cs="Arial TUR;Arial"/>
          <w:rtl w:val="true"/>
        </w:rPr>
        <w:t xml:space="preserve"> </w:t>
      </w:r>
      <w:r>
        <w:rPr>
          <w:rtl w:val="true"/>
        </w:rPr>
        <w:t>אישית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יריבות</w:t>
      </w:r>
      <w:r>
        <w:rPr>
          <w:rFonts w:eastAsia="Arial TUR;Arial" w:cs="Arial TUR;Arial"/>
          <w:rtl w:val="true"/>
        </w:rPr>
        <w:t xml:space="preserve"> </w:t>
      </w:r>
      <w:r>
        <w:rPr>
          <w:rtl w:val="true"/>
        </w:rPr>
        <w:t>פוליטית</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פלוני</w:t>
      </w:r>
      <w:r>
        <w:rPr>
          <w:rtl w:val="true"/>
        </w:rPr>
        <w:t>. [...]" (</w:t>
      </w:r>
      <w:r>
        <w:rPr>
          <w:rtl w:val="true"/>
        </w:rPr>
        <w:t>שם</w:t>
      </w:r>
      <w:r>
        <w:rPr>
          <w:rtl w:val="true"/>
        </w:rPr>
        <w:t xml:space="preserve">, </w:t>
      </w:r>
      <w:r>
        <w:rPr>
          <w:rtl w:val="true"/>
        </w:rPr>
        <w:t>פסקה</w:t>
      </w:r>
      <w:r>
        <w:rPr>
          <w:rFonts w:eastAsia="Arial TUR;Arial" w:cs="Arial TUR;Arial"/>
          <w:rtl w:val="true"/>
        </w:rPr>
        <w:t xml:space="preserve"> </w:t>
      </w:r>
      <w:r>
        <w:rPr/>
        <w:t>16</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זמיר</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בנסיבות העניין לא ניתן לטעון</w:t>
      </w:r>
      <w:r>
        <w:rPr>
          <w:rtl w:val="true"/>
        </w:rPr>
        <w:t xml:space="preserve">, </w:t>
      </w:r>
      <w:r>
        <w:rPr>
          <w:rtl w:val="true"/>
        </w:rPr>
        <w:t>וממילא לא נטען</w:t>
      </w:r>
      <w:r>
        <w:rPr>
          <w:rtl w:val="true"/>
        </w:rPr>
        <w:t xml:space="preserve">, </w:t>
      </w:r>
      <w:r>
        <w:rPr>
          <w:rtl w:val="true"/>
        </w:rPr>
        <w:t>כי השיקול שמאחורי החלטת המשיבה להעמיד לדין את המערער</w:t>
      </w:r>
      <w:r>
        <w:rPr>
          <w:rtl w:val="true"/>
        </w:rPr>
        <w:t xml:space="preserve">, </w:t>
      </w:r>
      <w:r>
        <w:rPr>
          <w:rtl w:val="true"/>
        </w:rPr>
        <w:t>ולא את האנשים הנוספים שהשתתפו באירוע</w:t>
      </w:r>
      <w:r>
        <w:rPr>
          <w:rtl w:val="true"/>
        </w:rPr>
        <w:t xml:space="preserve">, </w:t>
      </w:r>
      <w:r>
        <w:rPr>
          <w:rtl w:val="true"/>
        </w:rPr>
        <w:t>היה שיקול זר</w:t>
      </w:r>
      <w:r>
        <w:rPr>
          <w:rtl w:val="true"/>
        </w:rPr>
        <w:t xml:space="preserve">, </w:t>
      </w:r>
      <w:r>
        <w:rPr>
          <w:rtl w:val="true"/>
        </w:rPr>
        <w:t>שרירותי או מפלה</w:t>
      </w:r>
      <w:r>
        <w:rPr>
          <w:rtl w:val="true"/>
        </w:rPr>
        <w:t xml:space="preserve">. </w:t>
      </w:r>
      <w:r>
        <w:rPr>
          <w:rtl w:val="true"/>
        </w:rPr>
        <w:t xml:space="preserve">נעלה מכל ספק הוא שהמשיבה עשתה כל שלאל ידה כדי למצוא את אלו שדקרו את המתלונן </w:t>
      </w:r>
      <w:r>
        <w:rPr/>
        <w:t>1</w:t>
      </w:r>
      <w:r>
        <w:rPr>
          <w:rtl w:val="true"/>
        </w:rPr>
        <w:t xml:space="preserve"> </w:t>
      </w:r>
      <w:r>
        <w:rPr>
          <w:rtl w:val="true"/>
        </w:rPr>
        <w:t>ולמצות עמם את הדין</w:t>
      </w:r>
      <w:r>
        <w:rPr>
          <w:rtl w:val="true"/>
        </w:rPr>
        <w:t xml:space="preserve">. </w:t>
      </w:r>
      <w:r>
        <w:rPr>
          <w:rtl w:val="true"/>
        </w:rPr>
        <w:t xml:space="preserve">ברי הוא גם כי למערער היה חלק ארי באירוע הדקירה שגרם למתלונן </w:t>
      </w:r>
      <w:r>
        <w:rPr/>
        <w:t>1</w:t>
      </w:r>
      <w:r>
        <w:rPr>
          <w:rtl w:val="true"/>
        </w:rPr>
        <w:t xml:space="preserve"> </w:t>
      </w:r>
      <w:r>
        <w:rPr>
          <w:rtl w:val="true"/>
        </w:rPr>
        <w:t>חבלה קשה</w:t>
      </w:r>
      <w:r>
        <w:rPr>
          <w:rtl w:val="true"/>
        </w:rPr>
        <w:t xml:space="preserve">. </w:t>
      </w:r>
      <w:r>
        <w:rPr>
          <w:rtl w:val="true"/>
        </w:rPr>
        <w:t>החלטת המשיבה להעמיד לדין רק אותו לא נפגמה אפוא בשום פגם ואיני רואה כל סיבה למתוח עליה ביקורת בנסיבות המקרה דכאן</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rFonts w:ascii="Century" w:hAnsi="Century" w:cs="Century"/>
        </w:rPr>
      </w:pPr>
      <w:r>
        <w:rPr>
          <w:rFonts w:ascii="Century" w:hAnsi="Century" w:cs="Century"/>
          <w:rtl w:val="true"/>
        </w:rPr>
        <w:t xml:space="preserve">לא מצאתי שום עילה להתערב בגזר דינו של בית משפט קמא אשר השית על המערער עונש מידתי ומאוזן </w:t>
      </w:r>
      <w:r>
        <w:rPr>
          <w:rtl w:val="true"/>
        </w:rPr>
        <w:t>(</w:t>
      </w:r>
      <w:r>
        <w:rPr>
          <w:rtl w:val="true"/>
        </w:rPr>
        <w:t xml:space="preserve">ראו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5944/13</w:t>
        </w:r>
      </w:hyperlink>
      <w:r>
        <w:rPr>
          <w:rtl w:val="true"/>
        </w:rPr>
        <w:t xml:space="preserve"> </w:t>
      </w:r>
      <w:r>
        <w:rPr>
          <w:rFonts w:cs="Miriam"/>
          <w:b/>
          <w:b/>
          <w:spacing w:val="0"/>
          <w:szCs w:val="24"/>
          <w:rtl w:val="true"/>
        </w:rPr>
        <w:t>סלמאן</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cs="Century" w:ascii="Century" w:hAnsi="Century"/>
          <w:sz w:val="22"/>
          <w:rtl w:val="true"/>
        </w:rPr>
        <w:t>,</w:t>
      </w:r>
      <w:r>
        <w:rPr>
          <w:rFonts w:cs="Miriam"/>
          <w:b/>
          <w:spacing w:val="0"/>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11</w:t>
      </w:r>
      <w:r>
        <w:rPr>
          <w:rtl w:val="true"/>
        </w:rPr>
        <w:t xml:space="preserve"> (</w:t>
      </w:r>
      <w:r>
        <w:rPr/>
        <w:t>18.2.2014</w:t>
      </w:r>
      <w:r>
        <w:rPr>
          <w:rtl w:val="true"/>
        </w:rPr>
        <w:t xml:space="preserve">); </w:t>
      </w:r>
      <w:hyperlink r:id="rId5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322/16</w:t>
        </w:r>
        <w:r>
          <w:rPr>
            <w:rStyle w:val="Hyperlink"/>
            <w:rtl w:val="true"/>
          </w:rPr>
          <w:t xml:space="preserve"> </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5</w:t>
      </w:r>
      <w:r>
        <w:rPr>
          <w:rtl w:val="true"/>
        </w:rPr>
        <w:t xml:space="preserve"> (</w:t>
      </w:r>
      <w:r>
        <w:rPr/>
        <w:t>9.10.2016</w:t>
      </w:r>
      <w:r>
        <w:rPr>
          <w:rtl w:val="true"/>
        </w:rPr>
        <w:t xml:space="preserve">); </w:t>
      </w:r>
      <w:hyperlink r:id="rId59">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3091/08</w:t>
        </w:r>
      </w:hyperlink>
      <w:r>
        <w:rPr>
          <w:rtl w:val="true"/>
        </w:rPr>
        <w:t xml:space="preserve"> </w:t>
      </w:r>
      <w:r>
        <w:rPr>
          <w:rFonts w:cs="Miriam"/>
          <w:b/>
          <w:b/>
          <w:spacing w:val="0"/>
          <w:szCs w:val="24"/>
          <w:rtl w:val="true"/>
        </w:rPr>
        <w:t>טרייגר</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cs="Century" w:ascii="Century" w:hAnsi="Century"/>
          <w:sz w:val="22"/>
          <w:rtl w:val="true"/>
        </w:rPr>
        <w:t>,</w:t>
      </w:r>
      <w:r>
        <w:rPr>
          <w:rFonts w:cs="Miriam"/>
          <w:b/>
          <w:spacing w:val="0"/>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11</w:t>
      </w:r>
      <w:r>
        <w:rPr>
          <w:rtl w:val="true"/>
        </w:rPr>
        <w:t xml:space="preserve"> (</w:t>
      </w:r>
      <w:r>
        <w:rPr/>
        <w:t>29.1.2009</w:t>
      </w:r>
      <w:r>
        <w:rPr>
          <w:rtl w:val="true"/>
        </w:rPr>
        <w:t xml:space="preserve">); </w:t>
      </w:r>
      <w:r>
        <w:rPr>
          <w:rtl w:val="true"/>
        </w:rPr>
        <w:t xml:space="preserve">וכן </w:t>
      </w:r>
      <w:hyperlink r:id="rId60">
        <w:r>
          <w:rPr>
            <w:rStyle w:val="Hyperlink"/>
            <w:rFonts w:ascii="Times New Roman;Times New Roman" w:hAnsi="Times New Roman;Times New Roman" w:cs="Times New Roman;Times New Roman"/>
            <w:color w:val="0000FF"/>
            <w:sz w:val="22"/>
            <w:sz w:val="22"/>
            <w:u w:val="single"/>
            <w:rtl w:val="true"/>
          </w:rPr>
          <w:t>ע</w:t>
        </w:r>
        <w:r>
          <w:rPr>
            <w:rStyle w:val="Hyperlink"/>
            <w:rFonts w:cs="Times New Roman;Times New Roman" w:ascii="Times New Roman;Times New Roman" w:hAnsi="Times New Roman;Times New Roman"/>
            <w:color w:val="0000FF"/>
            <w:sz w:val="22"/>
            <w:u w:val="single"/>
            <w:rtl w:val="true"/>
          </w:rPr>
          <w:t>"</w:t>
        </w:r>
        <w:r>
          <w:rPr>
            <w:rStyle w:val="Hyperlink"/>
            <w:rFonts w:ascii="Times New Roman;Times New Roman" w:hAnsi="Times New Roman;Times New Roman" w:cs="Times New Roman;Times New Roman"/>
            <w:color w:val="0000FF"/>
            <w:sz w:val="22"/>
            <w:sz w:val="22"/>
            <w:u w:val="single"/>
            <w:rtl w:val="true"/>
          </w:rPr>
          <w:t xml:space="preserve">פ </w:t>
        </w:r>
        <w:r>
          <w:rPr>
            <w:rStyle w:val="Hyperlink"/>
            <w:rFonts w:cs="Times New Roman;Times New Roman" w:ascii="Times New Roman;Times New Roman" w:hAnsi="Times New Roman;Times New Roman"/>
            <w:color w:val="0000FF"/>
            <w:sz w:val="22"/>
            <w:u w:val="single"/>
          </w:rPr>
          <w:t>707/14</w:t>
        </w:r>
      </w:hyperlink>
      <w:r>
        <w:rPr>
          <w:rtl w:val="true"/>
        </w:rPr>
        <w:t xml:space="preserve"> </w:t>
      </w:r>
      <w:r>
        <w:rPr>
          <w:rFonts w:ascii="Times New Roman;Times New Roman" w:hAnsi="Times New Roman;Times New Roman" w:cs="Miriam"/>
          <w:spacing w:val="0"/>
          <w:sz w:val="28"/>
          <w:sz w:val="28"/>
          <w:szCs w:val="24"/>
          <w:rtl w:val="true"/>
        </w:rPr>
        <w:t>פלוני</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נ</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מדינת</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15</w:t>
      </w:r>
      <w:r>
        <w:rPr>
          <w:rtl w:val="true"/>
        </w:rPr>
        <w:t xml:space="preserve"> (</w:t>
      </w:r>
      <w:r>
        <w:rPr/>
        <w:t>6.7.2015</w:t>
      </w:r>
      <w:r>
        <w:rPr>
          <w:rtl w:val="true"/>
        </w:rPr>
        <w:t xml:space="preserve">)). </w:t>
      </w:r>
      <w:r>
        <w:rPr>
          <w:rtl w:val="true"/>
        </w:rPr>
        <w:t>המערער נמצא אשם ב</w:t>
      </w:r>
      <w:r>
        <w:rPr>
          <w:rFonts w:ascii="Century" w:hAnsi="Century" w:cs="Century"/>
          <w:rtl w:val="true"/>
        </w:rPr>
        <w:t>עבירות אלימות חמורות</w:t>
      </w:r>
      <w:r>
        <w:rPr>
          <w:rFonts w:cs="Century" w:ascii="Century" w:hAnsi="Century"/>
          <w:rtl w:val="true"/>
        </w:rPr>
        <w:t xml:space="preserve">. </w:t>
      </w:r>
      <w:r>
        <w:rPr>
          <w:rFonts w:ascii="Century" w:hAnsi="Century" w:cs="Century"/>
          <w:rtl w:val="true"/>
        </w:rPr>
        <w:t>נסיבות ביצוען כוללות שימוש מסוכן וזדוני בסכין</w:t>
      </w:r>
      <w:r>
        <w:rPr>
          <w:rFonts w:cs="Century" w:ascii="Century" w:hAnsi="Century"/>
          <w:rtl w:val="true"/>
        </w:rPr>
        <w:t xml:space="preserve">. </w:t>
      </w:r>
      <w:r>
        <w:rPr>
          <w:rFonts w:ascii="Century" w:hAnsi="Century" w:cs="Century"/>
          <w:rtl w:val="true"/>
        </w:rPr>
        <w:t xml:space="preserve">מעשי המערער גרמו למתלונן </w:t>
      </w:r>
      <w:r>
        <w:rPr>
          <w:rFonts w:cs="Century" w:ascii="Century" w:hAnsi="Century"/>
        </w:rPr>
        <w:t>1</w:t>
      </w:r>
      <w:r>
        <w:rPr>
          <w:rFonts w:cs="Century" w:ascii="Century" w:hAnsi="Century"/>
          <w:rtl w:val="true"/>
        </w:rPr>
        <w:t xml:space="preserve"> </w:t>
      </w:r>
      <w:r>
        <w:rPr>
          <w:rFonts w:ascii="Century" w:hAnsi="Century" w:cs="Century"/>
          <w:rtl w:val="true"/>
        </w:rPr>
        <w:t>חבלה חמורה שהצריכה אשפוז</w:t>
      </w:r>
      <w:r>
        <w:rPr>
          <w:rFonts w:cs="Century" w:ascii="Century" w:hAnsi="Century"/>
          <w:rtl w:val="true"/>
        </w:rPr>
        <w:t xml:space="preserve">, </w:t>
      </w:r>
      <w:r>
        <w:rPr>
          <w:rFonts w:ascii="Century" w:hAnsi="Century" w:cs="Century"/>
          <w:rtl w:val="true"/>
        </w:rPr>
        <w:t>ניתוחים והחלמה כואבת וממושכת</w:t>
      </w:r>
      <w:r>
        <w:rPr>
          <w:rFonts w:cs="Century" w:ascii="Century" w:hAnsi="Century"/>
          <w:rtl w:val="true"/>
        </w:rPr>
        <w:t xml:space="preserve">. </w:t>
      </w:r>
      <w:r>
        <w:rPr>
          <w:rFonts w:ascii="Century" w:hAnsi="Century" w:cs="Century"/>
          <w:rtl w:val="true"/>
        </w:rPr>
        <w:t>לצד נזקים אלו</w:t>
      </w:r>
      <w:r>
        <w:rPr>
          <w:rFonts w:cs="Century" w:ascii="Century" w:hAnsi="Century"/>
          <w:rtl w:val="true"/>
        </w:rPr>
        <w:t xml:space="preserve">, </w:t>
      </w:r>
      <w:r>
        <w:rPr>
          <w:rFonts w:ascii="Century" w:hAnsi="Century" w:cs="Century"/>
          <w:rtl w:val="true"/>
        </w:rPr>
        <w:t xml:space="preserve">אחראי המערער לסבל נפשי שגרם למתלונן </w:t>
      </w:r>
      <w:r>
        <w:rPr>
          <w:rFonts w:cs="Century" w:ascii="Century" w:hAnsi="Century"/>
        </w:rPr>
        <w:t>1</w:t>
      </w:r>
      <w:r>
        <w:rPr>
          <w:rFonts w:cs="Century" w:ascii="Century" w:hAnsi="Century"/>
          <w:rtl w:val="true"/>
        </w:rPr>
        <w:t xml:space="preserve"> </w:t>
      </w:r>
      <w:r>
        <w:rPr>
          <w:rFonts w:ascii="Century" w:hAnsi="Century" w:cs="Century"/>
          <w:rtl w:val="true"/>
        </w:rPr>
        <w:t>ולמשפחתו</w:t>
      </w:r>
      <w:r>
        <w:rPr>
          <w:rFonts w:cs="Century" w:ascii="Century" w:hAnsi="Century"/>
          <w:rtl w:val="true"/>
        </w:rPr>
        <w:t xml:space="preserve">. </w:t>
      </w:r>
      <w:r>
        <w:rPr>
          <w:rFonts w:ascii="Century" w:hAnsi="Century" w:cs="Century"/>
          <w:rtl w:val="true"/>
        </w:rPr>
        <w:t>עברו הפלילי של המערער כולל שוד מזויין</w:t>
      </w:r>
      <w:r>
        <w:rPr>
          <w:rFonts w:cs="Century" w:ascii="Century" w:hAnsi="Century"/>
          <w:rtl w:val="true"/>
        </w:rPr>
        <w:t xml:space="preserve">, </w:t>
      </w:r>
      <w:r>
        <w:rPr>
          <w:rFonts w:ascii="Century" w:hAnsi="Century" w:cs="Century"/>
          <w:rtl w:val="true"/>
        </w:rPr>
        <w:t>פריצה לבניין והחזקת סכין</w:t>
      </w:r>
      <w:r>
        <w:rPr>
          <w:rFonts w:cs="Century" w:ascii="Century" w:hAnsi="Century"/>
          <w:rtl w:val="true"/>
        </w:rPr>
        <w:t xml:space="preserve">. </w:t>
      </w:r>
      <w:r>
        <w:rPr>
          <w:rFonts w:ascii="Century" w:hAnsi="Century" w:cs="Century"/>
          <w:rtl w:val="true"/>
        </w:rPr>
        <w:t>הדבר מצביע על דפוסי התנהגות אלימים וחסרי רסן שהמערער אימץ לעצמו ועל הסכנה לחברה ולפרט הנשקפת ממנו</w:t>
      </w:r>
      <w:r>
        <w:rPr>
          <w:rFonts w:cs="Century" w:ascii="Century" w:hAnsi="Century"/>
          <w:rtl w:val="true"/>
        </w:rPr>
        <w:t xml:space="preserve">. </w:t>
      </w:r>
      <w:r>
        <w:rPr>
          <w:rFonts w:ascii="Century" w:hAnsi="Century" w:cs="Century"/>
          <w:rtl w:val="true"/>
        </w:rPr>
        <w:t>המערער בהחלט ראוי לעונש שהושת עליו</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Ruller43"/>
        <w:numPr>
          <w:ilvl w:val="0"/>
          <w:numId w:val="1"/>
        </w:numPr>
        <w:ind w:hanging="0" w:start="0" w:end="0"/>
        <w:jc w:val="both"/>
        <w:rPr/>
      </w:pPr>
      <w:r>
        <w:rPr>
          <w:rtl w:val="true"/>
        </w:rPr>
        <w:t>הנני מציע אפוא לחבריי כי נדחה ערעור זה על כל חלקיו ונשאיר את פסק הדין של בית משפט קמא על כנו</w:t>
      </w:r>
      <w:r>
        <w:rPr>
          <w:rtl w:val="true"/>
        </w:rPr>
        <w:t>.</w:t>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2"/>
        <w:ind w:end="0"/>
        <w:jc w:val="both"/>
        <w:rPr/>
      </w:pPr>
      <w:r>
        <w:rPr>
          <w:rtl w:val="true"/>
        </w:rPr>
      </w:r>
    </w:p>
    <w:p>
      <w:pPr>
        <w:pStyle w:val="Ruller42"/>
        <w:ind w:end="0"/>
        <w:jc w:val="both"/>
        <w:rPr/>
      </w:pPr>
      <w:r>
        <w:rPr>
          <w:rFonts w:ascii="Century" w:hAnsi="Century" w:cs="Miriam"/>
          <w:b/>
          <w:b/>
          <w:spacing w:val="0"/>
          <w:szCs w:val="24"/>
          <w:u w:val="single"/>
          <w:rtl w:val="true"/>
        </w:rPr>
        <w:t>המשנה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לנשיא</w:t>
      </w:r>
      <w:r>
        <w:rPr>
          <w:rFonts w:ascii="Century" w:hAnsi="Century" w:cs="Miriam"/>
          <w:b/>
          <w:b/>
          <w:spacing w:val="0"/>
          <w:szCs w:val="24"/>
          <w:u w:val="single"/>
          <w:rtl w:val="true"/>
        </w:rPr>
        <w:t>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w:t>
      </w:r>
      <w:r>
        <w:rPr>
          <w:rFonts w:cs="Miriam" w:ascii="Century" w:hAnsi="Century"/>
          <w:b/>
          <w:spacing w:val="0"/>
          <w:szCs w:val="24"/>
          <w:u w:val="single"/>
          <w:rtl w:val="true"/>
        </w:rPr>
        <w:t xml:space="preserve">' </w:t>
      </w:r>
      <w:r>
        <w:rPr>
          <w:rFonts w:ascii="Century" w:hAnsi="Century" w:cs="Miriam"/>
          <w:b/>
          <w:b/>
          <w:spacing w:val="0"/>
          <w:szCs w:val="24"/>
          <w:u w:val="single"/>
          <w:rtl w:val="true"/>
        </w:rPr>
        <w:t>מלצר</w:t>
      </w:r>
      <w:r>
        <w:rPr>
          <w:rtl w:val="true"/>
        </w:rPr>
        <w:t>:</w:t>
      </w:r>
    </w:p>
    <w:p>
      <w:pPr>
        <w:pStyle w:val="Ruller42"/>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המשנה</w:t>
            </w:r>
            <w:r>
              <w:rPr>
                <w:rFonts w:eastAsia="Arial TUR;Arial" w:cs="Arial TUR;Arial"/>
                <w:rtl w:val="true"/>
              </w:rPr>
              <w:t xml:space="preserve"> </w:t>
            </w:r>
            <w:r>
              <w:rPr>
                <w:rtl w:val="true"/>
              </w:rPr>
              <w:t>לנשיאה</w:t>
            </w:r>
          </w:p>
        </w:tc>
      </w:tr>
    </w:tbl>
    <w:p>
      <w:pPr>
        <w:pStyle w:val="Ruller42"/>
        <w:ind w:end="0"/>
        <w:jc w:val="both"/>
        <w:rPr/>
      </w:pPr>
      <w:r>
        <w:rPr>
          <w:rtl w:val="true"/>
        </w:rPr>
      </w:r>
    </w:p>
    <w:p>
      <w:pPr>
        <w:pStyle w:val="Ruller42"/>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הנדל</w:t>
      </w:r>
      <w:r>
        <w:rPr>
          <w:rtl w:val="true"/>
        </w:rPr>
        <w:t>:</w:t>
      </w:r>
    </w:p>
    <w:p>
      <w:pPr>
        <w:pStyle w:val="Ruller42"/>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2"/>
        <w:ind w:end="0"/>
        <w:jc w:val="both"/>
        <w:rPr/>
      </w:pPr>
      <w:r>
        <w:rPr>
          <w:rtl w:val="true"/>
        </w:rPr>
      </w:r>
    </w:p>
    <w:p>
      <w:pPr>
        <w:pStyle w:val="Ruller42"/>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2"/>
        <w:ind w:end="0"/>
        <w:jc w:val="both"/>
        <w:rPr/>
      </w:pPr>
      <w:r>
        <w:rPr>
          <w:rtl w:val="true"/>
        </w:rPr>
      </w:r>
    </w:p>
    <w:p>
      <w:pPr>
        <w:pStyle w:val="Ruller42"/>
        <w:ind w:end="0"/>
        <w:jc w:val="both"/>
        <w:rPr/>
      </w:pPr>
      <w:bookmarkStart w:id="25"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ז</w:t>
      </w:r>
      <w:r>
        <w:rPr>
          <w:rtl w:val="true"/>
        </w:rPr>
        <w:t xml:space="preserve">' </w:t>
      </w:r>
      <w:r>
        <w:rPr>
          <w:rtl w:val="true"/>
        </w:rPr>
        <w:t>בסיון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10.6.2019</w:t>
      </w:r>
      <w:r>
        <w:rPr>
          <w:rtl w:val="true"/>
        </w:rPr>
        <w:t xml:space="preserve">). </w:t>
      </w:r>
      <w:bookmarkEnd w:id="25"/>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2"/>
              <w:ind w:end="0"/>
              <w:jc w:val="both"/>
              <w:rPr/>
            </w:pPr>
            <w:r>
              <w:rPr>
                <w:color w:val="FFFFFF"/>
                <w:sz w:val="2"/>
                <w:szCs w:val="2"/>
              </w:rPr>
              <w:t>54678313</w:t>
            </w:r>
            <w:r>
              <w:rPr>
                <w:rtl w:val="true"/>
              </w:rPr>
              <w:t>המשנה</w:t>
            </w:r>
            <w:r>
              <w:rPr>
                <w:rFonts w:eastAsia="Arial TUR;Arial" w:cs="Arial TUR;Arial"/>
                <w:rtl w:val="true"/>
              </w:rPr>
              <w:t xml:space="preserve"> </w:t>
            </w:r>
            <w:r>
              <w:rPr>
                <w:rtl w:val="true"/>
              </w:rPr>
              <w:t>לנשיאה</w:t>
            </w:r>
          </w:p>
        </w:tc>
        <w:tc>
          <w:tcPr>
            <w:tcW w:w="278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3" w:type="dxa"/>
            <w:tcBorders/>
          </w:tcPr>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2"/>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17009540</w:t>
      </w:r>
      <w:r>
        <w:rPr>
          <w:sz w:val="16"/>
          <w:rtl w:val="true"/>
        </w:rPr>
        <w:t>_</w:t>
      </w:r>
      <w:r>
        <w:rPr>
          <w:sz w:val="16"/>
        </w:rPr>
        <w:t>F07.docx</w:t>
      </w:r>
      <w:r>
        <w:rPr>
          <w:sz w:val="16"/>
          <w:rtl w:val="true"/>
        </w:rPr>
        <w:t xml:space="preserve">   </w:t>
      </w:r>
      <w:r>
        <w:rPr>
          <w:sz w:val="16"/>
          <w:sz w:val="16"/>
          <w:rtl w:val="true"/>
        </w:rPr>
        <w:t>עב</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61">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הנדל </w:t>
      </w:r>
      <w:r>
        <w:rPr>
          <w:rFonts w:cs="David;Times New Roman" w:ascii="David;Times New Roman" w:hAnsi="David;Times New Roman"/>
          <w:color w:val="000000"/>
          <w:szCs w:val="22"/>
        </w:rPr>
        <w:t>54678313-954/17</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2">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3"/>
      <w:footerReference w:type="default" r:id="rId6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FrankRuehl">
    <w:altName w:val="Times New Roman"/>
    <w:charset w:val="00" w:characterSet="windows-1252"/>
    <w:family w:val="swiss"/>
    <w:pitch w:val="variable"/>
  </w:font>
  <w:font w:name="Century">
    <w:charset w:val="00" w:characterSet="windows-1252"/>
    <w:family w:val="roman"/>
    <w:pitch w:val="variable"/>
  </w:font>
  <w:font w:name="Calibri">
    <w:charset w:val="00" w:characterSet="windows-1252"/>
    <w:family w:val="swiss"/>
    <w:pitch w:val="variable"/>
  </w:font>
  <w:font w:name="TT11Eo00">
    <w:altName w:val="Arial"/>
    <w:charset w:val="b1" w:characterSet="windows-1255"/>
    <w:family w:val="auto"/>
    <w:pitch w:val="default"/>
  </w:font>
  <w:font w:name="David">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22</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lang w:val="en-IL" w:eastAsia="en-IL"/>
      </w:rPr>
    </w:pPr>
    <w:r>
      <w:rPr>
        <w:rFonts w:cs="FrankRuehl;Times New Roman" w:ascii="FrankRuehl;Times New Roman" w:hAnsi="FrankRuehl;Times New Roman"/>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954/17</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עבד אלחכים אבו עראר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color w:val="000000"/>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color w:val="000000"/>
      <w:lang w:val="en-US"/>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Times New Roman"/>
      <w:spacing w:val="10"/>
      <w:sz w:val="22"/>
      <w:szCs w:val="28"/>
    </w:rPr>
  </w:style>
  <w:style w:type="character" w:styleId="Ruller41">
    <w:name w:val="Ruller 4 ממוספר תו"/>
    <w:qFormat/>
    <w:rPr>
      <w:rFonts w:ascii="Garamond" w:hAnsi="Garamond" w:cs="FrankRuehl;Times New Roman"/>
      <w:spacing w:val="10"/>
      <w:sz w:val="24"/>
      <w:szCs w:val="28"/>
    </w:rPr>
  </w:style>
  <w:style w:type="character" w:styleId="default">
    <w:name w:val="default"/>
    <w:qFormat/>
    <w:rPr/>
  </w:style>
  <w:style w:type="character" w:styleId="Ruller5">
    <w:name w:val="Ruller5 תו"/>
    <w:qFormat/>
    <w:rPr>
      <w:rFonts w:ascii="Arial TUR;Arial" w:hAnsi="Arial TUR;Arial" w:cs="FrankRuehl;Times New Roman"/>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imes New Roman"/>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Arial" w:hAnsi="Arial TUR;Arial" w:cs="FrankRuehl;Times New Roman"/>
      <w:spacing w:val="10"/>
      <w:sz w:val="22"/>
      <w:szCs w:val="28"/>
    </w:rPr>
  </w:style>
  <w:style w:type="paragraph" w:styleId="Ruller51">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2"/>
    <w:next w:val="Ruller42"/>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imes New Roman"/>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1"/>
      </w:numPr>
    </w:pPr>
    <w:rPr>
      <w:rFonts w:ascii="Garamond" w:hAnsi="Garamond" w:cs="Garamond"/>
      <w:sz w:val="24"/>
    </w:rPr>
  </w:style>
  <w:style w:type="paragraph" w:styleId="Ruller44">
    <w:name w:val="Ruller4 אלפביתי"/>
    <w:basedOn w:val="Ruller42"/>
    <w:next w:val="Ruller42"/>
    <w:qFormat/>
    <w:pPr>
      <w:numPr>
        <w:ilvl w:val="0"/>
        <w:numId w:val="2"/>
      </w:numPr>
    </w:pPr>
    <w:rPr/>
  </w:style>
  <w:style w:type="paragraph" w:styleId="a">
    <w:name w:val="a"/>
    <w:basedOn w:val="Normal"/>
    <w:qFormat/>
    <w:pPr>
      <w:overflowPunct w:val="true"/>
      <w:autoSpaceDE w:val="true"/>
      <w:bidi w:val="0"/>
      <w:spacing w:before="280" w:after="280"/>
      <w:textAlignment w:val="auto"/>
    </w:pPr>
    <w:rPr>
      <w:rFonts w:cs="Times New Roman;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640512"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186.a" TargetMode="External"/><Relationship Id="rId6" Type="http://schemas.openxmlformats.org/officeDocument/2006/relationships/hyperlink" Target="http://www.nevo.co.il/law/70301/329.a.1" TargetMode="External"/><Relationship Id="rId7" Type="http://schemas.openxmlformats.org/officeDocument/2006/relationships/hyperlink" Target="http://www.nevo.co.il/law/70301/329.a.2" TargetMode="External"/><Relationship Id="rId8" Type="http://schemas.openxmlformats.org/officeDocument/2006/relationships/hyperlink" Target="http://www.nevo.co.il/law/74903" TargetMode="External"/><Relationship Id="rId9" Type="http://schemas.openxmlformats.org/officeDocument/2006/relationships/hyperlink" Target="http://www.nevo.co.il/law/74903/149.10" TargetMode="External"/><Relationship Id="rId10" Type="http://schemas.openxmlformats.org/officeDocument/2006/relationships/hyperlink" Target="http://www.nevo.co.il/safrut/bookgroup/412" TargetMode="External"/><Relationship Id="rId11" Type="http://schemas.openxmlformats.org/officeDocument/2006/relationships/hyperlink" Target="http://www.nevo.co.il/safrut/bookgroup/412" TargetMode="External"/><Relationship Id="rId12" Type="http://schemas.openxmlformats.org/officeDocument/2006/relationships/hyperlink" Target="http://www.nevo.co.il/safrut/book/28746" TargetMode="External"/><Relationship Id="rId13" Type="http://schemas.openxmlformats.org/officeDocument/2006/relationships/hyperlink" Target="http://www.nevo.co.il/safrut/book/28746" TargetMode="External"/><Relationship Id="rId14" Type="http://schemas.openxmlformats.org/officeDocument/2006/relationships/hyperlink" Target="http://www.nevo.co.il/case/20640512" TargetMode="External"/><Relationship Id="rId15" Type="http://schemas.openxmlformats.org/officeDocument/2006/relationships/hyperlink" Target="http://www.nevo.co.il/law/70301/329.a.1" TargetMode="External"/><Relationship Id="rId16" Type="http://schemas.openxmlformats.org/officeDocument/2006/relationships/hyperlink" Target="http://www.nevo.co.il/law/70301/329.a.2" TargetMode="External"/><Relationship Id="rId17" Type="http://schemas.openxmlformats.org/officeDocument/2006/relationships/hyperlink" Target="" TargetMode="External"/><Relationship Id="rId18" Type="http://schemas.openxmlformats.org/officeDocument/2006/relationships/hyperlink" Target="http://www.nevo.co.il/law/70301/186.a" TargetMode="External"/><Relationship Id="rId19" Type="http://schemas.openxmlformats.org/officeDocument/2006/relationships/hyperlink" Target="http://www.nevo.co.il/case/18753203" TargetMode="External"/><Relationship Id="rId20" Type="http://schemas.openxmlformats.org/officeDocument/2006/relationships/hyperlink" Target="http://www.nevo.co.il/case/5571929" TargetMode="External"/><Relationship Id="rId21" Type="http://schemas.openxmlformats.org/officeDocument/2006/relationships/hyperlink" Target="http://www.nevo.co.il/case/17914229" TargetMode="External"/><Relationship Id="rId22" Type="http://schemas.openxmlformats.org/officeDocument/2006/relationships/hyperlink" Target="http://www.nevo.co.il/case/17947209" TargetMode="External"/><Relationship Id="rId23" Type="http://schemas.openxmlformats.org/officeDocument/2006/relationships/hyperlink" Target="http://www.nevo.co.il/case/5573130" TargetMode="External"/><Relationship Id="rId24" Type="http://schemas.openxmlformats.org/officeDocument/2006/relationships/hyperlink" Target="http://www.nevo.co.il/case/5739234" TargetMode="External"/><Relationship Id="rId25" Type="http://schemas.openxmlformats.org/officeDocument/2006/relationships/hyperlink" Target="http://www.nevo.co.il/case/6151033" TargetMode="External"/><Relationship Id="rId26" Type="http://schemas.openxmlformats.org/officeDocument/2006/relationships/hyperlink" Target="http://www.nevo.co.il/case/17942669" TargetMode="External"/><Relationship Id="rId27" Type="http://schemas.openxmlformats.org/officeDocument/2006/relationships/hyperlink" Target="http://www.nevo.co.il/case/6237133" TargetMode="External"/><Relationship Id="rId28" Type="http://schemas.openxmlformats.org/officeDocument/2006/relationships/hyperlink" Target="http://www.nevo.co.il/case/17913797" TargetMode="External"/><Relationship Id="rId29" Type="http://schemas.openxmlformats.org/officeDocument/2006/relationships/hyperlink" Target="http://www.nevo.co.il/law/70301/29" TargetMode="External"/><Relationship Id="rId30" Type="http://schemas.openxmlformats.org/officeDocument/2006/relationships/hyperlink" Target="http://www.nevo.co.il/law/70301" TargetMode="External"/><Relationship Id="rId31" Type="http://schemas.openxmlformats.org/officeDocument/2006/relationships/hyperlink" Target="http://www.nevo.co.il/case/5918237" TargetMode="External"/><Relationship Id="rId32" Type="http://schemas.openxmlformats.org/officeDocument/2006/relationships/hyperlink" Target="http://www.nevo.co.il/safrut/bookgroup/412" TargetMode="External"/><Relationship Id="rId33" Type="http://schemas.openxmlformats.org/officeDocument/2006/relationships/hyperlink" Target="http://www.nevo.co.il/case/5971278" TargetMode="External"/><Relationship Id="rId34" Type="http://schemas.openxmlformats.org/officeDocument/2006/relationships/hyperlink" Target="http://www.nevo.co.il/case/17923103" TargetMode="External"/><Relationship Id="rId35" Type="http://schemas.openxmlformats.org/officeDocument/2006/relationships/hyperlink" Target="http://www.nevo.co.il/case/6209178" TargetMode="External"/><Relationship Id="rId36" Type="http://schemas.openxmlformats.org/officeDocument/2006/relationships/hyperlink" Target="http://www.nevo.co.il/case/5989067" TargetMode="External"/><Relationship Id="rId37" Type="http://schemas.openxmlformats.org/officeDocument/2006/relationships/hyperlink" Target="http://www.nevo.co.il/case/5863566" TargetMode="External"/><Relationship Id="rId38" Type="http://schemas.openxmlformats.org/officeDocument/2006/relationships/hyperlink" Target="http://www.nevo.co.il/case/5750612" TargetMode="External"/><Relationship Id="rId39" Type="http://schemas.openxmlformats.org/officeDocument/2006/relationships/hyperlink" Target="http://www.nevo.co.il/case/5760076" TargetMode="External"/><Relationship Id="rId40" Type="http://schemas.openxmlformats.org/officeDocument/2006/relationships/hyperlink" Target="http://www.nevo.co.il/case/22079573" TargetMode="External"/><Relationship Id="rId41" Type="http://schemas.openxmlformats.org/officeDocument/2006/relationships/hyperlink" Target="http://www.nevo.co.il/case/5693684" TargetMode="External"/><Relationship Id="rId42" Type="http://schemas.openxmlformats.org/officeDocument/2006/relationships/hyperlink" Target="http://www.nevo.co.il/case/5983942" TargetMode="External"/><Relationship Id="rId43" Type="http://schemas.openxmlformats.org/officeDocument/2006/relationships/hyperlink" Target="http://www.nevo.co.il/safrut/book/28746" TargetMode="External"/><Relationship Id="rId44" Type="http://schemas.openxmlformats.org/officeDocument/2006/relationships/hyperlink" Target="http://www.nevo.co.il/case/5821139" TargetMode="External"/><Relationship Id="rId45" Type="http://schemas.openxmlformats.org/officeDocument/2006/relationships/hyperlink" Target="http://www.nevo.co.il/case/5688667" TargetMode="External"/><Relationship Id="rId46" Type="http://schemas.openxmlformats.org/officeDocument/2006/relationships/hyperlink" Target="http://www.nevo.co.il/case/5696849" TargetMode="External"/><Relationship Id="rId47" Type="http://schemas.openxmlformats.org/officeDocument/2006/relationships/hyperlink" Target="http://www.nevo.co.il/case/17920943" TargetMode="External"/><Relationship Id="rId48" Type="http://schemas.openxmlformats.org/officeDocument/2006/relationships/hyperlink" Target="http://www.nevo.co.il/case/17922379" TargetMode="External"/><Relationship Id="rId49" Type="http://schemas.openxmlformats.org/officeDocument/2006/relationships/hyperlink" Target="http://www.nevo.co.il/case/5727190" TargetMode="External"/><Relationship Id="rId50" Type="http://schemas.openxmlformats.org/officeDocument/2006/relationships/hyperlink" Target="http://www.nevo.co.il/law/70301/329.a.1" TargetMode="External"/><Relationship Id="rId51" Type="http://schemas.openxmlformats.org/officeDocument/2006/relationships/hyperlink" Target="" TargetMode="External"/><Relationship Id="rId52" Type="http://schemas.openxmlformats.org/officeDocument/2006/relationships/hyperlink" Target="http://www.nevo.co.il/case/20000750" TargetMode="External"/><Relationship Id="rId53" Type="http://schemas.openxmlformats.org/officeDocument/2006/relationships/hyperlink" Target="http://www.nevo.co.il/case/10502277" TargetMode="External"/><Relationship Id="rId54" Type="http://schemas.openxmlformats.org/officeDocument/2006/relationships/hyperlink" Target="http://www.nevo.co.il/law/74903/149.10" TargetMode="External"/><Relationship Id="rId55" Type="http://schemas.openxmlformats.org/officeDocument/2006/relationships/hyperlink" Target="http://www.nevo.co.il/law/74903" TargetMode="External"/><Relationship Id="rId56" Type="http://schemas.openxmlformats.org/officeDocument/2006/relationships/hyperlink" Target="http://www.nevo.co.il/case/6063901" TargetMode="External"/><Relationship Id="rId57" Type="http://schemas.openxmlformats.org/officeDocument/2006/relationships/hyperlink" Target="http://www.nevo.co.il/case/7980152" TargetMode="External"/><Relationship Id="rId58" Type="http://schemas.openxmlformats.org/officeDocument/2006/relationships/hyperlink" Target="http://www.nevo.co.il/case/21477237" TargetMode="External"/><Relationship Id="rId59" Type="http://schemas.openxmlformats.org/officeDocument/2006/relationships/hyperlink" Target="http://www.nevo.co.il/case/5875466" TargetMode="External"/><Relationship Id="rId60" Type="http://schemas.openxmlformats.org/officeDocument/2006/relationships/hyperlink" Target="http://www.nevo.co.il/case/18718560" TargetMode="External"/><Relationship Id="rId61" Type="http://schemas.openxmlformats.org/officeDocument/2006/relationships/hyperlink" Target="http://supreme.court.gov.il/" TargetMode="External"/><Relationship Id="rId62" Type="http://schemas.openxmlformats.org/officeDocument/2006/relationships/hyperlink" Target="http://www.nevo.co.il/advertisements/nevo-100.doc"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2019-06-11T08:14:00Z</dcterms:created>
  <dc:creator>h4</dc:creator>
  <dc:description/>
  <cp:keywords/>
  <dc:language>en-IL</dc:language>
  <cp:lastModifiedBy>orly</cp:lastModifiedBy>
  <cp:lastPrinted>2019-06-10T11:48:00Z</cp:lastPrinted>
  <dcterms:modified xsi:type="dcterms:W3CDTF">2019-06-11T08:14:00Z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עבד אלחכים אבו עראר</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412</vt:lpwstr>
  </property>
  <property fmtid="{D5CDD505-2E9C-101B-9397-08002B2CF9AE}" pid="9" name="BOOKLISTTMP1">
    <vt:lpwstr>28746</vt:lpwstr>
  </property>
  <property fmtid="{D5CDD505-2E9C-101B-9397-08002B2CF9AE}" pid="10" name="CASESLISTTMP1">
    <vt:lpwstr>20640512:2;18753203;5571929;17914229;17947209;5573130;5739234;6151033;17942669;6237133;17913797;5918237;5971278;17923103;6209178;5989067;5863566;5750612;5760076;22079573;5693684;5983942;5821139;5688667;5696849;17920943;17922379;5727190;20000750;10502277</vt:lpwstr>
  </property>
  <property fmtid="{D5CDD505-2E9C-101B-9397-08002B2CF9AE}" pid="11" name="CASESLISTTMP2">
    <vt:lpwstr>6063901;7980152;21477237;5875466;18718560</vt:lpwstr>
  </property>
  <property fmtid="{D5CDD505-2E9C-101B-9397-08002B2CF9AE}" pid="12" name="CITY">
    <vt:lpwstr/>
  </property>
  <property fmtid="{D5CDD505-2E9C-101B-9397-08002B2CF9AE}" pid="13" name="DATE">
    <vt:lpwstr>20190610</vt:lpwstr>
  </property>
  <property fmtid="{D5CDD505-2E9C-101B-9397-08002B2CF9AE}" pid="14" name="DELEMATA">
    <vt:lpwstr/>
  </property>
  <property fmtid="{D5CDD505-2E9C-101B-9397-08002B2CF9AE}" pid="15" name="ISABSTRACT">
    <vt:lpwstr>Y</vt:lpwstr>
  </property>
  <property fmtid="{D5CDD505-2E9C-101B-9397-08002B2CF9AE}" pid="16" name="JUDGE">
    <vt:lpwstr>נ' הנדל;א' שטיין;ח' מלצר</vt:lpwstr>
  </property>
  <property fmtid="{D5CDD505-2E9C-101B-9397-08002B2CF9AE}" pid="17" name="LAWLISTTMP1">
    <vt:lpwstr>70301/329.a.1:2;329.a.2;186.a;029</vt:lpwstr>
  </property>
  <property fmtid="{D5CDD505-2E9C-101B-9397-08002B2CF9AE}" pid="18" name="LAWLISTTMP2">
    <vt:lpwstr>74903/149.10</vt:lpwstr>
  </property>
  <property fmtid="{D5CDD505-2E9C-101B-9397-08002B2CF9AE}" pid="19" name="LAWYER">
    <vt:lpwstr>רוני זלושינסקי;מוסטפא נסאר</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METAKZER">
    <vt:lpwstr>פאני</vt:lpwstr>
  </property>
  <property fmtid="{D5CDD505-2E9C-101B-9397-08002B2CF9AE}" pid="26" name="NEWPARTA">
    <vt:lpwstr/>
  </property>
  <property fmtid="{D5CDD505-2E9C-101B-9397-08002B2CF9AE}" pid="27" name="NEWPARTB">
    <vt:lpwstr/>
  </property>
  <property fmtid="{D5CDD505-2E9C-101B-9397-08002B2CF9AE}" pid="28" name="NEWPARTC">
    <vt:lpwstr/>
  </property>
  <property fmtid="{D5CDD505-2E9C-101B-9397-08002B2CF9AE}" pid="29" name="NEWPROC">
    <vt:lpwstr/>
  </property>
  <property fmtid="{D5CDD505-2E9C-101B-9397-08002B2CF9AE}" pid="30" name="NOSE11">
    <vt:lpwstr>עונשין</vt:lpwstr>
  </property>
  <property fmtid="{D5CDD505-2E9C-101B-9397-08002B2CF9AE}" pid="31" name="NOSE110">
    <vt:lpwstr/>
  </property>
  <property fmtid="{D5CDD505-2E9C-101B-9397-08002B2CF9AE}" pid="32" name="NOSE12">
    <vt:lpwstr>עונשין</vt:lpwstr>
  </property>
  <property fmtid="{D5CDD505-2E9C-101B-9397-08002B2CF9AE}" pid="33" name="NOSE13">
    <vt:lpwstr>עונשין</vt:lpwstr>
  </property>
  <property fmtid="{D5CDD505-2E9C-101B-9397-08002B2CF9AE}" pid="34" name="NOSE14">
    <vt:lpwstr>עונשין</vt:lpwstr>
  </property>
  <property fmtid="{D5CDD505-2E9C-101B-9397-08002B2CF9AE}" pid="35" name="NOSE15">
    <vt:lpwstr>דיון פלילי</vt:lpwstr>
  </property>
  <property fmtid="{D5CDD505-2E9C-101B-9397-08002B2CF9AE}" pid="36" name="NOSE16">
    <vt:lpwstr>דיון פלילי</vt:lpwstr>
  </property>
  <property fmtid="{D5CDD505-2E9C-101B-9397-08002B2CF9AE}" pid="37" name="NOSE17">
    <vt:lpwstr>דיון פלילי</vt:lpwstr>
  </property>
  <property fmtid="{D5CDD505-2E9C-101B-9397-08002B2CF9AE}" pid="38" name="NOSE18">
    <vt:lpwstr/>
  </property>
  <property fmtid="{D5CDD505-2E9C-101B-9397-08002B2CF9AE}" pid="39" name="NOSE19">
    <vt:lpwstr/>
  </property>
  <property fmtid="{D5CDD505-2E9C-101B-9397-08002B2CF9AE}" pid="40" name="NOSE1ID">
    <vt:lpwstr>77;77;77;77;18;18;18</vt:lpwstr>
  </property>
  <property fmtid="{D5CDD505-2E9C-101B-9397-08002B2CF9AE}" pid="41" name="NOSE21">
    <vt:lpwstr>עבירות</vt:lpwstr>
  </property>
  <property fmtid="{D5CDD505-2E9C-101B-9397-08002B2CF9AE}" pid="42" name="NOSE210">
    <vt:lpwstr/>
  </property>
  <property fmtid="{D5CDD505-2E9C-101B-9397-08002B2CF9AE}" pid="43" name="NOSE22">
    <vt:lpwstr>שותפים לעבירה</vt:lpwstr>
  </property>
  <property fmtid="{D5CDD505-2E9C-101B-9397-08002B2CF9AE}" pid="44" name="NOSE23">
    <vt:lpwstr>אחריות פלילית</vt:lpwstr>
  </property>
  <property fmtid="{D5CDD505-2E9C-101B-9397-08002B2CF9AE}" pid="45" name="NOSE24">
    <vt:lpwstr>ענישה</vt:lpwstr>
  </property>
  <property fmtid="{D5CDD505-2E9C-101B-9397-08002B2CF9AE}" pid="46" name="NOSE25">
    <vt:lpwstr>ערעור</vt:lpwstr>
  </property>
  <property fmtid="{D5CDD505-2E9C-101B-9397-08002B2CF9AE}" pid="47" name="NOSE26">
    <vt:lpwstr>ערעור</vt:lpwstr>
  </property>
  <property fmtid="{D5CDD505-2E9C-101B-9397-08002B2CF9AE}" pid="48" name="NOSE27">
    <vt:lpwstr>הגנות</vt:lpwstr>
  </property>
  <property fmtid="{D5CDD505-2E9C-101B-9397-08002B2CF9AE}" pid="49" name="NOSE28">
    <vt:lpwstr/>
  </property>
  <property fmtid="{D5CDD505-2E9C-101B-9397-08002B2CF9AE}" pid="50" name="NOSE29">
    <vt:lpwstr/>
  </property>
  <property fmtid="{D5CDD505-2E9C-101B-9397-08002B2CF9AE}" pid="51" name="NOSE2ID">
    <vt:lpwstr>1443;1451;1428;1446;504;504;13848</vt:lpwstr>
  </property>
  <property fmtid="{D5CDD505-2E9C-101B-9397-08002B2CF9AE}" pid="52" name="NOSE31">
    <vt:lpwstr>חבלה בכוונה מחמירה</vt:lpwstr>
  </property>
  <property fmtid="{D5CDD505-2E9C-101B-9397-08002B2CF9AE}" pid="53" name="NOSE310">
    <vt:lpwstr/>
  </property>
  <property fmtid="{D5CDD505-2E9C-101B-9397-08002B2CF9AE}" pid="54" name="NOSE32">
    <vt:lpwstr>מבצע בצוותא</vt:lpwstr>
  </property>
  <property fmtid="{D5CDD505-2E9C-101B-9397-08002B2CF9AE}" pid="55" name="NOSE33">
    <vt:lpwstr>שותפות לעבירה</vt:lpwstr>
  </property>
  <property fmtid="{D5CDD505-2E9C-101B-9397-08002B2CF9AE}" pid="56" name="NOSE34">
    <vt:lpwstr>מדיניות ענישה: עבירות אלימות</vt:lpwstr>
  </property>
  <property fmtid="{D5CDD505-2E9C-101B-9397-08002B2CF9AE}" pid="57" name="NOSE35">
    <vt:lpwstr>אי-התערבות בממצאים עובדתיים</vt:lpwstr>
  </property>
  <property fmtid="{D5CDD505-2E9C-101B-9397-08002B2CF9AE}" pid="58" name="NOSE36">
    <vt:lpwstr>אי-התערבות במידת העונש</vt:lpwstr>
  </property>
  <property fmtid="{D5CDD505-2E9C-101B-9397-08002B2CF9AE}" pid="59" name="NOSE37">
    <vt:lpwstr>הגנה מן הצדק</vt:lpwstr>
  </property>
  <property fmtid="{D5CDD505-2E9C-101B-9397-08002B2CF9AE}" pid="60" name="NOSE38">
    <vt:lpwstr/>
  </property>
  <property fmtid="{D5CDD505-2E9C-101B-9397-08002B2CF9AE}" pid="61" name="NOSE39">
    <vt:lpwstr/>
  </property>
  <property fmtid="{D5CDD505-2E9C-101B-9397-08002B2CF9AE}" pid="62" name="NOSE3ID">
    <vt:lpwstr>8830;9034;8656;8984;3849;17039;13849</vt:lpwstr>
  </property>
  <property fmtid="{D5CDD505-2E9C-101B-9397-08002B2CF9AE}" pid="63" name="PADIDATE">
    <vt:lpwstr>20190611</vt:lpwstr>
  </property>
  <property fmtid="{D5CDD505-2E9C-101B-9397-08002B2CF9AE}" pid="64" name="PADIMAIL">
    <vt:lpwstr>YES</vt:lpwstr>
  </property>
  <property fmtid="{D5CDD505-2E9C-101B-9397-08002B2CF9AE}" pid="65" name="PAGE">
    <vt:lpwstr/>
  </property>
  <property fmtid="{D5CDD505-2E9C-101B-9397-08002B2CF9AE}" pid="66" name="PART">
    <vt:lpwstr/>
  </property>
  <property fmtid="{D5CDD505-2E9C-101B-9397-08002B2CF9AE}" pid="67" name="PROCESS">
    <vt:lpwstr>עפ</vt:lpwstr>
  </property>
  <property fmtid="{D5CDD505-2E9C-101B-9397-08002B2CF9AE}" pid="68" name="PROCNUM">
    <vt:lpwstr>954</vt:lpwstr>
  </property>
  <property fmtid="{D5CDD505-2E9C-101B-9397-08002B2CF9AE}" pid="69" name="PROCYEAR">
    <vt:lpwstr>17</vt:lpwstr>
  </property>
  <property fmtid="{D5CDD505-2E9C-101B-9397-08002B2CF9AE}" pid="70" name="PSAKDIN">
    <vt:lpwstr>פסק-דין</vt:lpwstr>
  </property>
  <property fmtid="{D5CDD505-2E9C-101B-9397-08002B2CF9AE}" pid="71" name="TYPE">
    <vt:lpwstr>1</vt:lpwstr>
  </property>
  <property fmtid="{D5CDD505-2E9C-101B-9397-08002B2CF9AE}" pid="72" name="TYPE_ABS_DATE">
    <vt:lpwstr>410120190610</vt:lpwstr>
  </property>
  <property fmtid="{D5CDD505-2E9C-101B-9397-08002B2CF9AE}" pid="73" name="TYPE_N_DATE">
    <vt:lpwstr>41020190610</vt:lpwstr>
  </property>
  <property fmtid="{D5CDD505-2E9C-101B-9397-08002B2CF9AE}" pid="74" name="VOLUME">
    <vt:lpwstr/>
  </property>
  <property fmtid="{D5CDD505-2E9C-101B-9397-08002B2CF9AE}" pid="75" name="WORDNUMPAGES">
    <vt:lpwstr>20</vt:lpwstr>
  </property>
</Properties>
</file>