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9552/16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קומבוז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סת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איל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26.10.2016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33478-01-16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והאכזריים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אידאולוגי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רצחני</w:t>
      </w:r>
      <w:r>
        <w:rPr>
          <w:rFonts w:cs="FrankRuehl"/>
          <w:sz w:val="24"/>
          <w:szCs w:val="26"/>
          <w:rtl w:val="true"/>
        </w:rPr>
        <w:t>").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ביהודי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לשרוד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היערכותו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המקדימה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בנחישות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הארץ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אידאולוגי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והאכזריים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בהצהרת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מופרז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ערעור על </w:t>
      </w:r>
      <w:r>
        <w:rPr>
          <w:rtl w:val="true"/>
        </w:rPr>
        <w:t>גזר דינו</w:t>
      </w:r>
      <w:r>
        <w:rPr>
          <w:rtl w:val="true"/>
        </w:rPr>
        <w:t xml:space="preserve"> של בית המשפט המחוזי </w:t>
      </w:r>
      <w:r>
        <w:rPr>
          <w:rtl w:val="true"/>
        </w:rPr>
        <w:t>ב</w:t>
      </w:r>
      <w:r>
        <w:rPr>
          <w:rtl w:val="true"/>
        </w:rPr>
        <w:t xml:space="preserve">ירושלים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 xml:space="preserve"> והשופטים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33478-01-16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26.10.2016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הושתו על המערער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 ועונשי מאסר על 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חויב המערער בתשלום פיצוי לנפגע העבירה בסכום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כל זאת בעקבות הרשעתו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ניסיון רצח והחזקת סכין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התגורר במועדים הרלוונטיים לכתב האישום המתוקן בעיר העתיקה בירושלים</w:t>
      </w:r>
      <w:r>
        <w:rPr>
          <w:rtl w:val="true"/>
        </w:rPr>
        <w:t xml:space="preserve">. </w:t>
      </w:r>
      <w:r>
        <w:rPr>
          <w:rtl w:val="true"/>
        </w:rPr>
        <w:t xml:space="preserve">עובר לחודש דצמבר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גמלה בלבו ההחלטה לבצע פיגוע טרור רצחני נגד יהודים</w:t>
      </w:r>
      <w:r>
        <w:rPr>
          <w:rtl w:val="true"/>
        </w:rPr>
        <w:t xml:space="preserve">, </w:t>
      </w:r>
      <w:r>
        <w:rPr>
          <w:rtl w:val="true"/>
        </w:rPr>
        <w:t>ולמות כ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 xml:space="preserve">".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נסע לצפות בזירת פיגוע חבלני בעיר העתיקה בירושלים</w:t>
      </w:r>
      <w:r>
        <w:rPr>
          <w:rtl w:val="true"/>
        </w:rPr>
        <w:t xml:space="preserve">, </w:t>
      </w:r>
      <w:r>
        <w:rPr>
          <w:rtl w:val="true"/>
        </w:rPr>
        <w:t>ולאחר שראה את אזור הפיגוע</w:t>
      </w:r>
      <w:r>
        <w:rPr>
          <w:rtl w:val="true"/>
        </w:rPr>
        <w:t xml:space="preserve">, </w:t>
      </w:r>
      <w:r>
        <w:rPr>
          <w:rtl w:val="true"/>
        </w:rPr>
        <w:t>את כתמי הדם ואת הפרסומים בעיתונות</w:t>
      </w:r>
      <w:r>
        <w:rPr>
          <w:rtl w:val="true"/>
        </w:rPr>
        <w:t xml:space="preserve">, </w:t>
      </w:r>
      <w:r>
        <w:rPr>
          <w:rtl w:val="true"/>
        </w:rPr>
        <w:t>התחזק בהחלטתו לבצע פיגוע</w:t>
      </w:r>
      <w:r>
        <w:rPr>
          <w:rtl w:val="true"/>
        </w:rPr>
        <w:t xml:space="preserve">. </w:t>
      </w:r>
      <w:r>
        <w:rPr>
          <w:rtl w:val="true"/>
        </w:rPr>
        <w:t>באותה תקופה החל המערער לצפות בסרטונים באינטרנט על אודות פיגועי התאבדות והחיים שלאחר המוות</w:t>
      </w:r>
      <w:r>
        <w:rPr>
          <w:rtl w:val="true"/>
        </w:rPr>
        <w:t xml:space="preserve">, </w:t>
      </w:r>
      <w:r>
        <w:rPr>
          <w:rtl w:val="true"/>
        </w:rPr>
        <w:t>ופתח בתכנון פיגוע התאבדות נגד יהודים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מספר שבועות עובר ליום </w:t>
      </w:r>
      <w:r>
        <w:rPr/>
        <w:t>27.12.2015</w:t>
      </w:r>
      <w:r>
        <w:rPr>
          <w:rtl w:val="true"/>
        </w:rPr>
        <w:t xml:space="preserve">, </w:t>
      </w:r>
      <w:r>
        <w:rPr>
          <w:rtl w:val="true"/>
        </w:rPr>
        <w:t>פנה המערער לעאדל בכרי</w:t>
      </w:r>
      <w:r>
        <w:rPr>
          <w:rtl w:val="true"/>
        </w:rPr>
        <w:t xml:space="preserve">, </w:t>
      </w:r>
      <w:r>
        <w:rPr>
          <w:rtl w:val="true"/>
        </w:rPr>
        <w:t>אצלו עבד באותו יום</w:t>
      </w:r>
      <w:r>
        <w:rPr>
          <w:rtl w:val="true"/>
        </w:rPr>
        <w:t xml:space="preserve">, </w:t>
      </w:r>
      <w:r>
        <w:rPr>
          <w:rtl w:val="true"/>
        </w:rPr>
        <w:t>בבקשה לרכוש כלי נשק כדי לבצע באמצעותו פיגוע</w:t>
      </w:r>
      <w:r>
        <w:rPr>
          <w:rtl w:val="true"/>
        </w:rPr>
        <w:t xml:space="preserve">, </w:t>
      </w:r>
      <w:r>
        <w:rPr>
          <w:rtl w:val="true"/>
        </w:rPr>
        <w:t>אך הלה התייחס בביטול לבקשתו</w:t>
      </w:r>
      <w:r>
        <w:rPr>
          <w:rtl w:val="true"/>
        </w:rPr>
        <w:t xml:space="preserve">. </w:t>
      </w:r>
      <w:r>
        <w:rPr>
          <w:rtl w:val="true"/>
        </w:rPr>
        <w:t>כן מתואר בכתב האישום המתוקן כיצד באותה תקופה או בסמוך אליה</w:t>
      </w:r>
      <w:r>
        <w:rPr>
          <w:rtl w:val="true"/>
        </w:rPr>
        <w:t xml:space="preserve">, </w:t>
      </w:r>
      <w:r>
        <w:rPr>
          <w:rtl w:val="true"/>
        </w:rPr>
        <w:t>חזר המערער ברכבו מעבודתו עם חבר</w:t>
      </w:r>
      <w:r>
        <w:rPr>
          <w:rtl w:val="true"/>
        </w:rPr>
        <w:t xml:space="preserve">, </w:t>
      </w:r>
      <w:r>
        <w:rPr>
          <w:rtl w:val="true"/>
        </w:rPr>
        <w:t>ובמהלך הנסיעה לירושלים הבחין בחייל אשר עמד בתחנת אוטובוס בצד הכביש וסטה לעברו עם הרכב</w:t>
      </w:r>
      <w:r>
        <w:rPr>
          <w:rtl w:val="true"/>
        </w:rPr>
        <w:t xml:space="preserve">. </w:t>
      </w:r>
      <w:r>
        <w:rPr>
          <w:rtl w:val="true"/>
        </w:rPr>
        <w:t>החייל קפץ אחורנית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אמר לחברו </w:t>
      </w:r>
      <w:r>
        <w:rPr>
          <w:rtl w:val="true"/>
        </w:rPr>
        <w:t>"</w:t>
      </w:r>
      <w:r>
        <w:rPr>
          <w:rtl w:val="true"/>
        </w:rPr>
        <w:t>בוא נדרוס את היהודים</w:t>
      </w:r>
      <w:r>
        <w:rPr>
          <w:rtl w:val="true"/>
        </w:rPr>
        <w:t xml:space="preserve">". </w:t>
      </w:r>
      <w:r>
        <w:rPr>
          <w:rtl w:val="true"/>
        </w:rPr>
        <w:t>משמסר</w:t>
      </w:r>
      <w:r>
        <w:rPr>
          <w:rtl w:val="true"/>
        </w:rPr>
        <w:t xml:space="preserve"> החבר למערער כי אינו מעוניין בכך והביע חשש כי </w:t>
      </w:r>
      <w:r>
        <w:rPr>
          <w:rtl w:val="true"/>
        </w:rPr>
        <w:t>המעשה יביא למותם</w:t>
      </w:r>
      <w:r>
        <w:rPr>
          <w:rtl w:val="true"/>
        </w:rPr>
        <w:t xml:space="preserve">, </w:t>
      </w:r>
      <w:r>
        <w:rPr>
          <w:rtl w:val="true"/>
        </w:rPr>
        <w:t>השיב המערער כי אין הדבר משנה לו</w:t>
      </w:r>
      <w:r>
        <w:rPr>
          <w:rtl w:val="true"/>
        </w:rPr>
        <w:t xml:space="preserve">. </w:t>
      </w:r>
      <w:r>
        <w:rPr>
          <w:rtl w:val="true"/>
        </w:rPr>
        <w:t>עוד במהלך תקופה זו</w:t>
      </w:r>
      <w:r>
        <w:rPr>
          <w:rtl w:val="true"/>
        </w:rPr>
        <w:t xml:space="preserve">, </w:t>
      </w:r>
      <w:r>
        <w:rPr>
          <w:rtl w:val="true"/>
        </w:rPr>
        <w:t>המשיך המערער לצפות בסרטונים המתעדים פיגועים</w:t>
      </w:r>
      <w:r>
        <w:rPr>
          <w:rtl w:val="true"/>
        </w:rPr>
        <w:t xml:space="preserve">, </w:t>
      </w:r>
      <w:r>
        <w:rPr>
          <w:rtl w:val="true"/>
        </w:rPr>
        <w:t>ולאחר שצפה בסרטון בו נראה אחד המחבלים נורה על ידי המשטרה</w:t>
      </w:r>
      <w:r>
        <w:rPr>
          <w:rtl w:val="true"/>
        </w:rPr>
        <w:t xml:space="preserve">, </w:t>
      </w:r>
      <w:r>
        <w:rPr>
          <w:rtl w:val="true"/>
        </w:rPr>
        <w:t xml:space="preserve">כתב ביומנו </w:t>
      </w:r>
      <w:r>
        <w:rPr>
          <w:rtl w:val="true"/>
        </w:rPr>
        <w:t>"</w:t>
      </w:r>
      <w:r>
        <w:rPr>
          <w:rtl w:val="true"/>
        </w:rPr>
        <w:t>סעיד שהיד</w:t>
      </w:r>
      <w:r>
        <w:rPr>
          <w:rtl w:val="true"/>
        </w:rPr>
        <w:t xml:space="preserve">", </w:t>
      </w:r>
      <w:r>
        <w:rPr>
          <w:rtl w:val="true"/>
        </w:rPr>
        <w:t>על מנת שידעו כי רצה למות כ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כתב האישום המתוקן מוסיף ומתאר כי המערער החליט לבצע את הפיגוע החבלני באמצעות סכין</w:t>
      </w:r>
      <w:r>
        <w:rPr>
          <w:rtl w:val="true"/>
        </w:rPr>
        <w:t xml:space="preserve">, </w:t>
      </w:r>
      <w:r>
        <w:rPr>
          <w:rtl w:val="true"/>
        </w:rPr>
        <w:t>היות שסבר כי פיגוע דריסה עלול להיכשל</w:t>
      </w:r>
      <w:r>
        <w:rPr>
          <w:rtl w:val="true"/>
        </w:rPr>
        <w:t xml:space="preserve">. </w:t>
      </w:r>
      <w:r>
        <w:rPr>
          <w:rtl w:val="true"/>
        </w:rPr>
        <w:t>לשם כך בירר מהו המקום בגוף האדם שדקירתו תוביל למותו של הנדקר באופן המהיר ביותר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ערך המערער חיפוש באינטרנט</w:t>
      </w:r>
      <w:r>
        <w:rPr>
          <w:rtl w:val="true"/>
        </w:rPr>
        <w:t xml:space="preserve">, </w:t>
      </w:r>
      <w:r>
        <w:rPr>
          <w:rtl w:val="true"/>
        </w:rPr>
        <w:t xml:space="preserve">שממנו למד כי פגיעה בעורק המחבר בין הצוואר והלב יכולה לגרום למוות תוך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  <w:r>
        <w:rPr>
          <w:rtl w:val="true"/>
        </w:rPr>
        <w:t>המערער החליט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לדקור למוות חייל ישראלי</w:t>
      </w:r>
      <w:r>
        <w:rPr>
          <w:rtl w:val="true"/>
        </w:rPr>
        <w:t xml:space="preserve">, </w:t>
      </w:r>
      <w:r>
        <w:rPr>
          <w:rtl w:val="true"/>
        </w:rPr>
        <w:t>ולהביא בתוך כך למותו שלו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27.12.2015</w:t>
      </w:r>
      <w:r>
        <w:rPr>
          <w:rtl w:val="true"/>
        </w:rPr>
        <w:t xml:space="preserve"> </w:t>
      </w:r>
      <w:r>
        <w:rPr>
          <w:rtl w:val="true"/>
        </w:rPr>
        <w:t>הקיץ</w:t>
      </w:r>
      <w:r>
        <w:rPr>
          <w:rtl w:val="true"/>
        </w:rPr>
        <w:t xml:space="preserve"> המערער בסמוך לשעה </w:t>
      </w:r>
      <w:r>
        <w:rPr/>
        <w:t>3:00</w:t>
      </w:r>
      <w:r>
        <w:rPr>
          <w:rtl w:val="true"/>
        </w:rPr>
        <w:t xml:space="preserve"> </w:t>
      </w:r>
      <w:r>
        <w:rPr>
          <w:rtl w:val="true"/>
        </w:rPr>
        <w:t>וגמר אומר</w:t>
      </w:r>
      <w:r>
        <w:rPr>
          <w:rtl w:val="true"/>
        </w:rPr>
        <w:t xml:space="preserve"> לבצע פיגוע חבלני</w:t>
      </w:r>
      <w:r>
        <w:rPr>
          <w:rtl w:val="true"/>
        </w:rPr>
        <w:t xml:space="preserve">. </w:t>
      </w:r>
      <w:r>
        <w:rPr>
          <w:rtl w:val="true"/>
        </w:rPr>
        <w:t xml:space="preserve">לצורך כך הצטייד בסכין מטבח בעלת להב באורך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נסע ברכבו לעבר העיר העתיקה ופנה להתפלל במסגד אל אקצא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5:45</w:t>
      </w:r>
      <w:r>
        <w:rPr>
          <w:rtl w:val="true"/>
        </w:rPr>
        <w:t xml:space="preserve">, </w:t>
      </w:r>
      <w:r>
        <w:rPr>
          <w:rtl w:val="true"/>
        </w:rPr>
        <w:t>עזב המערער את המסגד ונסע לכיוון התחנה המרכזית</w:t>
      </w:r>
      <w:r>
        <w:rPr>
          <w:rtl w:val="true"/>
        </w:rPr>
        <w:t xml:space="preserve"> בירושלים</w:t>
      </w:r>
      <w:r>
        <w:rPr>
          <w:rtl w:val="true"/>
        </w:rPr>
        <w:t xml:space="preserve">. </w:t>
      </w:r>
      <w:r>
        <w:rPr>
          <w:rtl w:val="true"/>
        </w:rPr>
        <w:t>משהחנה את רכבו בכיכר סמוכה</w:t>
      </w:r>
      <w:r>
        <w:rPr>
          <w:rtl w:val="true"/>
        </w:rPr>
        <w:t xml:space="preserve">, </w:t>
      </w:r>
      <w:r>
        <w:rPr>
          <w:rtl w:val="true"/>
        </w:rPr>
        <w:t xml:space="preserve">יצא </w:t>
      </w:r>
      <w:r>
        <w:rPr>
          <w:rtl w:val="true"/>
        </w:rPr>
        <w:t>מרכבו</w:t>
      </w:r>
      <w:r>
        <w:rPr>
          <w:rtl w:val="true"/>
        </w:rPr>
        <w:t xml:space="preserve"> בעודו אוחז בסכין בידו הימנית</w:t>
      </w:r>
      <w:r>
        <w:rPr>
          <w:rtl w:val="true"/>
        </w:rPr>
        <w:t xml:space="preserve">, </w:t>
      </w:r>
      <w:r>
        <w:rPr>
          <w:rtl w:val="true"/>
        </w:rPr>
        <w:t>כשהיא מוסתרת בתוך דש מעילו</w:t>
      </w:r>
      <w:r>
        <w:rPr>
          <w:rtl w:val="true"/>
        </w:rPr>
        <w:t xml:space="preserve">, </w:t>
      </w:r>
      <w:r>
        <w:rPr>
          <w:rtl w:val="true"/>
        </w:rPr>
        <w:t xml:space="preserve">והחל צועד לכיוון </w:t>
      </w:r>
      <w:r>
        <w:rPr>
          <w:rtl w:val="true"/>
        </w:rPr>
        <w:t>"</w:t>
      </w:r>
      <w:r>
        <w:rPr>
          <w:rtl w:val="true"/>
        </w:rPr>
        <w:t>גשר המיתרים</w:t>
      </w:r>
      <w:r>
        <w:rPr>
          <w:rtl w:val="true"/>
        </w:rPr>
        <w:t xml:space="preserve">" </w:t>
      </w:r>
      <w:r>
        <w:rPr>
          <w:rtl w:val="true"/>
        </w:rPr>
        <w:t>שבכניסה לירושלים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המערער הבחין בחייל צעיר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הנפגע</w:t>
      </w:r>
      <w:r>
        <w:rPr>
          <w:rtl w:val="true"/>
        </w:rPr>
        <w:t xml:space="preserve">) </w:t>
      </w:r>
      <w:r>
        <w:rPr>
          <w:rtl w:val="true"/>
        </w:rPr>
        <w:t>והחל לעקוב אחריו</w:t>
      </w:r>
      <w:r>
        <w:rPr>
          <w:rtl w:val="true"/>
        </w:rPr>
        <w:t xml:space="preserve">, </w:t>
      </w:r>
      <w:r>
        <w:rPr>
          <w:rtl w:val="true"/>
        </w:rPr>
        <w:t>מתוך מטרה לדוקרו למוות ולמות כ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 xml:space="preserve">". </w:t>
      </w:r>
      <w:r>
        <w:rPr>
          <w:rtl w:val="true"/>
        </w:rPr>
        <w:t>המערער שלף את הסכין</w:t>
      </w:r>
      <w:r>
        <w:rPr>
          <w:rtl w:val="true"/>
        </w:rPr>
        <w:t xml:space="preserve">, </w:t>
      </w:r>
      <w:r>
        <w:rPr>
          <w:rtl w:val="true"/>
        </w:rPr>
        <w:t>התנפל על הנפגע וניסה לדוקרו בצווארו במטרה להורגו</w:t>
      </w:r>
      <w:r>
        <w:rPr>
          <w:rtl w:val="true"/>
        </w:rPr>
        <w:t xml:space="preserve">. </w:t>
      </w:r>
      <w:r>
        <w:rPr>
          <w:rtl w:val="true"/>
        </w:rPr>
        <w:t>הסכין פגעה בכתפו הימנית של הנפגע</w:t>
      </w:r>
      <w:r>
        <w:rPr>
          <w:rtl w:val="true"/>
        </w:rPr>
        <w:t xml:space="preserve">, </w:t>
      </w:r>
      <w:r>
        <w:rPr>
          <w:rtl w:val="true"/>
        </w:rPr>
        <w:t>וזה נפל לרצפה</w:t>
      </w:r>
      <w:r>
        <w:rPr>
          <w:rtl w:val="true"/>
        </w:rPr>
        <w:t xml:space="preserve">. </w:t>
      </w:r>
      <w:r>
        <w:rPr>
          <w:rtl w:val="true"/>
        </w:rPr>
        <w:t>המערער החל לרוץ</w:t>
      </w:r>
      <w:r>
        <w:rPr>
          <w:rtl w:val="true"/>
        </w:rPr>
        <w:t xml:space="preserve">, </w:t>
      </w:r>
      <w:r>
        <w:rPr>
          <w:rtl w:val="true"/>
        </w:rPr>
        <w:t>וכעבור מספר מטרים</w:t>
      </w:r>
      <w:r>
        <w:rPr>
          <w:rtl w:val="true"/>
        </w:rPr>
        <w:t xml:space="preserve">, </w:t>
      </w:r>
      <w:r>
        <w:rPr>
          <w:rtl w:val="true"/>
        </w:rPr>
        <w:t>הסתובב לעבר הנפגע</w:t>
      </w:r>
      <w:r>
        <w:rPr>
          <w:rtl w:val="true"/>
        </w:rPr>
        <w:t xml:space="preserve">, </w:t>
      </w:r>
      <w:r>
        <w:rPr>
          <w:rtl w:val="true"/>
        </w:rPr>
        <w:t>אשר הצליח להתרומם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רץ לעבר</w:t>
      </w:r>
      <w:r>
        <w:rPr>
          <w:rtl w:val="true"/>
        </w:rPr>
        <w:t xml:space="preserve"> הנפגע</w:t>
      </w:r>
      <w:r>
        <w:rPr>
          <w:rtl w:val="true"/>
        </w:rPr>
        <w:t xml:space="preserve"> בסכין שלופה וניסה לדוקרו </w:t>
      </w:r>
      <w:r>
        <w:rPr>
          <w:rtl w:val="true"/>
        </w:rPr>
        <w:t xml:space="preserve">בשנית </w:t>
      </w:r>
      <w:r>
        <w:rPr>
          <w:rtl w:val="true"/>
        </w:rPr>
        <w:t>בפלג גופו העליון</w:t>
      </w:r>
      <w:r>
        <w:rPr>
          <w:rtl w:val="true"/>
        </w:rPr>
        <w:t xml:space="preserve">, </w:t>
      </w:r>
      <w:r>
        <w:rPr>
          <w:rtl w:val="true"/>
        </w:rPr>
        <w:t>כשפניו של הנפגע פונים למערער</w:t>
      </w:r>
      <w:r>
        <w:rPr>
          <w:rtl w:val="true"/>
        </w:rPr>
        <w:t xml:space="preserve">. </w:t>
      </w:r>
      <w:r>
        <w:rPr>
          <w:rtl w:val="true"/>
        </w:rPr>
        <w:t>הנפגע נאבק במערער וקרא לעזרה</w:t>
      </w:r>
      <w:r>
        <w:rPr>
          <w:rtl w:val="true"/>
        </w:rPr>
        <w:t xml:space="preserve">, </w:t>
      </w:r>
      <w:r>
        <w:rPr>
          <w:rtl w:val="true"/>
        </w:rPr>
        <w:t>בעוד השניים מצויים על הקרקע והמערער שוכב מעל הנפגע ומנסה לדוקרו</w:t>
      </w:r>
      <w:r>
        <w:rPr>
          <w:rtl w:val="true"/>
        </w:rPr>
        <w:t xml:space="preserve">. </w:t>
      </w:r>
      <w:r>
        <w:rPr>
          <w:rtl w:val="true"/>
        </w:rPr>
        <w:t>מאבטח אשר הגיע למקום משך את המערער</w:t>
      </w:r>
      <w:r>
        <w:rPr>
          <w:rtl w:val="true"/>
        </w:rPr>
        <w:t xml:space="preserve">, </w:t>
      </w:r>
      <w:r>
        <w:rPr>
          <w:rtl w:val="true"/>
        </w:rPr>
        <w:t>היכה את ידו האוחזת בסכין וגרם לשמיטתה</w:t>
      </w:r>
      <w:r>
        <w:rPr>
          <w:rtl w:val="true"/>
        </w:rPr>
        <w:t xml:space="preserve">. </w:t>
      </w:r>
      <w:r>
        <w:rPr>
          <w:rtl w:val="true"/>
        </w:rPr>
        <w:t>המאבטח ואחרים החזיקו את המערער עד להגעת המשטרה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כתוצאה ממעשיו של המערער ספג הנפגע פצע דקירה באזור הגב העליון</w:t>
      </w:r>
      <w:r>
        <w:rPr>
          <w:rtl w:val="true"/>
        </w:rPr>
        <w:t xml:space="preserve">, </w:t>
      </w:r>
      <w:r>
        <w:rPr>
          <w:rtl w:val="true"/>
        </w:rPr>
        <w:t>אשר חדר</w:t>
      </w:r>
      <w:r>
        <w:rPr>
          <w:rtl w:val="true"/>
        </w:rPr>
        <w:t xml:space="preserve"> עד שריר הטרפז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ציין בית משפט קמא כי לעבירות שביצע המערער חומרה מופלגת</w:t>
      </w:r>
      <w:r>
        <w:rPr>
          <w:rtl w:val="true"/>
        </w:rPr>
        <w:t xml:space="preserve">, </w:t>
      </w:r>
      <w:r>
        <w:rPr>
          <w:rtl w:val="true"/>
        </w:rPr>
        <w:t>וזאת לנוכח מהותן</w:t>
      </w:r>
      <w:r>
        <w:rPr>
          <w:rtl w:val="true"/>
        </w:rPr>
        <w:t xml:space="preserve">, </w:t>
      </w:r>
      <w:r>
        <w:rPr>
          <w:rtl w:val="true"/>
        </w:rPr>
        <w:t>נסיבות ביצוען</w:t>
      </w:r>
      <w:r>
        <w:rPr>
          <w:rtl w:val="true"/>
        </w:rPr>
        <w:t xml:space="preserve">, </w:t>
      </w:r>
      <w:r>
        <w:rPr>
          <w:rtl w:val="true"/>
        </w:rPr>
        <w:t>ותוצאותיהן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עמד על היותן של העבירות פועל יוצא של החלטת המערער לבצע </w:t>
      </w:r>
      <w:r>
        <w:rPr>
          <w:rtl w:val="true"/>
        </w:rPr>
        <w:t>"</w:t>
      </w:r>
      <w:r>
        <w:rPr>
          <w:rtl w:val="true"/>
        </w:rPr>
        <w:t>פיגוע טרור רצחני</w:t>
      </w:r>
      <w:r>
        <w:rPr>
          <w:rtl w:val="true"/>
        </w:rPr>
        <w:t xml:space="preserve">", </w:t>
      </w:r>
      <w:r>
        <w:rPr>
          <w:rtl w:val="true"/>
        </w:rPr>
        <w:t>שהיה פרי תכנון מוקדם</w:t>
      </w:r>
      <w:r>
        <w:rPr>
          <w:rtl w:val="true"/>
        </w:rPr>
        <w:t xml:space="preserve">. </w:t>
      </w:r>
      <w:r>
        <w:rPr>
          <w:rtl w:val="true"/>
        </w:rPr>
        <w:t>עוד הטעים בית משפט קמא את הנחישות שגילה המערער ברצונו להוציא אל הפועל את תוכניתו</w:t>
      </w:r>
      <w:r>
        <w:rPr>
          <w:rtl w:val="true"/>
        </w:rPr>
        <w:t xml:space="preserve">, </w:t>
      </w:r>
      <w:r>
        <w:rPr>
          <w:rtl w:val="true"/>
        </w:rPr>
        <w:t>ובפרט בתקיפתו את הנפגע באופן בלתי מרפה מתוך כוונה להורגו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קמא בחן את מכלול נסיבות המקרה</w:t>
      </w:r>
      <w:r>
        <w:rPr>
          <w:rtl w:val="true"/>
        </w:rPr>
        <w:t xml:space="preserve">, </w:t>
      </w:r>
      <w:r>
        <w:rPr>
          <w:rtl w:val="true"/>
        </w:rPr>
        <w:t>את שיקולי הענישה הרלוונטיים</w:t>
      </w:r>
      <w:r>
        <w:rPr>
          <w:rtl w:val="true"/>
        </w:rPr>
        <w:t xml:space="preserve">, </w:t>
      </w:r>
      <w:r>
        <w:rPr>
          <w:rtl w:val="true"/>
        </w:rPr>
        <w:t>כמו גם את הערכים המוגנים ביסוד העבירות</w:t>
      </w:r>
      <w:r>
        <w:rPr>
          <w:rtl w:val="true"/>
        </w:rPr>
        <w:t xml:space="preserve">. </w:t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ובשים לב להיות המדובר בפיגוע טרור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מתחם ענישה הנע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לעונש המתאים למערער בתוך מתחם הענישה שנקבע</w:t>
      </w:r>
      <w:r>
        <w:rPr>
          <w:rtl w:val="true"/>
        </w:rPr>
        <w:t xml:space="preserve">, </w:t>
      </w:r>
      <w:r>
        <w:rPr>
          <w:rtl w:val="true"/>
        </w:rPr>
        <w:t>דחה בית משפט קמא את טענתה של באת כוחו</w:t>
      </w:r>
      <w:r>
        <w:rPr>
          <w:rtl w:val="true"/>
        </w:rPr>
        <w:t xml:space="preserve">, </w:t>
      </w:r>
      <w:r>
        <w:rPr>
          <w:rtl w:val="true"/>
        </w:rPr>
        <w:t>שלפיה לא מדובר בניסיון רצח על רקע אידאולוגי</w:t>
      </w:r>
      <w:r>
        <w:rPr>
          <w:rtl w:val="true"/>
        </w:rPr>
        <w:t xml:space="preserve">. </w:t>
      </w:r>
      <w:r>
        <w:rPr>
          <w:rtl w:val="true"/>
        </w:rPr>
        <w:t>בית משפט קמא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מדובר באידיאולוגיה מעוותת ורצחנית</w:t>
      </w:r>
      <w:r>
        <w:rPr>
          <w:rtl w:val="true"/>
        </w:rPr>
        <w:t xml:space="preserve">, </w:t>
      </w:r>
      <w:r>
        <w:rPr>
          <w:rtl w:val="true"/>
        </w:rPr>
        <w:t>המבטלת כל ערך לחיי אדם</w:t>
      </w:r>
      <w:r>
        <w:rPr>
          <w:rtl w:val="true"/>
        </w:rPr>
        <w:t xml:space="preserve">; </w:t>
      </w:r>
      <w:r>
        <w:rPr>
          <w:rtl w:val="true"/>
        </w:rPr>
        <w:t>וההופכת את המוות למטרה</w:t>
      </w:r>
      <w:r>
        <w:rPr>
          <w:rtl w:val="true"/>
        </w:rPr>
        <w:t xml:space="preserve">, </w:t>
      </w:r>
      <w:r>
        <w:rPr>
          <w:rtl w:val="true"/>
        </w:rPr>
        <w:t>ואת הרוצח ל</w:t>
      </w:r>
      <w:r>
        <w:rPr>
          <w:rtl w:val="true"/>
        </w:rPr>
        <w:t>'</w:t>
      </w:r>
      <w:r>
        <w:rPr>
          <w:rtl w:val="true"/>
        </w:rPr>
        <w:t>קדוש</w:t>
      </w:r>
      <w:r>
        <w:rPr>
          <w:rtl w:val="true"/>
        </w:rPr>
        <w:t xml:space="preserve">' </w:t>
      </w:r>
      <w:r>
        <w:rPr>
          <w:rtl w:val="true"/>
        </w:rPr>
        <w:t>ולדמות מוערכת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נקבע עונשו של המערער כמפורט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בהודעת הערעור ובטיעוניה בעל פה</w:t>
      </w:r>
      <w:r>
        <w:rPr>
          <w:rtl w:val="true"/>
        </w:rPr>
        <w:t xml:space="preserve">, </w:t>
      </w:r>
      <w:r>
        <w:rPr>
          <w:rtl w:val="true"/>
        </w:rPr>
        <w:t>גורסת באת כוח המערער כי כל רצונו היה למות כ</w:t>
      </w:r>
      <w:r>
        <w:rPr>
          <w:rtl w:val="true"/>
        </w:rPr>
        <w:t>"</w:t>
      </w:r>
      <w:r>
        <w:rPr>
          <w:rtl w:val="true"/>
        </w:rPr>
        <w:t>שהיד</w:t>
      </w:r>
      <w:r>
        <w:rPr>
          <w:rtl w:val="true"/>
        </w:rPr>
        <w:t xml:space="preserve">" </w:t>
      </w:r>
      <w:r>
        <w:rPr>
          <w:rtl w:val="true"/>
        </w:rPr>
        <w:t>וכי לא חשב על דבר אחר זולת המוות</w:t>
      </w:r>
      <w:r>
        <w:rPr>
          <w:rtl w:val="true"/>
        </w:rPr>
        <w:t xml:space="preserve">, </w:t>
      </w:r>
      <w:r>
        <w:rPr>
          <w:rtl w:val="true"/>
        </w:rPr>
        <w:t xml:space="preserve">דבר שביטא </w:t>
      </w:r>
      <w:r>
        <w:rPr>
          <w:rtl w:val="true"/>
        </w:rPr>
        <w:t>"</w:t>
      </w:r>
      <w:r>
        <w:rPr>
          <w:rtl w:val="true"/>
        </w:rPr>
        <w:t>מצוקה אישית</w:t>
      </w:r>
      <w:r>
        <w:rPr>
          <w:rtl w:val="true"/>
        </w:rPr>
        <w:t>-</w:t>
      </w:r>
      <w:r>
        <w:rPr>
          <w:rtl w:val="true"/>
        </w:rPr>
        <w:t>פרטית אשר הניעה אותו לשחר אחר מותו שלו</w:t>
      </w:r>
      <w:r>
        <w:rPr>
          <w:rtl w:val="true"/>
        </w:rPr>
        <w:t xml:space="preserve">". </w:t>
      </w:r>
      <w:r>
        <w:rPr>
          <w:rtl w:val="true"/>
        </w:rPr>
        <w:t>בתוך כך משיגה באת כוח המערער על קביעת בית משפט קמא שלפיה בוצע המעשה על רקע אידאולוגי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יש לערוך הבחנה בין ניסיון רצח על רקע אידאולוגי </w:t>
      </w:r>
      <w:r>
        <w:rPr>
          <w:rtl w:val="true"/>
        </w:rPr>
        <w:t>"</w:t>
      </w:r>
      <w:r>
        <w:rPr>
          <w:rtl w:val="true"/>
        </w:rPr>
        <w:t>אמיתי</w:t>
      </w:r>
      <w:r>
        <w:rPr>
          <w:rtl w:val="true"/>
        </w:rPr>
        <w:t xml:space="preserve">", </w:t>
      </w:r>
      <w:r>
        <w:rPr>
          <w:rtl w:val="true"/>
        </w:rPr>
        <w:t>בו מבוקש להביא לשינוי פוליטי</w:t>
      </w:r>
      <w:r>
        <w:rPr>
          <w:rtl w:val="true"/>
        </w:rPr>
        <w:t xml:space="preserve">, </w:t>
      </w:r>
      <w:r>
        <w:rPr>
          <w:rtl w:val="true"/>
        </w:rPr>
        <w:t>לבין ביצוע עבירה</w:t>
      </w:r>
      <w:r>
        <w:rPr>
          <w:rtl w:val="true"/>
        </w:rPr>
        <w:t xml:space="preserve">, </w:t>
      </w:r>
      <w:r>
        <w:rPr>
          <w:rtl w:val="true"/>
        </w:rPr>
        <w:t>חמורה ככל שתהיה</w:t>
      </w:r>
      <w:r>
        <w:rPr>
          <w:rtl w:val="true"/>
        </w:rPr>
        <w:t xml:space="preserve">, </w:t>
      </w:r>
      <w:r>
        <w:rPr>
          <w:rtl w:val="true"/>
        </w:rPr>
        <w:t>מתוך מצוקה עמוקה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יש להבחין בין מי שקורבנותיו הם אנשי כוחות הביטחון לבין פגיעה באזרחים חפים מפשע</w:t>
      </w:r>
      <w:r>
        <w:rPr>
          <w:rtl w:val="true"/>
        </w:rPr>
        <w:t xml:space="preserve">, </w:t>
      </w:r>
      <w:r>
        <w:rPr>
          <w:rtl w:val="true"/>
        </w:rPr>
        <w:t>אשר אינם מאומנים</w:t>
      </w:r>
      <w:r>
        <w:rPr>
          <w:rtl w:val="true"/>
        </w:rPr>
        <w:t xml:space="preserve">, </w:t>
      </w:r>
      <w:r>
        <w:rPr>
          <w:rtl w:val="true"/>
        </w:rPr>
        <w:t>אינם מצוידים ואינם בקיאים בהגנה עצמית</w:t>
      </w:r>
      <w:r>
        <w:rPr>
          <w:rtl w:val="true"/>
        </w:rPr>
        <w:t xml:space="preserve">. </w:t>
      </w: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עמדת המערער היא כי היה על בית משפט קמא להעמיד את מתחם הענישה 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לקבוע לו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מבקש המערער להפחית את סכום הפיצוי לטובת נפגע העבירה שבו חויב</w:t>
      </w:r>
      <w:r>
        <w:rPr>
          <w:rtl w:val="true"/>
        </w:rPr>
        <w:t xml:space="preserve">. </w:t>
      </w:r>
      <w:r>
        <w:rPr>
          <w:rtl w:val="true"/>
        </w:rPr>
        <w:t>המערער סבור כי מדובר בסכום בלתי מידתי</w:t>
      </w:r>
      <w:r>
        <w:rPr>
          <w:rtl w:val="true"/>
        </w:rPr>
        <w:t xml:space="preserve">, </w:t>
      </w:r>
      <w:r>
        <w:rPr>
          <w:rtl w:val="true"/>
        </w:rPr>
        <w:t>אשר אינו הולם את יכולותיו הכלכליות הדלות ואת הפגיעה הקלה אשר נגרמה לנפגע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מבקשת לדחות את הערעור על שני רכיביו</w:t>
      </w:r>
      <w:r>
        <w:rPr>
          <w:rtl w:val="true"/>
        </w:rPr>
        <w:t xml:space="preserve">. </w:t>
      </w:r>
      <w:r>
        <w:rPr>
          <w:rtl w:val="true"/>
        </w:rPr>
        <w:t>המשיבה סבורה כי אין להתעלם מהמניע האידאולוגי</w:t>
      </w:r>
      <w:r>
        <w:rPr>
          <w:rtl w:val="true"/>
        </w:rPr>
        <w:t xml:space="preserve">, </w:t>
      </w:r>
      <w:r>
        <w:rPr>
          <w:rtl w:val="true"/>
        </w:rPr>
        <w:t>בהדגישה את תוכניתו של המערער להוציא אל הפועל פגיעה ביהודים</w:t>
      </w:r>
      <w:r>
        <w:rPr>
          <w:rtl w:val="true"/>
        </w:rPr>
        <w:t xml:space="preserve">, </w:t>
      </w:r>
      <w:r>
        <w:rPr>
          <w:rtl w:val="true"/>
        </w:rPr>
        <w:t>אשר התבטאה בניסיון הדריסה</w:t>
      </w:r>
      <w:r>
        <w:rPr>
          <w:rtl w:val="true"/>
        </w:rPr>
        <w:t xml:space="preserve">; </w:t>
      </w:r>
      <w:r>
        <w:rPr>
          <w:rtl w:val="true"/>
        </w:rPr>
        <w:t>בתכנים שבהם צפה המערער באינטרנט</w:t>
      </w:r>
      <w:r>
        <w:rPr>
          <w:rtl w:val="true"/>
        </w:rPr>
        <w:t xml:space="preserve">, </w:t>
      </w:r>
      <w:r>
        <w:rPr>
          <w:rtl w:val="true"/>
        </w:rPr>
        <w:t>שמהם למד כיצד לבצע דקירה באופן הקטלני ביותר</w:t>
      </w:r>
      <w:r>
        <w:rPr>
          <w:rtl w:val="true"/>
        </w:rPr>
        <w:t xml:space="preserve">; </w:t>
      </w:r>
      <w:r>
        <w:rPr>
          <w:rtl w:val="true"/>
        </w:rPr>
        <w:t>ולבסוף באופן שבו איתר את החייל הנפגע ודקר אותו תוך שהוא עושה זאת גם כאשר האחרון שרוע על הארץ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בגזר דינו של בית משפט קמא ולאחר שמיעת הצדדים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שב ומציין את ההלכה הידועה שלפיה ערכאת הערעור אינה מתערבת בחומרת העונש המוטל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זולת בנסיבות חריגות שבהן נפלה על פני הדברים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בנסיבות שבהן העונש שהוטל חורג באופן קיצוני מהענישה המקובלת במקרים דומים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30.11.2017</w:t>
      </w:r>
      <w:r>
        <w:rPr>
          <w:rtl w:val="true"/>
        </w:rPr>
        <w:t xml:space="preserve">)). </w:t>
      </w:r>
      <w:r>
        <w:rPr>
          <w:rtl w:val="true"/>
        </w:rPr>
        <w:t>לא מצאנו כי עניינו של המערער נמנה עם אותם מקרים חריגים אשר מצדיקים את התערבותנו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ניתן לומר כי העונש שהושת על המערער אינו חמור</w:t>
      </w:r>
      <w:r>
        <w:rPr>
          <w:rtl w:val="true"/>
        </w:rPr>
        <w:t xml:space="preserve">, </w:t>
      </w:r>
      <w:r>
        <w:rPr>
          <w:rtl w:val="true"/>
        </w:rPr>
        <w:t>ואולם אנו סבורים כי הוא תואם את חומרת מעשיו</w:t>
      </w:r>
      <w:r>
        <w:rPr>
          <w:rtl w:val="true"/>
        </w:rPr>
        <w:t xml:space="preserve">, </w:t>
      </w:r>
      <w:r>
        <w:rPr>
          <w:rtl w:val="true"/>
        </w:rPr>
        <w:t>כפי שנבהיר 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שלפנינו תכנן את מעשיו צעד אחר צעד והשקיע מחשבה מרובה בהוצאת תוכניתו </w:t>
      </w:r>
      <w:r>
        <w:rPr>
          <w:rtl w:val="true"/>
        </w:rPr>
        <w:t>–</w:t>
      </w:r>
      <w:r>
        <w:rPr>
          <w:rtl w:val="true"/>
        </w:rPr>
        <w:t xml:space="preserve"> לפגוע ביהודי ויהי מה</w:t>
      </w:r>
      <w:r>
        <w:rPr>
          <w:rtl w:val="true"/>
        </w:rPr>
        <w:t xml:space="preserve">, </w:t>
      </w:r>
      <w:r>
        <w:rPr>
          <w:rtl w:val="true"/>
        </w:rPr>
        <w:t xml:space="preserve">מבלי להותיר לו סיכוי רב לשרוד </w:t>
      </w:r>
      <w:r>
        <w:rPr>
          <w:rtl w:val="true"/>
        </w:rPr>
        <w:t>–</w:t>
      </w:r>
      <w:r>
        <w:rPr>
          <w:rtl w:val="true"/>
        </w:rPr>
        <w:t xml:space="preserve"> אל הפועל</w:t>
      </w:r>
      <w:r>
        <w:rPr>
          <w:rtl w:val="true"/>
        </w:rPr>
        <w:t xml:space="preserve">. </w:t>
      </w:r>
      <w:r>
        <w:rPr>
          <w:rtl w:val="true"/>
        </w:rPr>
        <w:t>עובדות כתב האישום המתוקן שופכות אור חיוני על היערכותו המקדימה של המערער לביצוע מעשיו השפלים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 אנו למדים</w:t>
      </w:r>
      <w:r>
        <w:rPr>
          <w:rtl w:val="true"/>
        </w:rPr>
        <w:t>, "</w:t>
      </w:r>
      <w:r>
        <w:rPr>
          <w:rtl w:val="true"/>
        </w:rPr>
        <w:t>חשש</w:t>
      </w:r>
      <w:r>
        <w:rPr>
          <w:rtl w:val="true"/>
        </w:rPr>
        <w:t xml:space="preserve">" </w:t>
      </w:r>
      <w:r>
        <w:rPr>
          <w:rtl w:val="true"/>
        </w:rPr>
        <w:t xml:space="preserve">שמא פיגוע דריסה </w:t>
      </w:r>
      <w:r>
        <w:rPr>
          <w:rtl w:val="true"/>
        </w:rPr>
        <w:t>"</w:t>
      </w:r>
      <w:r>
        <w:rPr>
          <w:rtl w:val="true"/>
        </w:rPr>
        <w:t>לא יעלה יפה</w:t>
      </w:r>
      <w:r>
        <w:rPr>
          <w:rtl w:val="true"/>
        </w:rPr>
        <w:t xml:space="preserve">", </w:t>
      </w:r>
      <w:r>
        <w:rPr>
          <w:rtl w:val="true"/>
        </w:rPr>
        <w:t>פן ייוותר הקורבן הפוטנציאלי בחיים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ערך חיפוש באינטרנט בדבר האופן לדקירת קורבנו כך שייגרם לו נזק מרבי</w:t>
      </w:r>
      <w:r>
        <w:rPr>
          <w:rtl w:val="true"/>
        </w:rPr>
        <w:t xml:space="preserve">, </w:t>
      </w:r>
      <w:r>
        <w:rPr>
          <w:rtl w:val="true"/>
        </w:rPr>
        <w:t xml:space="preserve">ומצא כי פגיעה בעורק המחבר בין הצוואר ללב עשויה להמיתו בתוך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פנה המערער לממש את תוכניתו תוך שהצטייד בסכין מטבח באורך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 השכים קום</w:t>
      </w:r>
      <w:r>
        <w:rPr>
          <w:rtl w:val="true"/>
        </w:rPr>
        <w:t xml:space="preserve">, </w:t>
      </w:r>
      <w:r>
        <w:rPr>
          <w:rtl w:val="true"/>
        </w:rPr>
        <w:t>הגיע לתפילת הבוקר עם שחר ומשם עשה דרכו למרכז ירושלים על מנת לתור אחר קורבן יהודי פוטנציאלי</w:t>
      </w:r>
      <w:r>
        <w:rPr>
          <w:rtl w:val="true"/>
        </w:rPr>
        <w:t xml:space="preserve">. </w:t>
      </w:r>
      <w:r>
        <w:rPr>
          <w:rtl w:val="true"/>
        </w:rPr>
        <w:t>המערער הבחין כאמור בנפגע</w:t>
      </w:r>
      <w:r>
        <w:rPr>
          <w:rtl w:val="true"/>
        </w:rPr>
        <w:t xml:space="preserve">,  </w:t>
      </w:r>
      <w:r>
        <w:rPr>
          <w:rtl w:val="true"/>
        </w:rPr>
        <w:t>חייל צעיר</w:t>
      </w:r>
      <w:r>
        <w:rPr>
          <w:rtl w:val="true"/>
        </w:rPr>
        <w:t xml:space="preserve">, </w:t>
      </w:r>
      <w:r>
        <w:rPr>
          <w:rtl w:val="true"/>
        </w:rPr>
        <w:t>עקב אחריו ודקר אותו בנחישות רבה</w:t>
      </w:r>
      <w:r>
        <w:rPr>
          <w:rtl w:val="true"/>
        </w:rPr>
        <w:t xml:space="preserve">, </w:t>
      </w:r>
      <w:r>
        <w:rPr>
          <w:rtl w:val="true"/>
        </w:rPr>
        <w:t>גם משזה היה כבר מוטל על הארץ</w:t>
      </w:r>
      <w:r>
        <w:rPr>
          <w:rtl w:val="true"/>
        </w:rPr>
        <w:t xml:space="preserve">, </w:t>
      </w:r>
      <w:r>
        <w:rPr>
          <w:rtl w:val="true"/>
        </w:rPr>
        <w:t>ושב והסתער עליו כפי שלמד מהתכנים שבהם צפה באינטרנט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השתלשלות האירועים הבהירה והחד</w:t>
      </w:r>
      <w:r>
        <w:rPr>
          <w:rtl w:val="true"/>
        </w:rPr>
        <w:t>-</w:t>
      </w:r>
      <w:r>
        <w:rPr>
          <w:rtl w:val="true"/>
        </w:rPr>
        <w:t>משמעית אשר נפרשה לעיל</w:t>
      </w:r>
      <w:r>
        <w:rPr>
          <w:rtl w:val="true"/>
        </w:rPr>
        <w:t xml:space="preserve">, </w:t>
      </w:r>
      <w:r>
        <w:rPr>
          <w:rtl w:val="true"/>
        </w:rPr>
        <w:t>אין לנו אלא לדחות מכל וכל את טיעוניה של באת כוח המערער בדבר המניע אשר ניצב בבסיס מעשיו</w:t>
      </w:r>
      <w:r>
        <w:rPr>
          <w:rtl w:val="true"/>
        </w:rPr>
        <w:t xml:space="preserve">. </w:t>
      </w:r>
      <w:r>
        <w:rPr>
          <w:rtl w:val="true"/>
        </w:rPr>
        <w:t>קביעתו של בית משפט קמא שלפיה פעל המערער מתוך מניע אידאולוגי</w:t>
      </w:r>
      <w:r>
        <w:rPr>
          <w:rtl w:val="true"/>
        </w:rPr>
        <w:t>-</w:t>
      </w:r>
      <w:r>
        <w:rPr>
          <w:rtl w:val="true"/>
        </w:rPr>
        <w:t>לאומני נסמכת על מסכת עובדתית אשר אינה משתמעת לשני פנים</w:t>
      </w:r>
      <w:r>
        <w:rPr>
          <w:rtl w:val="true"/>
        </w:rPr>
        <w:t xml:space="preserve">, </w:t>
      </w:r>
      <w:r>
        <w:rPr>
          <w:rtl w:val="true"/>
        </w:rPr>
        <w:t>ושממנה אין זה מדרכה של ערכאת הערעור לשנות</w:t>
      </w:r>
      <w:r>
        <w:rPr>
          <w:rtl w:val="true"/>
        </w:rPr>
        <w:t xml:space="preserve">. </w:t>
      </w:r>
      <w:r>
        <w:rPr>
          <w:rtl w:val="true"/>
        </w:rPr>
        <w:t xml:space="preserve">ניכר כי מניע זה הוא שהוליך את המערער לפגוע ביהודי באשר הוא יהודי – יהיה הוא אזרח </w:t>
      </w:r>
      <w:r>
        <w:rPr>
          <w:rtl w:val="true"/>
        </w:rPr>
        <w:t xml:space="preserve">מן השורה </w:t>
      </w:r>
      <w:r>
        <w:rPr>
          <w:rtl w:val="true"/>
        </w:rPr>
        <w:t xml:space="preserve">או </w:t>
      </w:r>
      <w:r>
        <w:rPr>
          <w:rtl w:val="true"/>
        </w:rPr>
        <w:t>אזרח ה</w:t>
      </w:r>
      <w:r>
        <w:rPr>
          <w:rtl w:val="true"/>
        </w:rPr>
        <w:t>לובש מדים – ואין לקבל את ההבחנה שאותה ביקשה לערוך באת כוח המערער בטיעוניה 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איננו סבורים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נפלה שגגה בקביעת מתחם הענישה ההולם ובעונש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המאסר בפועל אשר נגזר על המערער</w:t>
      </w:r>
      <w:r>
        <w:rPr>
          <w:rtl w:val="true"/>
        </w:rPr>
        <w:t xml:space="preserve">. </w:t>
      </w:r>
      <w:r>
        <w:rPr>
          <w:rtl w:val="true"/>
        </w:rPr>
        <w:t>מעשיו האלימים והאכזריים</w:t>
      </w:r>
      <w:r>
        <w:rPr>
          <w:rtl w:val="true"/>
        </w:rPr>
        <w:t xml:space="preserve">, </w:t>
      </w:r>
      <w:r>
        <w:rPr>
          <w:rtl w:val="true"/>
        </w:rPr>
        <w:t xml:space="preserve">אשר היו </w:t>
      </w:r>
      <w:r>
        <w:rPr>
          <w:rtl w:val="true"/>
        </w:rPr>
        <w:t>עלולים</w:t>
      </w:r>
      <w:r>
        <w:rPr>
          <w:rtl w:val="true"/>
        </w:rPr>
        <w:t xml:space="preserve"> להסתיים במותו של הנפגע אלמלא נחלץ לעזרתו המאבטח שהיה מצוי </w:t>
      </w:r>
      <w:r>
        <w:rPr>
          <w:rtl w:val="true"/>
        </w:rPr>
        <w:t>בקרבת מקום</w:t>
      </w:r>
      <w:r>
        <w:rPr>
          <w:rtl w:val="true"/>
        </w:rPr>
        <w:t xml:space="preserve">, </w:t>
      </w:r>
      <w:r>
        <w:rPr>
          <w:rtl w:val="true"/>
        </w:rPr>
        <w:t>ראויים לכל גנאי ולתגובה עונשית קשה ומרתיעה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מצאנו כי עלה בידי המערער להצביע על נימוקים של ממש להתערבות בשיעור הפיצוי לטובת נפגע העבירה</w:t>
      </w:r>
      <w:r>
        <w:rPr>
          <w:rtl w:val="true"/>
        </w:rPr>
        <w:t xml:space="preserve">.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כי הלכה מושרשת היא שיכולתו הכלכלית של מבצע העבירה אינה מהווה שיקול בקביעת שיעור הפיצוי לטובת נפגעיה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105/17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זיתוני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לחוות דעתי </w:t>
      </w:r>
      <w:r>
        <w:rPr>
          <w:sz w:val="28"/>
          <w:rtl w:val="true"/>
        </w:rPr>
        <w:t>(</w:t>
      </w:r>
      <w:r>
        <w:rPr>
          <w:sz w:val="28"/>
        </w:rPr>
        <w:t>26.12.2017</w:t>
      </w:r>
      <w:r>
        <w:rPr>
          <w:sz w:val="28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 xml:space="preserve">לגופם של דברים </w:t>
      </w:r>
      <w:r>
        <w:rPr>
          <w:rtl w:val="true"/>
        </w:rPr>
        <w:t>–</w:t>
      </w:r>
      <w:r>
        <w:rPr>
          <w:rtl w:val="true"/>
        </w:rPr>
        <w:t xml:space="preserve"> עיון בהצהרתו של הנפגע</w:t>
      </w:r>
      <w:r>
        <w:rPr>
          <w:rtl w:val="true"/>
        </w:rPr>
        <w:t xml:space="preserve">, </w:t>
      </w:r>
      <w:r>
        <w:rPr>
          <w:rtl w:val="true"/>
        </w:rPr>
        <w:t>אשר הוגשה לבית משפט קמא</w:t>
      </w:r>
      <w:r>
        <w:rPr>
          <w:rtl w:val="true"/>
        </w:rPr>
        <w:t xml:space="preserve">, </w:t>
      </w:r>
      <w:r>
        <w:rPr>
          <w:rtl w:val="true"/>
        </w:rPr>
        <w:t>מלמדת כי זולת הנזק הגופני שאותו חווה</w:t>
      </w:r>
      <w:r>
        <w:rPr>
          <w:rtl w:val="true"/>
        </w:rPr>
        <w:t xml:space="preserve">, </w:t>
      </w:r>
      <w:r>
        <w:rPr>
          <w:rtl w:val="true"/>
        </w:rPr>
        <w:t>מלווה אותו עד לימים אלה פגיעה נפשית בדמות חשש מפני הליכה בגפו</w:t>
      </w:r>
      <w:r>
        <w:rPr>
          <w:rtl w:val="true"/>
        </w:rPr>
        <w:t xml:space="preserve">. </w:t>
      </w: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>שבהן אין להקל ראש</w:t>
      </w:r>
      <w:r>
        <w:rPr>
          <w:rtl w:val="true"/>
        </w:rPr>
        <w:t xml:space="preserve">, </w:t>
      </w:r>
      <w:r>
        <w:rPr>
          <w:rtl w:val="true"/>
        </w:rPr>
        <w:t>עמדתנו היא כי סכום הפיצויים שבו חויב המערער אינו מופרז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דין הערעור להידחות על שני 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b/>
                <w:bCs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16095520</w:t>
      </w:r>
      <w:r>
        <w:rPr>
          <w:sz w:val="16"/>
          <w:rtl w:val="true"/>
        </w:rPr>
        <w:t>_</w:t>
      </w:r>
      <w:r>
        <w:rPr>
          <w:sz w:val="16"/>
        </w:rPr>
        <w:t>J05.doc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54678313-9552/16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9552/16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סעיד קומבוז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89059" TargetMode="External"/><Relationship Id="rId3" Type="http://schemas.openxmlformats.org/officeDocument/2006/relationships/hyperlink" Target="http://www.nevo.co.il/case/20889059" TargetMode="External"/><Relationship Id="rId4" Type="http://schemas.openxmlformats.org/officeDocument/2006/relationships/hyperlink" Target="http://www.nevo.co.il/case/23506710" TargetMode="External"/><Relationship Id="rId5" Type="http://schemas.openxmlformats.org/officeDocument/2006/relationships/hyperlink" Target="http://www.nevo.co.il/case/22006497" TargetMode="External"/><Relationship Id="rId6" Type="http://schemas.openxmlformats.org/officeDocument/2006/relationships/hyperlink" Target="http://www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2018-01-22T13:05:00Z</dcterms:created>
  <dc:creator> </dc:creator>
  <dc:description/>
  <cp:keywords/>
  <dc:language>en-IL</dc:language>
  <cp:lastModifiedBy>orly</cp:lastModifiedBy>
  <cp:lastPrinted>2018-01-21T10:02:00Z</cp:lastPrinted>
  <dcterms:modified xsi:type="dcterms:W3CDTF">2018-01-23T13:32:00Z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סעיד קומבוז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ישראל;סת' אילסון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20889059:2;23506710;22006497</vt:lpwstr>
  </property>
  <property fmtid="{D5CDD505-2E9C-101B-9397-08002B2CF9AE}" pid="9" name="CITY">
    <vt:lpwstr/>
  </property>
  <property fmtid="{D5CDD505-2E9C-101B-9397-08002B2CF9AE}" pid="10" name="DATE">
    <vt:lpwstr>20180122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ברק ארז;י' אלרון</vt:lpwstr>
  </property>
  <property fmtid="{D5CDD505-2E9C-101B-9397-08002B2CF9AE}" pid="14" name="LAWYER">
    <vt:lpwstr>בת שבע אבגז;לאה צמל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דיון פלילי</vt:lpwstr>
  </property>
  <property fmtid="{D5CDD505-2E9C-101B-9397-08002B2CF9AE}" pid="26" name="NOSE110">
    <vt:lpwstr/>
  </property>
  <property fmtid="{D5CDD505-2E9C-101B-9397-08002B2CF9AE}" pid="27" name="NOSE12">
    <vt:lpwstr>דיון פלילי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18;18;77;77</vt:lpwstr>
  </property>
  <property fmtid="{D5CDD505-2E9C-101B-9397-08002B2CF9AE}" pid="36" name="NOSE21">
    <vt:lpwstr>ערעור</vt:lpwstr>
  </property>
  <property fmtid="{D5CDD505-2E9C-101B-9397-08002B2CF9AE}" pid="37" name="NOSE210">
    <vt:lpwstr/>
  </property>
  <property fmtid="{D5CDD505-2E9C-101B-9397-08002B2CF9AE}" pid="38" name="NOSE22">
    <vt:lpwstr>ערעור</vt:lpwstr>
  </property>
  <property fmtid="{D5CDD505-2E9C-101B-9397-08002B2CF9AE}" pid="39" name="NOSE23">
    <vt:lpwstr>ענישה</vt:lpwstr>
  </property>
  <property fmtid="{D5CDD505-2E9C-101B-9397-08002B2CF9AE}" pid="40" name="NOSE24">
    <vt:lpwstr>פיצויים והוצאות</vt:lpwstr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504;504;1446;1447</vt:lpwstr>
  </property>
  <property fmtid="{D5CDD505-2E9C-101B-9397-08002B2CF9AE}" pid="47" name="NOSE31">
    <vt:lpwstr>אי-התערבות במידת העונש</vt:lpwstr>
  </property>
  <property fmtid="{D5CDD505-2E9C-101B-9397-08002B2CF9AE}" pid="48" name="NOSE310">
    <vt:lpwstr/>
  </property>
  <property fmtid="{D5CDD505-2E9C-101B-9397-08002B2CF9AE}" pid="49" name="NOSE32">
    <vt:lpwstr>אי-התערבות בממצאים עובדתיים</vt:lpwstr>
  </property>
  <property fmtid="{D5CDD505-2E9C-101B-9397-08002B2CF9AE}" pid="50" name="NOSE33">
    <vt:lpwstr>מדיניות ענישה: עבירות אלימות על רקע אידיאולוגי</vt:lpwstr>
  </property>
  <property fmtid="{D5CDD505-2E9C-101B-9397-08002B2CF9AE}" pid="51" name="NOSE34">
    <vt:lpwstr>פיצויו של מי שניזוק על-ידי העבירה</vt:lpwstr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17039;3849;17645;9011</vt:lpwstr>
  </property>
  <property fmtid="{D5CDD505-2E9C-101B-9397-08002B2CF9AE}" pid="58" name="PADIDATE">
    <vt:lpwstr>20180123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9552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410120180122</vt:lpwstr>
  </property>
  <property fmtid="{D5CDD505-2E9C-101B-9397-08002B2CF9AE}" pid="68" name="TYPE_N_DATE">
    <vt:lpwstr>41020180122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