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9560/17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5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7"/>
        <w:gridCol w:w="5098"/>
      </w:tblGrid>
      <w:tr>
        <w:trPr>
          <w:trHeight w:val="287" w:hRule="atLeast"/>
        </w:trPr>
        <w:tc>
          <w:tcPr>
            <w:tcW w:w="3267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09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בהאא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עויסאת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5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7"/>
        <w:gridCol w:w="5098"/>
      </w:tblGrid>
      <w:tr>
        <w:trPr>
          <w:trHeight w:val="287" w:hRule="atLeast"/>
        </w:trPr>
        <w:tc>
          <w:tcPr>
            <w:tcW w:w="3267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09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30.3.2017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23.10.2017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12970-11-15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נעם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14.5.2020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קולומבוס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9"/>
        <w:gridCol w:w="5134"/>
      </w:tblGrid>
      <w:tr>
        <w:trPr/>
        <w:tc>
          <w:tcPr>
            <w:tcW w:w="32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הערבית</w:t>
            </w:r>
            <w:r>
              <w:rPr>
                <w:rtl w:val="true"/>
              </w:rPr>
              <w:t>:</w:t>
            </w:r>
          </w:p>
        </w:tc>
        <w:tc>
          <w:tcPr>
            <w:tcW w:w="513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סנאן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מוסאן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186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305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 כי בשים לב למדיניות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בכך שזו העבירה הראשונה העומדת לחובת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ובהתחשב בנסיבותיו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להקל במקצת בעונש המאסר בפועל שהושת עליו בגין הרשעתו בעבירה של ניסיון רצח על רקע רצונו לבצע פיגוע דקירה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שעונשו יעמוד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 על רקע לאומני‏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ביטחון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גזר הדין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הרשיע את המערער בעבירה של ניסיון לרצח ובעבירה של החזקת סכין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בגדרו נגזרו על המערער עונשים של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ושני מאסרים מותנים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הרקע להרשעה ולעונש הוא רצונו של המערער לבצע פיגוע דקירה ולזכות לתואר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סולברג ובהסכמת השופטים מזוז ושטיין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בחלקו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 העבירות אותן ביצע המערער מופלגת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בנקל המסקנה היא כי יש להקל הקלת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 בעונשו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 המשפט נוקטים יד קשה ובלתי מתפשרת כלפי מעשי טרור שמבוצעים על רקע לאומני ובצדק קבע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כי במצבים מעין אלו נסיבותיו האישיות של הנאשם נדחקות אחור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ועיקר כובד המשקל ניתן לשיקולי הגמול וההרתעה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ברי כי שיקולי ההרתעה קיבלו משנה תוקף על רקע גל הטרור שפקד את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מדיניות הענישה מבחינה בין רמות חומרה שונות של מעשי הניסיון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מתחשבת בשלב בו סוכל הניסיון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ויותר מכך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בתוצאותיו המוחשיות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 יש חשיבות מסוימת לעובדה שתושיית השוטרים מנעה מן המערער לפגוע בנפש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 ניסיון הרצח נגמר בלא תוצאות של 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 המערער חמורים עד מאד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שיטת המשפט שלנו מכירה במעמדן של תוצאות המעשה במסגרת גזירת הדין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מעיון בפסיקה עולה כי 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 ברמת חומרה דומה לזו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נגזרה במקרים שבהם נפגעה בפועל שלמות גופו של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בשים לב למדיניות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בכך שזו העבירה הראשונה העומדת לחובתו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ובהתחשב בנסיבותיו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להקל במקצת בעונש המאסר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מבלי להפחית מחומרת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 התוצאות ההרסניות שעלולות היו להיגרם כתוצאה מהם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ומן ההכרח בענישה 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שעונשו של המערער יעמוד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יוותרו על כנם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23.10.2017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12970-11-15</w:t>
        </w:r>
      </w:hyperlink>
      <w:r>
        <w:rPr>
          <w:rtl w:val="true"/>
        </w:rPr>
        <w:t xml:space="preserve"> (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סג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tl w:val="true"/>
        </w:rPr>
        <w:t xml:space="preserve">),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שיופעל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שיופעל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בשלהי חודש ספטמבר 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פרץ גל של פיגועי טרור רצחני ברחבי 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עובדות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יליד שנת </w:t>
      </w:r>
      <w:r>
        <w:rPr>
          <w:rFonts w:cs="Century" w:ascii="Century" w:hAnsi="Century"/>
        </w:rPr>
        <w:t>1994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המתגורר בשכונת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בל מוכאבר בירושלים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צפה ברשת האינטרנט בסרטונים 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שהידים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וביקש להצטרף גם הוא לאותם מרצחים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לבצע פיגוע דקירה ולזכות לתואר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שהיד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לשם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23.10.2015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בסמוך לשעה </w:t>
      </w:r>
      <w:r>
        <w:rPr>
          <w:rFonts w:cs="Century" w:ascii="Century" w:hAnsi="Century"/>
        </w:rPr>
        <w:t>7:30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נטל המערער סכין באורך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 ממטבח 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החביאה בשרוול מעילו ויצא לעבר שכונת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נוף ציון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הסמוכה למקום מגוריו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בדרכו לשכונה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עצר המערער והשחיז את סכינו באמצעות אבן גרניט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בהגיעו לשכונה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תצפת המערער לעבר הכביש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ותר אחר קרבן יהודי מתאים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לדקור אותו בצווארו ולהביא למותו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תצפיתו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ראה המערער אזרחים ושוטרים שנוסעים על הכביש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חכך בדעתו האם לנסות לדקור אותם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החליט להימנע מכך נוכח היותם ישובים בכלי 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התנהגותו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עוררה את חשדם של עוברי אורח ואלו הזעיקו את המשטרה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כוח משטרה שהגיע למקום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פנה אל המערער ושאל אותו לפשר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השיב כי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רק יושב כאן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בתגובה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הורה אחד השוטרים למערער להרים את ידיו וחולצתו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הרים את ידו השמאלית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ואילו את ידו הימנית הצמיד אל הגדר שלצדו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 המערער להרים את ידו ולבצע את זממו בשוטר שעמד מולו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בטרם הספיק לעשות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הבחינו השוטרים בלהב הסכין המבצבצת משרוולו והשתלטו עליו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בהכרעת הדין אימץ בית המשפט המחוזי את גרסת התביעה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הוכחה בהודאות שמסר המערער בחקירתו ובעדויותיהם של השוטרים שנכחו בזירה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חזר בחקירתו מספר פעמים על גרסתו לפיה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ביקש להרוג יהודי ולהיות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שהיד</w:t>
      </w:r>
      <w:r>
        <w:rPr>
          <w:rFonts w:cs="Century" w:ascii="Century" w:hAnsi="Century"/>
          <w:rtl w:val="true"/>
        </w:rPr>
        <w:t>':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פיגוע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לדקור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ולהרוג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פיגוע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דריסה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נוהג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לירות</w:t>
      </w:r>
      <w:r>
        <w:rPr>
          <w:rFonts w:cs="Miriam" w:ascii="Century" w:hAnsi="Century"/>
          <w:b/>
          <w:spacing w:val="0"/>
          <w:szCs w:val="24"/>
          <w:rtl w:val="true"/>
        </w:rPr>
        <w:t>...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פיגוע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דקירה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גרסתו המאוחרת של המערער לפני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ביקש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רק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לפצוע יהודי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נדחתה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בקובעו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מדובר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עדות כבושה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ובלתי אמינה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הוסיף וקבע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בניגוד לעדותו המאוחרת של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כי הלה החל להרים את ידו על מנת לדקור את השוטר שתישאל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תכניתו סוכלה נוכח תושיית צוות השוטרים שנכח במקום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מסר המערער בחקירתו לעניין זה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לשאול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שאלות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לדקור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בצוואר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שימות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החזקתי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השוטרים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לסכין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והפילו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לרצפה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על רקע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המחוזי כי מעשי המערער חצו את שלב ההכנה ונכנסו למתחם הניסיון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עוד בטרם הגיעו השוטרים לזירה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הרשיע בית המשפט המחוזי את המערער בעבירה של ניסיון לרצח לפי </w:t>
      </w:r>
      <w:hyperlink r:id="rId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ובעבירה של החזקת סכין לפי </w:t>
      </w:r>
      <w:hyperlink r:id="rId1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186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סקר תחילה את הרקע האישי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בעת ביצוע העבירות היה המערער בן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עומדות לחובתו עבירות קודמות וכי הוא בן להורים גרושים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גדל במערכת משפחתית מורכבת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שכללה אלימות במשפחה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בתום לימודיו התיכוניים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 לעבוד כעובד ניקיון בעיריית ירושלים עד למעצרו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עמד על תסקיר שירות המבחן שהוגש בעניינו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התסקיר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לקח המערער אחריות פורמאלית על המעשים המיוחסים לו ואף הביע חרטה עליהם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זאת בעיקר בשל המחיר שהוא משלם כעת על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טען לפני קצינת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בעת האירוע היה תחת השפעת אלכוהול וכי היה שרוי בלחץ נפשי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 המבחן מנה כמה וכמה גורמי סיכון בעניינו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והעריך כי רמת הסיכון להישנותן של עבירות דומות בעתיד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גבוהה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רקע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פנה בית המשפט לקבוע את מתחם העונש ההולם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נאמר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צורך להכביר מילים על אודות חומרתה של עבירת ניסיון לרצח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על רקע לאומני וכחלק מגל 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צריך ליתן ביטוי הולם לערך שלמות הגוף וקדושת החיים של כלל הציבור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הוסיף ועמד על חומרתה של האידיאולוגיה הרצחנית המקדשת את המוות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עומדת ברקע למעשי הטרור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לנסיבות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מופלגת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התייחס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 התכנון שקדם 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 השחזת הסכין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ואל המארב של המערער בהיותו בשכונת נוף ציון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נתן בית המשפט דעתו על הניסיון הקונקרטי לרצוח אחד מצוות השוטרים שהגיע למקום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סקר בית המשפט את 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על בסיס הערכים המוגנים שנפגעו ונסיבות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מתחם העונש ההולם הריהו </w:t>
      </w:r>
      <w:r>
        <w:rPr>
          <w:rFonts w:cs="Century" w:ascii="Century" w:hAnsi="Century"/>
        </w:rPr>
        <w:t>18-14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לגזירת העונש המתאים בתוך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כי בעבירות של ניסיון לרצח על רקע לאומני וכחלק מגל הטרור שהתפרץ באותה 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משקלן של הנסיבות האישיות שולי יחסית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 ליתן בכורה לשיקולי הגמול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ההגנה על בטחון הציבור וההרתעה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גזר בית המשפט את עונשו של המערער באמצע המתחם שקבע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והעמידו על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מלין על חומרת 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שגה בית המשפט בקובעו את מתחם העונש ההולם בהסתמך על פסיקה העוסקת במצבים חמורים הרבה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ותוך התעלמות מפסיקה העוסקת בנסיבות הדומות לענייננו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שגה בית המשפט כשלא יִחס משקל הולם לנסיבותיו האישיות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המשיבה מבקשת לדחות את הטענות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גזר הדין מבקש לשקף ענישה משמעותית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תרתיע הן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מבצעים פוטנציאליים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אינו חורג ממדיניות הענישה הנוהגת במקרים דומים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בתסקירי שירות המבחן שהוגשו לעיוננו עובר לקיום הדיונים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נרשמו לחובת המערער אירועים חריגים בשבתו בבית הסוהר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לא מצוי בקשר עם גורמי הטיפול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בדיון שהתקיים לפנינו ביום </w:t>
      </w:r>
      <w:r>
        <w:rPr>
          <w:rFonts w:cs="Century" w:ascii="Century" w:hAnsi="Century"/>
        </w:rPr>
        <w:t>14.5.2020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על טענותיו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לפיהן שגה בית המשפט המחוזי שעה שביסס את מתחם הענישה על מדיניות שהונהגה ביחס למעשים חמורים מאלו שביצע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הטעים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להבחין בין מצבים שבהם הצליח נאשם לדקור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מצבים אחרים שבהם סוכל ניסיונו בשלב מוקדם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 כי במקרים שבהם בוצעה דקירה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נגזרו עונשים חמורים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נסיבות ביצוע העבירה בענייננו מצדיקות את המתחם שנקבע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לגזירת העונש המתאים גורסת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בעבירות אידיאולוגיות מן הסוג הזה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הנסיבות האישיות נסוגות אחור ומפנות מקומן לשיקולי הרתעה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עיון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ובחינת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 מזה ומזה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באתי לכלל מסקנה כי נכון יהיה להפחית מקצת מתקופת המאסר שהושתה על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חומרתן של העבירות אותן ביצע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מופלגת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בנקל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בחופזה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באתי לכלל מסקנה כי יש להקל הקלת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מה בעונשו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מקובל על דעתי לחלוטין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המסר שביקש בית המשפט המחוזי להעביר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בתי המשפט נוקטים יד קשה ובלתי מתפשרת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צריך להיות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כלפי מעשי טרור שמבוצעים על רקע לאומני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ומחמיר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10111/16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/>
        <w:t>15.02.2018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צדק בית המשפט המחוזי בקובעו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במצבים מעין אלו נסיבותיו האישיות של הנאשם נדחקות אחור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ועיקר כובד המשקל ניתן לשיקולי הגמול וההרתעה </w:t>
      </w:r>
      <w:r>
        <w:rPr>
          <w:rFonts w:cs="Century" w:ascii="Century" w:hAnsi="Century"/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7367/18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כורד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02.05.2019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ברי כי שיקולי ההרתעה קיבלו משנה תוקף על רקע גל הטרור שפקד את המדינה בעת ההיא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דוויאת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13.01.2019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מדיניות הענישה מבחינה בין רמות חומרה שונות של מעשי הניסיון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מתחשבת בשלב בו סוכל הניסיון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ויותר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בתוצאותיו המוחשיות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בנוגע לענייננו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נודעת חשיבות מסוימת לעובדה שתושיית השוטרים מנעה מן המערער לפגוע בנפש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ולפיכך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באורח נס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ניסיון הרצח נגמר בלא תוצאות של 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מעשי המערער חמורים עד מאד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כך  אין עוררין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שיטת המשפט שלנו מכירה במעמדן של תוצאות המעשה במסגרת גזירת הדין של הנאשם </w:t>
      </w:r>
      <w:r>
        <w:rPr>
          <w:rFonts w:cs="Century" w:ascii="Century" w:hAnsi="Century"/>
          <w:rtl w:val="true"/>
        </w:rPr>
        <w:t>(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2418/17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קוטינה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25-24</w:t>
      </w:r>
      <w:r>
        <w:rPr>
          <w:rtl w:val="true"/>
        </w:rPr>
        <w:t xml:space="preserve"> (</w:t>
      </w:r>
      <w:r>
        <w:rPr/>
        <w:t>25.10.2018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עיינתי בפסקי הדין שהגישו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שני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בפסקי דין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ומצאתי כי על דרך הכלל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ענישה ברמת חומרה דומה לזו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נגזרה במקרים שבהם נפגעה בפועל שלמות גופו של אדם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סברתי אפוא כי בשים לב למדיניות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בכך שזו העבירה הראשונה העומדת לחובתו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ובהתחשב בנסיבותיו האישיות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להקל במקצת בעונשו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מבלי להפחית כמלוא הנימה מחומרת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מן התוצאות ההרסניות שעלולות היו להיגרם כתוצאה מהם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ומן ההכרח בענישה קשה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להפחית שנתיים מעונשו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שיעמוד על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רכיבי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יוותרו על כנם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firstLine="720"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firstLine="720"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firstLine="720"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21.5.2020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17095600</w:t>
      </w:r>
      <w:r>
        <w:rPr>
          <w:sz w:val="16"/>
          <w:rtl w:val="true"/>
        </w:rPr>
        <w:t>_</w:t>
      </w:r>
      <w:r>
        <w:rPr>
          <w:sz w:val="16"/>
        </w:rPr>
        <w:t>O13.docx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54678313-9560/17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9560/17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בהאא עויסאת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0579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i.a.4" TargetMode="External"/><Relationship Id="rId5" Type="http://schemas.openxmlformats.org/officeDocument/2006/relationships/hyperlink" Target="http://www.nevo.co.il/law/70301/186.a" TargetMode="External"/><Relationship Id="rId6" Type="http://schemas.openxmlformats.org/officeDocument/2006/relationships/hyperlink" Target="http://www.nevo.co.il/law/70301/305.1" TargetMode="External"/><Relationship Id="rId7" Type="http://schemas.openxmlformats.org/officeDocument/2006/relationships/hyperlink" Target="http://www.nevo.co.il/case/20705798" TargetMode="External"/><Relationship Id="rId8" Type="http://schemas.openxmlformats.org/officeDocument/2006/relationships/hyperlink" Target="http://www.nevo.co.il/law/70301/305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86.a" TargetMode="External"/><Relationship Id="rId11" Type="http://schemas.openxmlformats.org/officeDocument/2006/relationships/hyperlink" Target="http://www.nevo.co.il/case/21901034" TargetMode="External"/><Relationship Id="rId12" Type="http://schemas.openxmlformats.org/officeDocument/2006/relationships/hyperlink" Target="http://www.nevo.co.il/case/25067020" TargetMode="External"/><Relationship Id="rId13" Type="http://schemas.openxmlformats.org/officeDocument/2006/relationships/hyperlink" Target="http://www.nevo.co.il/case/22232071" TargetMode="External"/><Relationship Id="rId14" Type="http://schemas.openxmlformats.org/officeDocument/2006/relationships/hyperlink" Target="http://www.nevo.co.il/law/70301/40i.a.4" TargetMode="External"/><Relationship Id="rId15" Type="http://schemas.openxmlformats.org/officeDocument/2006/relationships/hyperlink" Target="http://www.nevo.co.il/case/22495714" TargetMode="External"/><Relationship Id="rId16" Type="http://schemas.openxmlformats.org/officeDocument/2006/relationships/hyperlink" Target="http://supreme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2020-05-24T07:25:00Z</dcterms:created>
  <dc:creator>h4</dc:creator>
  <dc:description/>
  <cp:keywords/>
  <dc:language>en-IL</dc:language>
  <cp:lastModifiedBy>orly</cp:lastModifiedBy>
  <cp:lastPrinted>2020-05-21T11:07:00Z</cp:lastPrinted>
  <dcterms:modified xsi:type="dcterms:W3CDTF">2020-05-24T07:25:00Z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בהאא עויסאת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ProcID=213&amp;PartA=25&amp;PartC=24</vt:lpwstr>
  </property>
  <property fmtid="{D5CDD505-2E9C-101B-9397-08002B2CF9AE}" pid="9" name="CASESLISTTMP1">
    <vt:lpwstr>20705798:2;21901034;25067020;22232071;22495714</vt:lpwstr>
  </property>
  <property fmtid="{D5CDD505-2E9C-101B-9397-08002B2CF9AE}" pid="10" name="CITY">
    <vt:lpwstr/>
  </property>
  <property fmtid="{D5CDD505-2E9C-101B-9397-08002B2CF9AE}" pid="11" name="DATE">
    <vt:lpwstr>20200521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סולברג;מ' מזוז;א' שטיין</vt:lpwstr>
  </property>
  <property fmtid="{D5CDD505-2E9C-101B-9397-08002B2CF9AE}" pid="15" name="LAWLISTTMP1">
    <vt:lpwstr>70301/305.1;186.a;040i.a.4</vt:lpwstr>
  </property>
  <property fmtid="{D5CDD505-2E9C-101B-9397-08002B2CF9AE}" pid="16" name="LAWYER">
    <vt:lpwstr>מירי קולומבוס;יעקב ג'בר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עבירות אלימות על רקע לאומני‏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ביטחון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16899;8985</vt:lpwstr>
  </property>
  <property fmtid="{D5CDD505-2E9C-101B-9397-08002B2CF9AE}" pid="60" name="PADIDATE">
    <vt:lpwstr>20200524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9560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410120200521</vt:lpwstr>
  </property>
  <property fmtid="{D5CDD505-2E9C-101B-9397-08002B2CF9AE}" pid="70" name="TYPE_N_DATE">
    <vt:lpwstr>41020200521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