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9633/16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30.10.2016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43942-01-13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לערכאה המבררת יתרון על ערכאת הערעור בקביעת ממצאים עובדתיים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והתערבות בממצאי עובדה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ערכאת הערעור שמורה למקרים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 בתוך התא המשפחתי היא מן התופעות החברתיות המכוערות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כשהיא מופנית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החברה להוקיע ולגנות מעשים שכאלו ולתרום את תרומתה לעקירת התופעה ולהגנה על בניה ובנותיה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‏–‏ ערעור ‏–‏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‏–‏ ענישה ‏–‏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בעבירות אלימות כלפי אשתו וכלפי ילדיו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נידון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מופנה נגד שני חלקי 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מבוססת על אדני נאמנות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ונסמכת על 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אמרות אמה בחקירתה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אמירותיהם של ילדי המערער והמתלוננת וכן על ראשית הודאה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מקריאת 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עולה כי מסקנתו מנומקת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הוא מצא שעדות המתלוננת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בשל היותה עקבית ואחידה לאורך כל שלבי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שינה את גרסאותיו בצורה תכופה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בעניינים מהותיים הנוגעים באלימות המיוחסת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מעלה טענות נגד ממצאים עובדתיים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מושרשת היא כי לערכאה המבררת יתרון על ערכאת הערעור בקביעת ממצאים עובדתיים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הראשונה שמעה וראתה את עדי המשפט בחושיה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 עובדה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ערכאת הערעור שמורה למקרים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עניינינו נמנה ביניהם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משקל לכך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נימק את מסקנתו מבחינת הסיפור הכולל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התייחסות בפרוטרוט אף לטענות הסנגור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בצינור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בחגורה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ומדאיג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בבעיית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התמכרותו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ואלכוהול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בראייה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LawTable_End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43942-01-13</w:t>
        </w:r>
      </w:hyperlink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.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חגורה</w:t>
      </w:r>
      <w:r>
        <w:rPr>
          <w:rtl w:val="true"/>
        </w:rPr>
        <w:t xml:space="preserve">; </w:t>
      </w:r>
      <w:r>
        <w:rPr>
          <w:rtl w:val="true"/>
        </w:rPr>
        <w:t>ובאחר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פריט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במשוכת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שהמתורגמן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 xml:space="preserve">, </w:t>
      </w:r>
      <w:r>
        <w:rPr>
          <w:rtl w:val="true"/>
        </w:rPr>
        <w:t>ונסמכת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אמירותיהם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תכופה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שהמתורגמן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שהמתורגמנית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מליבה</w:t>
      </w:r>
      <w:r>
        <w:rPr>
          <w:rtl w:val="true"/>
        </w:rPr>
        <w:t xml:space="preserve">,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מאמרותיהן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>ובכוחה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לתוספות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שכזאת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בחגורה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ומדאיג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ולאלכוהול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ובנותיה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סולברג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bookmarkStart w:id="12" w:name="Start_Write"/>
      <w:bookmarkStart w:id="13" w:name="BeginProtocol"/>
      <w:bookmarkStart w:id="14" w:name="secretary"/>
      <w:bookmarkEnd w:id="12"/>
      <w:bookmarkEnd w:id="13"/>
      <w:bookmarkEnd w:id="14"/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16"/>
        </w:rPr>
      </w:pPr>
      <w:r>
        <w:rPr>
          <w:rFonts w:cs="FrankRuehl" w:ascii="Arial TUR;Arial" w:hAnsi="Arial TUR;Arial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16096330</w:t>
      </w:r>
      <w:r>
        <w:rPr>
          <w:sz w:val="16"/>
          <w:rtl w:val="true"/>
        </w:rPr>
        <w:t>_</w:t>
      </w:r>
      <w:r>
        <w:rPr>
          <w:sz w:val="16"/>
        </w:rPr>
        <w:t>Z07.doc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54678313-9633/16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Malgun Gothic Semilight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9633/16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7499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45.b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68b.a" TargetMode="External"/><Relationship Id="rId9" Type="http://schemas.openxmlformats.org/officeDocument/2006/relationships/hyperlink" Target="http://www.nevo.co.il/law/70301/382.b.1" TargetMode="External"/><Relationship Id="rId10" Type="http://schemas.openxmlformats.org/officeDocument/2006/relationships/hyperlink" Target="http://www.nevo.co.il/law/70301/382.b.2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0a" TargetMode="External"/><Relationship Id="rId13" Type="http://schemas.openxmlformats.org/officeDocument/2006/relationships/hyperlink" Target="http://www.nevo.co.il/law/98569/10a.a.1" TargetMode="External"/><Relationship Id="rId14" Type="http://schemas.openxmlformats.org/officeDocument/2006/relationships/hyperlink" Target="http://www.nevo.co.il/case/4749967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2.b.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382.b.2" TargetMode="External"/><Relationship Id="rId21" Type="http://schemas.openxmlformats.org/officeDocument/2006/relationships/hyperlink" Target="http://www.nevo.co.il/law/70301/368b.a" TargetMode="External"/><Relationship Id="rId22" Type="http://schemas.openxmlformats.org/officeDocument/2006/relationships/hyperlink" Target="http://www.nevo.co.il/law/70301/382.b.2" TargetMode="External"/><Relationship Id="rId23" Type="http://schemas.openxmlformats.org/officeDocument/2006/relationships/hyperlink" Target="http://www.nevo.co.il/law/70301/368b.a" TargetMode="External"/><Relationship Id="rId24" Type="http://schemas.openxmlformats.org/officeDocument/2006/relationships/hyperlink" Target="http://www.nevo.co.il/law/70301/382.b.2" TargetMode="External"/><Relationship Id="rId25" Type="http://schemas.openxmlformats.org/officeDocument/2006/relationships/hyperlink" Target="http://www.nevo.co.il/law/70301/245.b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/368b.a" TargetMode="External"/><Relationship Id="rId28" Type="http://schemas.openxmlformats.org/officeDocument/2006/relationships/hyperlink" Target="http://www.nevo.co.il/law/70301/382.b.2" TargetMode="External"/><Relationship Id="rId29" Type="http://schemas.openxmlformats.org/officeDocument/2006/relationships/hyperlink" Target="http://www.nevo.co.il/law/98569/10a" TargetMode="External"/><Relationship Id="rId30" Type="http://schemas.openxmlformats.org/officeDocument/2006/relationships/hyperlink" Target="http://www.nevo.co.il/law/98569" TargetMode="External"/><Relationship Id="rId31" Type="http://schemas.openxmlformats.org/officeDocument/2006/relationships/hyperlink" Target="http://www.nevo.co.il/law/98569/10a.a.1" TargetMode="External"/><Relationship Id="rId32" Type="http://schemas.openxmlformats.org/officeDocument/2006/relationships/hyperlink" Target="http://www.nevo.co.il/law/98569/10a.a.1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98569/10a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law/98569/10a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2018-04-22T18:53:00Z</dcterms:created>
  <dc:creator> </dc:creator>
  <dc:description/>
  <cp:keywords/>
  <dc:language>en-IL</dc:language>
  <cp:lastModifiedBy>orly</cp:lastModifiedBy>
  <cp:lastPrinted>2018-04-11T08:59:00Z</cp:lastPrinted>
  <dcterms:modified xsi:type="dcterms:W3CDTF">2018-04-22T18:53:00Z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22303136;4749967:2</vt:lpwstr>
  </property>
  <property fmtid="{D5CDD505-2E9C-101B-9397-08002B2CF9AE}" pid="9" name="CITY">
    <vt:lpwstr/>
  </property>
  <property fmtid="{D5CDD505-2E9C-101B-9397-08002B2CF9AE}" pid="10" name="DATE">
    <vt:lpwstr>20180417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סולברג;ע' ברון</vt:lpwstr>
  </property>
  <property fmtid="{D5CDD505-2E9C-101B-9397-08002B2CF9AE}" pid="14" name="LAWLISTTMP1">
    <vt:lpwstr>70301/333;335.a.1;382.b.1;192:2;382.b.2:4;368b.a:3;245.b</vt:lpwstr>
  </property>
  <property fmtid="{D5CDD505-2E9C-101B-9397-08002B2CF9AE}" pid="15" name="LAWLISTTMP2">
    <vt:lpwstr>98569/010a:3;010a.a.1:2</vt:lpwstr>
  </property>
  <property fmtid="{D5CDD505-2E9C-101B-9397-08002B2CF9AE}" pid="16" name="LAWYER">
    <vt:lpwstr>תומר סגלוביץ';נסאר מוסטפא;ברכה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</vt:lpwstr>
  </property>
  <property fmtid="{D5CDD505-2E9C-101B-9397-08002B2CF9AE}" pid="49" name="NOSE31">
    <vt:lpwstr>אי-התערבות בממצאים עובדתיים</vt:lpwstr>
  </property>
  <property fmtid="{D5CDD505-2E9C-101B-9397-08002B2CF9AE}" pid="50" name="NOSE310">
    <vt:lpwstr/>
  </property>
  <property fmtid="{D5CDD505-2E9C-101B-9397-08002B2CF9AE}" pid="51" name="NOSE32">
    <vt:lpwstr>מדיניות ענישה: אלימות במשפחה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3849;15628</vt:lpwstr>
  </property>
  <property fmtid="{D5CDD505-2E9C-101B-9397-08002B2CF9AE}" pid="60" name="PADIDATE">
    <vt:lpwstr>20180423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9633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410120180417</vt:lpwstr>
  </property>
  <property fmtid="{D5CDD505-2E9C-101B-9397-08002B2CF9AE}" pid="70" name="TYPE_N_DATE">
    <vt:lpwstr>41020180417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