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71747-12-18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19.5.2020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נפסק כי דובר בעבירות מין כלפי קורבנות בנות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ולא יכולה להיות זו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מערכת יחסים מוזרה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כלשון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אם ניצול בזוי של תמימות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חוסר הבנה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 יכולת מוגבלת להרים קול ולהתנגד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מאפיינים קטינים בגיל כה 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נגזר על המערער – בעקבות הרשעתו בעבירות מין שביצע משך 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בקטינות כבנות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שכנתו וחברתה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הקטנות מהמערער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לרבות אינוס ובעילה אסורה בהסכמה –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לשלם לקורבנות העבירות פיצוי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140,000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נעם 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י אלרון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התערבותה של ערכאת הערעור בגזר דין שמורה למצבים חריגים שבהם נפלה טעות מהותית בהחלטת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שהעונש שגזרה חורג באופן קיצוני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בא בגדר אותם 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כלפי קורבנות בנות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ולא יכולה להיות זו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מערכת יחסים מוזרה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כלשון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אם ניצול בזוי של תמימות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חוסר הבנה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 יכולת מוגבלת להרים קול ולהתנגד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מאפיינים קטינים בגיל כה 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מעוררים חלחלה וזעזוע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להפריז בחומרתה של הפגיעה בנפשותיהן של הקורבנות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בחילול כבודן וחירותן בהפיכת גופן לכלי שרת לסיפוק מאווייו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דוחה מכל ומכל את 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הנזק שנגרם להן מכך אינו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היקפן המלא של הצלקות שהותיר בנפשותיהן עודנו לוט בערפל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ויתכן ויתגלה רק בעוד שנים רבות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אם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להפחית ולו במאום מעוצמתה של הפגיעה הנלמדת אף מן התסקירים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טענות המערער בעניין מתחמי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נפסק כי קביעת מתחמי ענישה נפרדים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משקפת את ההבחנה בין אופי המעשים בכל אחד מהאירועים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היותה של כל אחת מהקורבנות בבחינת עולם ומלואו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עריכת כתב האישום בצורה של אישום אחד אינה שוללת את האפשרות להבחין בין אירועים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הקשר והסמיכות בין 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עליהם עמד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 לידי ביטוי בהחלטה לקבוע בגינם עונש כולל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לבסוף נדחתה בקשת המערער להקל בעונשו משיקולי שיקום ולקיחת אחריות 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 המבחן ציין בתסקיר את התרשמותו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לקיחת האחריות של המערער הייתה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חלקית ופורמאלית בעיקרה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פגם בהחלטותיו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למקם את עניינו של המערער ברבע התחתון של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לחרוג מהמתחם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24.12.2019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71747-12-18</w:t>
      </w:r>
      <w:r>
        <w:rPr>
          <w:rtl w:val="true"/>
        </w:rPr>
        <w:t xml:space="preserve"> 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בגדרו נגזר על המערער עונש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המערער לשלם לקורבנות העבירות פיצוי בסך כולל של </w:t>
      </w:r>
      <w:r>
        <w:rPr>
          <w:rFonts w:cs="Century" w:ascii="Century" w:hAnsi="Century"/>
        </w:rPr>
        <w:t>140,000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השנים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נהג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שנת 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להיפגש עם שכנתו וחברתה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ילידות 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במפגשים נגע המערער באיברי מינן של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ושל 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זו בנוכחותה של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והחדיר אליהן את אצבעותיו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המערער את ידו אל מתחת לחולצתה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ונגע בחזהּ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באחד המפגשים הגיעו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לביתו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ונשארו ללון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ששיחקו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משחק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שבו על כולם להתפשט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שכבו שלושתם על המיטה בחדר השינה של הוריו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באמצע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עיסה את גופן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החדיר את אצבעותיו לאיבר מינה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ולאחר שזו יצאה מהחדר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החדיר את אצבעותיו לאיבר מינה של ב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בחלק מהמפגשים נתן המערער לא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סכומי כסף שנעו בין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רכש המערער גלגיליות עבור 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ונתן לה טלפון סלולרי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מעבר למפגשים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המערער מפגשים רבים עם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באחד מהמפגשים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הסתתרו השניים מאחורי בניין מגוריהם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החדיר את אצבעותיו לאיבר מינה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והיא חשה בכאב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אמר לה שכשהוא היה בגילה כבר איבד את בתוליו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ושגם היא צריכה לאבד את בתוליה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במפגש שהתקיים בין השניים על גג בית 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שכבה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גבה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נשכב מעליה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התחכך בגופה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וחיכך את איבר מינו באיבר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במפגש נוסף הוריד המערער את חולצתה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ואמר לה להוריד את מכנסיה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שעשתה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נשכב עליה וניסה להחדיר חלק מאיבר מינו לאיבר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היא ניסתה להזיזו ולהרחיקו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שלא הצליח להחדיר את איבר מינו לאיבר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חיכך המערער את איבר מינו בישבנה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אך חדל ממעשיו לאחר שזזה ממקומה ואמרה לו להפסיק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ליום הולדתה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שילם לה המערער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מנת שתאפשר לו להחדיר את איבר מינו לפיה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הסכימה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תפס בראשה ודחף את איבר מינו לעומק 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מושכת את ראשה לאחור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26.3.2019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וב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הגיעו להסדר טיעון ללא הסכמה על עניין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הודה בעובדות 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המערער בעבירות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ריבוי עבירות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העונשין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עבירות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מעשה סדום לפי </w:t>
      </w:r>
      <w:hyperlink r:id="rId1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נסיון אינוס לפי </w:t>
      </w:r>
      <w:hyperlink r:id="rId1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ובעילה אסורה בהסכמה 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בפתח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המחוזי על עיקרי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הראיות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טענות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בחן בית המשפט את תסקירי נפגעות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צוין כי התסקיר נערך בשלב ראשוני מאד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זמן קצר לאחר שהתגלו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האירוע והטראומה אינם מעובדים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להניח כי השלכות הפגיעה נותרו ספונות בתוכה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והתסקיר משקף את מצבה באופן חלקי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בעקבות האירועים חווה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חרדה ופחד מפני המערער ומשפחתו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מפני גברים מהעדה האתיופית וגברים בכלל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נוהגת להסתגר בחדרה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ולעתים מתקשה להירדם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לפני הפגיעה היתה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תלמידה מצטיינת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הלכה בקביעות לבית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ונהגה לצאת מהבית ללא קושי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כיום היא חוששת לצאת החוצה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 פעם שהיא יוצאת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מפעילה את המצלמה של מכשיר הטלפון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שאם יארע לה משהו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הדבר יתועד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הפסיקה ללכת לבית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 הפערים שצברה בלימודים נשקלת האפשרות להשאירה כיתה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בעניינה של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אינה מעוניינת לדבר על מה שקרה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ולדבריה אינה רוצה להיזכר בפגיעה שעברה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מבחינתה מדובר באירוע מן העבר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 משפיע כיום על 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אינה מעוניינת שאנשים נוספים ידעו על אודותיו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מסרה כי הפגיעה השפיעה על בתה בצורה משמעותית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הפכה להיות עצבנית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והחלו בעיות משמעת בבית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היו קיימות בעבר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האירוע גרם למתחים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בין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לאמה ולאחותה הגדולה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חוסר היכולת של סביבתה הקרובה של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להעניק לה את התמיכה שהיא כה זקוקה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גורמת לה להימנע מלשתף ולהעזר באחרים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ולהדחיק את תחושותיה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שגוזל ממנה כוחות נפש 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אינה מטופלת מגבירה את הסיכון להתפתחות של פוסט טראומה או מצוקות נפשיות ותפקודיות אחרות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בהמשך בחן בית המשפט את תסקיר שירות המבחן לגבי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מהתסקיר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למערער ביטחון עצמי נמוך ותחושת ערך נמוכה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מתקשה ביצירת קשרים חברתיים עם בני גילו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ומוצא בקטינים פרטנרים לקיום קשרים חברתיים ולריכוך בדידותו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לוקח אחריות חלקית בלבד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ומייחס אותם לאופיו החלש ולפיתוי מצידן של קורבנות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על ענישה מוחשית של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שבמהלכו תיבחן האפשרות של טיפול יעודי לעברייני מין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עוד בחן בית המשפט חוות דעת קרימינולוגית של מרכז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שהוגשה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הדעת צויין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ברקע העבירות שביצע המערער עומדים חסכים רגשיים עוד מימי ילדותו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באים לידי ביטוי בהתנהגות נעדרת שליטה בתחום ההימורים ובתחום המיני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בגבר דל כוחות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שמגיע ממשפחה דלת כוחות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שמתקשה לשרוד את חיי היום 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שירותים טיפוליים אינם נגישים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חי את חייו בשוליים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מיומנויות בסיסיות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ומבלעדי גורמי תמיכה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הדעת הומלץ להשקיע מאמצים טיפוליים על מנת להפחית את הסיכון לרצידיביזם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סקירת הראיות והטיעונים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לקבוע את 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המעשים המתוארים בכתב האישום הריהם שני אירועים נפרדים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אירוע אחד מתייחס למעשים שביצע המערער בא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יחדיו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והאירוע השני מתייחס למעשים שביצע בא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בשני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פגע המערער קשות באוטונומיה של קורבנות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בזכותן לשלמות גופן ונפשן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בכבודן ובפרטיותן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חומרתם של המעשים בהדגישו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גילן הצעיר של קורבנות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משך הזמן הממושך שבו ביצע את זממו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מתן התשורות והענקת הכספים על מנת לפתות את הקורבנות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הנזק הרב שנגרם להן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השוואת עניינו של המערער למדיניות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העמיד בית המשפט את מתחם הענישה בין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כל אחד מהאירועים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בבואו לגזור את העונש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נתן בית המשפט את דעתו על מספר שיקולים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הודה בהזדמנות הראשונה במעשים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לקח אחריות מסוימת על מעשיו וחסך זמן שיפוטי 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חשוב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הודאתו חסכה את העדתן של קורבנות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כל המשתמע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עמד בית המשפט על נסיבות חייו הקשות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התעללות שעבר בילדותו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אביו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הטראומה שחווה בילדותו בעקבות פציעה קשה בתאונת דרכים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לחובתו של המערער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פעל לצורך השגת צרכיו מבלי להציב לעצמו גבולות ולהבחין במשמעות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מתסקיר שירות המבחן עולה כי הוא לוקה בעיוותי חשיבה המאפיינים עברייני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היתר בתפיסתו את קורבנות העבירה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הקטינות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כבעלות יכולת פיתוי ויוזמה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ששקל בדברים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 כי יש למקם את עונשו של המערער ברבע התחתון של כל אחד מהמתחמים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לגזור על הנאשם עונש כולל אחד ביחס לכל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בין היתר נוכח הקשר בין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סמיכות הזמנים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והנסיבות הדומות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ששקל את השיקולים לקולא ולחומרא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המשפט על המערער עונש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החל מיום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  <w:sz w:val="20"/>
        </w:rPr>
        <w:t>12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חודשי מאסר על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ascii="Century" w:hAnsi="Century" w:cs="Century"/>
          <w:sz w:val="20"/>
          <w:sz w:val="20"/>
          <w:rtl w:val="true"/>
        </w:rPr>
        <w:t>תנאי למשך שלוש שנים מיום שחרורו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שיופעלו אם יעבור עבירת מין מסוג פשע</w:t>
      </w:r>
      <w:r>
        <w:rPr>
          <w:rFonts w:cs="Century" w:ascii="Century" w:hAnsi="Century"/>
          <w:sz w:val="20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המערער לשלם פיצויים כספיים בסך של </w:t>
      </w:r>
      <w:r>
        <w:rPr>
          <w:rFonts w:cs="Century" w:ascii="Century" w:hAnsi="Century"/>
        </w:rPr>
        <w:t>80,000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מתחם הענישה שקבע בית המשפט המחוזי חורג באופן קיצוני לחומרה 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בקביעת המתחם הסתמך בית המשפט על השוואה לפסקי דין שעסקו במעשים חמורים בהרבה ממעשיו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והתעלם מפסקי הדין שאליהם הפנתה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התעלם בית המשפט מנסיבותיו החריגות של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בעניין מהות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בעניין מיהות העושה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במעשים שנעשו בכפייה ובאלימות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שתהיה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כתוקף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והקורבן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כקורבן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הוא אדם בודד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אינו תופס את עצמו כבן גילו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ברמה הנפשית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בהתנהלות והנראות החיצונית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אמנם ציין נתונים אלו ברקע להחלטתו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יחס להם משקל בקביעת מתחם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שיש להתחשב בהם בגדר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נסיבות הקשורות בביצוע העבירה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בהתאם לאמור </w:t>
      </w:r>
      <w:hyperlink r:id="rId1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מורה הסעיף להתחשב בסיבות שהביאו את הנאשם לביצוע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ביכולתו של הנאשם להבין את הפסול שבמעשהו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וביכולתו להימנע מעשיית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מנתוניו של המערער ניתן להבין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נסיבות חייו הקשות הובילו אותו לעשות את אשר 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הבין את הפסול שבמעשהו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עולה מן הדברים שמסר לשירות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שגה בית המשפט המחוזי בכך שקבע שלקורבנות העבירות נגרם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ידוע לכל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באירועים מסוג זה יתכן שהיקף הפגיעה יתגלה רק שנים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בכך אין כדי להצדיק את הקביעה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בשלב זה כבר נגרם נזק רב לקורבנות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בתסקיר נפגעות העבירה מעלה תמונה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היתה מעוניינת ליצור קשר עם גורמים טיפוליים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התסקיר בעניינה נסמך ברובו על מידע שהועבר באמצעות אחותה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לגביו נאמר שהיה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בעניינה של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אינה מעוניינת לדבר על מה שקרה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מבחינתה מדובר באירוע מהעבר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 משפיע כיום על חייה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בקביעת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להתחשב אך בנזק שהוכח כי נגרם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הנתונים מעידים כי לא היה מקום לקביעתו לבית המשפט לפיה נגרם נזק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לתת לכך ביטוי בקביעת המתחם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לעמדתו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גם בקביעתו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עסקינן באירועים נפרדים המצדיקים קביעת מתחמי ענישה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בכדי תוקן כתב האישום לכדי אישום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המתאר אירוע מתמשך אחד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מכתב האישום עולה בבירור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עסקינן במסכת אירועים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לקבוע מתחם ענישה אחד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בקורבנות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כל האירועים נעשו כלפי אותן שתי קורבנות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 מהאירועים נעשו כלפי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המפגשים עמה התקיימו בהמשך למפגשים שנערכו עם 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ולא ניתן לנתקם לכדי אירוע נפרד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באירועים שבהם נכחו שתי קורבנות העבירה 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מקרים שבהם בוצעו המעשים כאשר המערער שהה עם כל אחת מהן בנפרד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מלין המערער על קביעתו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במפגשים שנערכו עם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היתה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 במפגשים עם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יחד החדיר המערער את אצבעותיו לאיברי מינן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הורשע בעבירות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המעשים במפגשים עם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לבדה הורשע המערער בניסיון אינוס ובמעשה סדום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הצדקה אפוא לקביעה לפיה המעשים האחרונים חמורים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אף לסבור כי ההיפך הוא הנכון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אם היתה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עליית מדרגה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בין אם 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 המערער כי אין בכך כדי להצדיק קביעה של מתחם ענישה נפרד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במסכת אירועים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הכוללת תוכנית עבריינית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ניתן לחלקה לאירועים שונים בשל הבחנה בחומרתם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היה מקום לחרוג ממתחם הענישה משיקולי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לכל היותר לקבוע את עונשו בתחתית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לא נתן משקל של ממש להודאתו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ולשיתוף הפעולה המלא שלו עם רשויות 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אף לא דן בטענותיו בעניין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למרות שהדבר עלה בתסקיר שירות המבחן ובחוות הדעת הקרימינולוגית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בגזר הדין צויין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ראוי שרשויות 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יפעלו לשילובו בטיפול בין כותלי הכלא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האפשרות של חריגה ממתחם הענישה מטעמי שיקום כלל לא נשקלה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לדיון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לעיוננו תסקיר משלים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האמור 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מודה חלקית באישומים המיוחסים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בשיחה עם גורמי הטיפול מסר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היה משלם לקורבנות העבירה תמורת המפגשים המיניים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טען כי רק נגע בהן ונישק אותן בגופן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והכחיש כי גרם להן לבצע בו מין אוראלי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גם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מתחרט על כך שהודה במעשים אשר לא 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 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בעקבות מצב החירום במדינה עקב נגיף הקורונה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טרם שולב המערער בקבוצה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החזרה לשגרה הוא צפוי להיות מופנה לקבוצה ראשונית בנושא טיפול בכעסים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19.5.2020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 על עיקרי טענותיו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טען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במצבים שבהם קיים יותר מקורבן אחד לעבירה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לקבוע מתחמי ענישה נפרדים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ישקפו את הפגיעה בכל קורבן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נפל פגם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הדגיש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את הפגיעות שנגרמו לקורבנות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והגיש מכתבים שכתבו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פירטו את השפעת המעשים על חייהן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  <w:t xml:space="preserve">  </w:t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הלכה מושרשת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התערבותה של ערכאת הערעור בגזר דין שמורה למצבים חריגים שבהם נפלה טעות מהותית בהחלטת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שהעונש שגזרה חורג באופן קיצוני ממדיניות הענישה הנוהגת </w:t>
      </w:r>
      <w:r>
        <w:rPr>
          <w:rFonts w:cs="Century" w:ascii="Century" w:hAnsi="Century"/>
          <w:rtl w:val="true"/>
        </w:rPr>
        <w:t>(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1242/97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3.2.1998</w:t>
      </w:r>
      <w:r>
        <w:rPr>
          <w:rFonts w:cs="Century" w:ascii="Century" w:hAnsi="Century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3091/08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העניין שלפנינו אינו בא בגדר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אפתח במה שאמור להיות מובן מאליו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בעבירות כלפי קורבנות בנות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עסקינן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אין ולא יכולה להיות זו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מוזרה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כלשון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ניצול בזוי של תמימות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חוסר הבנה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 יכולת מוגבלת להרים קול ולהתנגד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מאפיינים קטינים בגיל כה 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המעשים מעוררים חלחלה וזעזוע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קשה להפריז בחומרתה של הפגיעה בנפשותיהן של הקורבנות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בחילול כבודן וחירותן בהפיכת גופן לכלי שרת לסיפוק מאווייו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דוחה מכל ומכל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הנזק שנגרם להן מכך אינו 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היקפן המלא של הצלקות שהותיר בנפשותיהן עודנו לוט בערפל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ויתכן ויתגלה רק בעוד שנים רבות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אם בכלל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בכך כדי להפחית ולו במאום מעוצמתה של הפגיעה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הפגיעה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ובמשפחותיהן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ללמוד היטב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הנטען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התסקירים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דין טענותיו של המערער בעניין קביעת מתחמי הענישה להידחות גם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סקר את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 על הדמיון והשוני בין 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העניינים שנדונו בפסקי הדין שבחן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נפל בכך פגם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לא מצאתי לנכון להתערב בקביעה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העבירות מגבשות שני 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שדורש קביעת מתחמי ענישה נפרדים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קביעה זו משקפת את ההבחנה בין אופי המעשים בכל אחד מהאירועים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ואת היותה של כל אחת מהקורבנות בבחינת עולם ומלואו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319/17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19.07.2018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עריכת כתב האישום בצורה של אישום אחד אינה שוללת את האפשרות להבחין בין אירועים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הקשר והסמיכות בין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עליהם עמד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 לידי ביטוי בהחלטה לקבוע בגינם עונש כולל אחד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את בקשת המערער להקל בעונשו משיקולי שיקום ולקיחת אחריות מלאה יש לדחות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מסר הודאה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וחסך את הצורך להעיד את קורבנות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כפי שעולה מהתסקיר המשלים שהוגש מטעם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לקיחת האחריות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חלקית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גם באו לידי ביטוי בתסקיר שהוגש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ציין שירות המבחן את התרשמותו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לקיחת האחריות היתה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ופורמאלית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בעיקרה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פגם בהחלטותיו של בית המשפט למקם את עניינו של המערער ברבע התחתון של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לחרוג מהמתחם משיקולי שיקום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לדחות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26.5.2020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Ruller41"/>
        <w:spacing w:lineRule="auto" w:line="480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20009670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54678313-967/20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967/20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6.a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45.a.3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/345.a.3" TargetMode="External"/><Relationship Id="rId15" Type="http://schemas.openxmlformats.org/officeDocument/2006/relationships/hyperlink" Target="http://www.nevo.co.il/law/70301/346.a.1" TargetMode="External"/><Relationship Id="rId16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55866" TargetMode="External"/><Relationship Id="rId19" Type="http://schemas.openxmlformats.org/officeDocument/2006/relationships/hyperlink" Target="http://www.nevo.co.il/case/5875466" TargetMode="External"/><Relationship Id="rId20" Type="http://schemas.openxmlformats.org/officeDocument/2006/relationships/hyperlink" Target="http://www.nevo.co.il/case/22303378" TargetMode="External"/><Relationship Id="rId21" Type="http://schemas.openxmlformats.org/officeDocument/2006/relationships/hyperlink" Target="http://supreme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2020-05-27T09:28:00Z</dcterms:created>
  <dc:creator>h4</dc:creator>
  <dc:description/>
  <cp:keywords/>
  <dc:language>en-IL</dc:language>
  <cp:lastModifiedBy>orly</cp:lastModifiedBy>
  <cp:lastPrinted>2020-05-26T17:05:00Z</cp:lastPrinted>
  <dcterms:modified xsi:type="dcterms:W3CDTF">2020-05-27T09:28:00Z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5755866;5875466;22303378</vt:lpwstr>
  </property>
  <property fmtid="{D5CDD505-2E9C-101B-9397-08002B2CF9AE}" pid="9" name="CITY">
    <vt:lpwstr/>
  </property>
  <property fmtid="{D5CDD505-2E9C-101B-9397-08002B2CF9AE}" pid="10" name="DATE">
    <vt:lpwstr>20200526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LISTTMP1">
    <vt:lpwstr>70301/345.a.3:4;348.a;347.b;346.a.1;040i.a</vt:lpwstr>
  </property>
  <property fmtid="{D5CDD505-2E9C-101B-9397-08002B2CF9AE}" pid="15" name="LAWYER">
    <vt:lpwstr>רוני זלושינסקי;עידן שני;ברכה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מתחם הענישה</vt:lpwstr>
  </property>
  <property fmtid="{D5CDD505-2E9C-101B-9397-08002B2CF9AE}" pid="52" name="NOSE34">
    <vt:lpwstr>שיקום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16970;8982;14985;17420</vt:lpwstr>
  </property>
  <property fmtid="{D5CDD505-2E9C-101B-9397-08002B2CF9AE}" pid="59" name="PADIDATE">
    <vt:lpwstr>20200527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967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410120200526</vt:lpwstr>
  </property>
  <property fmtid="{D5CDD505-2E9C-101B-9397-08002B2CF9AE}" pid="69" name="TYPE_N_DATE">
    <vt:lpwstr>41020200526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