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968/20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המשיבות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60581-06-18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שירלי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וחגית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  <w:r>
              <w:rPr>
                <w:sz w:val="24"/>
                <w:szCs w:val="24"/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נדב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גדליהו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הורביץ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ארוסי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351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351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דחה ערעור על עונש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הושת על המערער בגין הרשעתו בביצוע שורת עבירות מין בשלוש אחייניותיו הקטינות במשך למעלה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 אין זה מקרה חריג המצדיק התערבות בחומרת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עמידה על חומרת מעשי המערער והצורך בענישה מרתיעה במקרים של עבריינות מין בתוך המשפחה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בחומרת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גזר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בגדרו הושתו על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הרשעתו בשורה של עבירות אינוס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מעשי סדום ומעשים מגונים שביצע בשלוש אחייניותיו הקטינות על פני תקופה ממושכת של למעלה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אלרון ובהסכמת השופטים קרא ושטיין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זו מדרכה של ערכאת הערעור להתערב בחומרת העונש שנגזר 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במקרים בהם גזר הדין מגלה סטייה בולטת מהענישה המקובלת במקרים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מקרה זה אינו נופל בגדר מקרים חריגים 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קשה להפריז בסלידה ובפסול הטמונים בעבריינות מין בתוך המשפחה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הפוגעת בילדים ובילדות רכות בשנים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הנתונים לחסדם של בני המשפחה הבוגרים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פגיעה אשר עשויה להותיר צלקת בנפשם שייתכן שלא תרפא לעולם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ניצול זה של היחסים המשפחתיים חמור כל אימת שמדובר בבן משפחה שהוא בעל סמכות ובעל יחסי קרבה לנפגעי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 המערער לפיה סיועו למתלוננות מפחית מחומרת מעשיו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הניצול חמור שבעתיים שעה שהפגיעה נעשתה על רקע יחסי תלות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סיוע ותמיכה בין המערער לבין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שראו בו כדמות אב ובעל מעמד סמכותי במשפחה המורחבת כולה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אנס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ביצע מעשי סדום והשפיל מינית את שלוש אחייניותיו במשך שנים ארוכות ובתדירות קבועה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בשעה שהיו קטינות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את מעשיו המערער ביצע בלי שעצר לבחון מה הוא עולל למתלוננות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שהוא נהג בגופן כבשלו והן שימשו בידיו כלי לסיפוק גחמותיו המיניות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חומרה יתרה יש במעשי המערער לאור העובדה כי מדובר במסכת ארוכת שנים בה נהג לפגוע במתלוננות באופן תדיר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פגיעת המערער במתלוננות גרמה להן לחוש חשופות לפגיעה כל אימת שהוא נמצא בקרבתן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ובמעשיו הסב לשלושתן פגיעה קשה וחוויה טראומטית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שאותה הן נושאות עמן עד היום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מכלול שיקולים אלה מחייב ענישה אשר תשקף באופן נחרץ את חומרת מעשי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תרחיקו מהציבור לתקופה ממושכת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ותרתיע אחרים מלפעול באופן דומה ולנצל את מעמדם וסמכותם בתוך התא המשפחתי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באשר לטענת המערער כי נפסק פיצוי גבוה מתקרת הפיצוי הקבועה בסעיף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כי במקרים שבהם בוצעו עבירות כלפי מספר קורבנות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ניתן לפסוק פיצוי עד לסכום המירבי האמור לטובת כל אחד מהניזוקים הישירים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נפל פגם בפסיקת סכומי הפיצויים לטובת המתלוננות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הסכום ביחס לכל אחת מהן אינו עולה על הסכום המירבי הקבוע בסעיף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לשיקולי השיקום של העבריין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אלה אינם חזות הכל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יש לשקול שיקולים נוספים ובכלל זה שיקום קורבנות העבירה עצמן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בעבורן הרחקת המערער מסביבתן הקרובה לפרק זמן ממשי הוא הכרחי וגורם בלתי מבוטל לתחושת הביטחון שלהן ושובם אל מסלול חיים תקין לנוכח הפגיעה המינית המתמשכת בהן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>לפני</w:t>
      </w:r>
      <w:r>
        <w:rPr>
          <w:rtl w:val="true"/>
        </w:rPr>
        <w:t>נו ערעור על גזר דינו של בית המשפט המחוזי בירושלים ב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60581-06-18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tl w:val="true"/>
        </w:rPr>
        <w:t xml:space="preserve">'), </w:t>
      </w:r>
      <w:r>
        <w:rPr>
          <w:rtl w:val="true"/>
        </w:rPr>
        <w:t xml:space="preserve">מיום </w:t>
      </w:r>
      <w:r>
        <w:rPr/>
        <w:t>23.12.2019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הושתו על המערער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בגין הרשעתו בשורה של עבירות אינוס</w:t>
      </w:r>
      <w:r>
        <w:rPr>
          <w:rtl w:val="true"/>
        </w:rPr>
        <w:t xml:space="preserve">, </w:t>
      </w:r>
      <w:r>
        <w:rPr>
          <w:rtl w:val="true"/>
        </w:rPr>
        <w:t>מעשי סדום ומעשים מגונים שביצע באחייניותיו הקטינות על פני תקופה ממושכת של למעלה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1"/>
        <w:numPr>
          <w:ilvl w:val="0"/>
          <w:numId w:val="1"/>
        </w:numPr>
        <w:spacing w:before="240" w:after="0"/>
        <w:ind w:hanging="0" w:start="0" w:end="0"/>
        <w:jc w:val="both"/>
        <w:rPr/>
      </w:pPr>
      <w:r>
        <w:rPr>
          <w:rtl w:val="true"/>
        </w:rPr>
        <w:t>כתב האישום המתוקן שהוגש נגד המערער</w:t>
      </w:r>
      <w:r>
        <w:rPr>
          <w:rtl w:val="true"/>
        </w:rPr>
        <w:t xml:space="preserve">, </w:t>
      </w:r>
      <w:r>
        <w:rPr>
          <w:rtl w:val="true"/>
        </w:rPr>
        <w:t>מגולל על פני כתשעה עמודים שלושה אישומים שונים</w:t>
      </w:r>
      <w:r>
        <w:rPr>
          <w:rtl w:val="true"/>
        </w:rPr>
        <w:t xml:space="preserve">, </w:t>
      </w:r>
      <w:r>
        <w:rPr>
          <w:rtl w:val="true"/>
        </w:rPr>
        <w:t>שלפיהם נהג לבצע במשך שנים ארוכות מעשים מגונים</w:t>
      </w:r>
      <w:r>
        <w:rPr>
          <w:rtl w:val="true"/>
        </w:rPr>
        <w:t xml:space="preserve">, </w:t>
      </w:r>
      <w:r>
        <w:rPr>
          <w:rtl w:val="true"/>
        </w:rPr>
        <w:t>מעשי סדום ומעשי אינוס בשלוש אחייניותיו</w:t>
      </w:r>
      <w:r>
        <w:rPr>
          <w:rtl w:val="true"/>
        </w:rPr>
        <w:t xml:space="preserve">, </w:t>
      </w:r>
      <w:r>
        <w:rPr>
          <w:rtl w:val="true"/>
        </w:rPr>
        <w:t xml:space="preserve">ילידות </w:t>
      </w:r>
      <w:r>
        <w:rPr/>
        <w:t>1990</w:t>
      </w:r>
      <w:r>
        <w:rPr>
          <w:rtl w:val="true"/>
        </w:rPr>
        <w:t xml:space="preserve">,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המתלוננות</w:t>
      </w:r>
      <w:r>
        <w:rPr>
          <w:rtl w:val="true"/>
        </w:rPr>
        <w:t xml:space="preserve"> כולן יחד</w:t>
      </w:r>
      <w:r>
        <w:rPr>
          <w:rtl w:val="true"/>
        </w:rPr>
        <w:t xml:space="preserve">), </w:t>
      </w:r>
      <w:r>
        <w:rPr>
          <w:rtl w:val="true"/>
        </w:rPr>
        <w:t>בהיותן קטינות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 בוצעו בבית המתלוננות</w:t>
      </w:r>
      <w:r>
        <w:rPr>
          <w:rtl w:val="true"/>
        </w:rPr>
        <w:t xml:space="preserve">, </w:t>
      </w:r>
      <w:r>
        <w:rPr>
          <w:rtl w:val="true"/>
        </w:rPr>
        <w:t>בביתו ובמקום עבודתו של המערער</w:t>
      </w:r>
      <w:r>
        <w:rPr>
          <w:rtl w:val="true"/>
        </w:rPr>
        <w:t xml:space="preserve">, </w:t>
      </w:r>
      <w:r>
        <w:rPr>
          <w:rtl w:val="true"/>
        </w:rPr>
        <w:t>לעיתים אף כאשר שהו במקום בני משפחה נוספים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תוך ניצול מעמדו במשפחה והקרבה בינו למתלוננות שנוצרה בזכות סיועו למשפחת המתלוננות</w:t>
      </w:r>
      <w:r>
        <w:rPr>
          <w:rtl w:val="true"/>
        </w:rPr>
        <w:t xml:space="preserve">, </w:t>
      </w:r>
      <w:r>
        <w:rPr>
          <w:rtl w:val="true"/>
        </w:rPr>
        <w:t>העובדה כי שימש עבורן כדמות אב</w:t>
      </w:r>
      <w:r>
        <w:rPr>
          <w:rtl w:val="true"/>
        </w:rPr>
        <w:t xml:space="preserve">, </w:t>
      </w:r>
      <w:r>
        <w:rPr>
          <w:rtl w:val="true"/>
        </w:rPr>
        <w:t>אשר ייעץ להן במגוון תחומים</w:t>
      </w:r>
      <w:r>
        <w:rPr>
          <w:rtl w:val="true"/>
        </w:rPr>
        <w:t xml:space="preserve">, </w:t>
      </w:r>
      <w:r>
        <w:rPr>
          <w:rtl w:val="true"/>
        </w:rPr>
        <w:t>והביקורים התכופים בביתם האחד של השני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 המערער ביצע בנ</w:t>
      </w:r>
      <w:r>
        <w:rPr>
          <w:rtl w:val="true"/>
        </w:rPr>
        <w:t xml:space="preserve">' </w:t>
      </w:r>
      <w:r>
        <w:rPr>
          <w:rtl w:val="true"/>
        </w:rPr>
        <w:t>מעשים מגונים</w:t>
      </w:r>
      <w:r>
        <w:rPr>
          <w:rtl w:val="true"/>
        </w:rPr>
        <w:t xml:space="preserve">, </w:t>
      </w:r>
      <w:r>
        <w:rPr>
          <w:rtl w:val="true"/>
        </w:rPr>
        <w:t>מעשי סדום ואינוס</w:t>
      </w:r>
      <w:r>
        <w:rPr>
          <w:rtl w:val="true"/>
        </w:rPr>
        <w:t xml:space="preserve">, </w:t>
      </w:r>
      <w:r>
        <w:rPr>
          <w:rtl w:val="true"/>
        </w:rPr>
        <w:t>החל מהיותה בכיתה ד</w:t>
      </w:r>
      <w:r>
        <w:rPr>
          <w:rtl w:val="true"/>
        </w:rPr>
        <w:t xml:space="preserve">' </w:t>
      </w:r>
      <w:r>
        <w:rPr>
          <w:rtl w:val="true"/>
        </w:rPr>
        <w:t>ועד לכיתה ט</w:t>
      </w:r>
      <w:r>
        <w:rPr>
          <w:rtl w:val="true"/>
        </w:rPr>
        <w:t xml:space="preserve">'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בעשרות אירועים שונים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נטען כי המערער נהג להוביל את נ</w:t>
      </w:r>
      <w:r>
        <w:rPr>
          <w:rtl w:val="true"/>
        </w:rPr>
        <w:t xml:space="preserve">' </w:t>
      </w:r>
      <w:r>
        <w:rPr>
          <w:rtl w:val="true"/>
        </w:rPr>
        <w:t>אל מחסני הבית שבחצר ביתה</w:t>
      </w:r>
      <w:r>
        <w:rPr>
          <w:rtl w:val="true"/>
        </w:rPr>
        <w:t xml:space="preserve">, </w:t>
      </w:r>
      <w:r>
        <w:rPr>
          <w:rtl w:val="true"/>
        </w:rPr>
        <w:t>שם חיבק ונישק אותה בלחיה</w:t>
      </w:r>
      <w:r>
        <w:rPr>
          <w:rtl w:val="true"/>
        </w:rPr>
        <w:t xml:space="preserve">, </w:t>
      </w:r>
      <w:r>
        <w:rPr>
          <w:rtl w:val="true"/>
        </w:rPr>
        <w:t>צווארה וכתפה</w:t>
      </w:r>
      <w:r>
        <w:rPr>
          <w:rtl w:val="true"/>
        </w:rPr>
        <w:t xml:space="preserve">; </w:t>
      </w:r>
      <w:r>
        <w:rPr>
          <w:rtl w:val="true"/>
        </w:rPr>
        <w:t>נגע בחזהּ מתחת לבגדיה</w:t>
      </w:r>
      <w:r>
        <w:rPr>
          <w:rtl w:val="true"/>
        </w:rPr>
        <w:t xml:space="preserve">, </w:t>
      </w:r>
      <w:r>
        <w:rPr>
          <w:rtl w:val="true"/>
        </w:rPr>
        <w:t>צבט ומצץ את פטמותיה</w:t>
      </w:r>
      <w:r>
        <w:rPr>
          <w:rtl w:val="true"/>
        </w:rPr>
        <w:t xml:space="preserve">; </w:t>
      </w:r>
      <w:r>
        <w:rPr>
          <w:rtl w:val="true"/>
        </w:rPr>
        <w:t>חשף את איבר מינו</w:t>
      </w:r>
      <w:r>
        <w:rPr>
          <w:rtl w:val="true"/>
        </w:rPr>
        <w:t xml:space="preserve">, </w:t>
      </w:r>
      <w:r>
        <w:rPr>
          <w:rtl w:val="true"/>
        </w:rPr>
        <w:t>ליקק את ידה וגרם לה לאחוז באיברו תוך שהניע את ידה</w:t>
      </w:r>
      <w:r>
        <w:rPr>
          <w:rtl w:val="true"/>
        </w:rPr>
        <w:t xml:space="preserve">, </w:t>
      </w:r>
      <w:r>
        <w:rPr>
          <w:rtl w:val="true"/>
        </w:rPr>
        <w:t>ולעיתים הגיע לפורקן מיני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tl w:val="true"/>
        </w:rPr>
        <w:t xml:space="preserve">, </w:t>
      </w:r>
      <w:r>
        <w:rPr>
          <w:rtl w:val="true"/>
        </w:rPr>
        <w:t>והניע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;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,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השחיל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</w:t>
      </w:r>
      <w:r>
        <w:rPr>
          <w:rtl w:val="true"/>
        </w:rPr>
        <w:t xml:space="preserve">'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tl w:val="true"/>
        </w:rPr>
        <w:t xml:space="preserve">, </w:t>
      </w:r>
      <w:r>
        <w:rPr>
          <w:rtl w:val="true"/>
        </w:rPr>
        <w:t>והניעה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 xml:space="preserve">' </w:t>
      </w:r>
      <w:r>
        <w:rPr>
          <w:rtl w:val="true"/>
        </w:rPr>
        <w:t>קפצה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בשיניה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הנטען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החל משנת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ובמשך כשנתיים</w:t>
      </w:r>
      <w:r>
        <w:rPr>
          <w:rtl w:val="true"/>
        </w:rPr>
        <w:t xml:space="preserve">, </w:t>
      </w:r>
      <w:r>
        <w:rPr>
          <w:rtl w:val="true"/>
        </w:rPr>
        <w:t>המערער ביצע בב</w:t>
      </w:r>
      <w:r>
        <w:rPr>
          <w:rtl w:val="true"/>
        </w:rPr>
        <w:t xml:space="preserve">' </w:t>
      </w:r>
      <w:r>
        <w:rPr>
          <w:rtl w:val="true"/>
        </w:rPr>
        <w:t>מעשים מגונים במספר הזדמנויות שונות</w:t>
      </w:r>
      <w:r>
        <w:rPr>
          <w:rtl w:val="true"/>
        </w:rPr>
        <w:t xml:space="preserve">. </w:t>
      </w:r>
      <w:r>
        <w:rPr>
          <w:rtl w:val="true"/>
        </w:rPr>
        <w:t>בין היתר הקרין לה בביתו סרטים פורנוגרפיים</w:t>
      </w:r>
      <w:r>
        <w:rPr>
          <w:rtl w:val="true"/>
        </w:rPr>
        <w:t xml:space="preserve">, </w:t>
      </w:r>
      <w:r>
        <w:rPr>
          <w:rtl w:val="true"/>
        </w:rPr>
        <w:t xml:space="preserve">תוך שנגע בחזהּ מתחת לבגדיה ונישקה באומרו </w:t>
      </w:r>
      <w:r>
        <w:rPr>
          <w:rtl w:val="true"/>
        </w:rPr>
        <w:t>"</w:t>
      </w:r>
      <w:r>
        <w:rPr>
          <w:rtl w:val="true"/>
        </w:rPr>
        <w:t>תראי איזה יפות הן</w:t>
      </w:r>
      <w:r>
        <w:rPr>
          <w:rtl w:val="true"/>
        </w:rPr>
        <w:t xml:space="preserve">", </w:t>
      </w:r>
      <w:r>
        <w:rPr>
          <w:rtl w:val="true"/>
        </w:rPr>
        <w:t>לעיתים ביושבו כשאיבר מינו חשוף</w:t>
      </w:r>
      <w:r>
        <w:rPr>
          <w:rtl w:val="true"/>
        </w:rPr>
        <w:t xml:space="preserve">; </w:t>
      </w:r>
      <w:r>
        <w:rPr>
          <w:rtl w:val="true"/>
        </w:rPr>
        <w:t>ובעשרות מקרים בביתה</w:t>
      </w:r>
      <w:r>
        <w:rPr>
          <w:rtl w:val="true"/>
        </w:rPr>
        <w:t xml:space="preserve">, </w:t>
      </w:r>
      <w:r>
        <w:rPr>
          <w:rtl w:val="true"/>
        </w:rPr>
        <w:t>נצמד לגופה ונגע בחזהּ מתחת לבגדיה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ללימודיה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מהנסיעות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", "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ציצים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תואר כי המערער ביצע ב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מעשי אינוס ומעשים מגונים בעשרות הזדמנויות</w:t>
      </w:r>
      <w:r>
        <w:rPr>
          <w:rtl w:val="true"/>
        </w:rPr>
        <w:t xml:space="preserve">, </w:t>
      </w:r>
      <w:r>
        <w:rPr>
          <w:rtl w:val="true"/>
        </w:rPr>
        <w:t>החל מהתקופה בה הייתה בכיתה ב</w:t>
      </w:r>
      <w:r>
        <w:rPr>
          <w:rtl w:val="true"/>
        </w:rPr>
        <w:t xml:space="preserve">' </w:t>
      </w:r>
      <w:r>
        <w:rPr>
          <w:rtl w:val="true"/>
        </w:rPr>
        <w:t>ועד לכשהייתה בכיתה ט</w:t>
      </w:r>
      <w:r>
        <w:rPr>
          <w:rtl w:val="true"/>
        </w:rPr>
        <w:t xml:space="preserve">'.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tl w:val="true"/>
        </w:rPr>
        <w:t xml:space="preserve">, </w:t>
      </w:r>
      <w:r>
        <w:rPr>
          <w:rtl w:val="true"/>
        </w:rPr>
        <w:t>ומשענתה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", </w:t>
      </w: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שטויות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תיגעלי</w:t>
      </w:r>
      <w:r>
        <w:rPr>
          <w:rtl w:val="true"/>
        </w:rPr>
        <w:t xml:space="preserve">",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שפתיה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. </w:t>
      </w:r>
      <w:r>
        <w:rPr>
          <w:rtl w:val="true"/>
        </w:rPr>
        <w:t>משקפאה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השכיבה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חלציו</w:t>
      </w:r>
      <w:r>
        <w:rPr>
          <w:rtl w:val="true"/>
        </w:rPr>
        <w:t xml:space="preserve">, </w:t>
      </w:r>
      <w:r>
        <w:rPr>
          <w:rtl w:val="true"/>
        </w:rPr>
        <w:t>והניע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, </w:t>
      </w:r>
      <w:r>
        <w:rPr>
          <w:rtl w:val="true"/>
        </w:rPr>
        <w:t>הביט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וואי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",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להניע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מחזהּ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ולנה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, </w:t>
      </w:r>
      <w:r>
        <w:rPr>
          <w:rtl w:val="true"/>
        </w:rPr>
        <w:t>נצמד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תתעורר</w:t>
      </w:r>
      <w:r>
        <w:rPr>
          <w:rtl w:val="true"/>
        </w:rPr>
        <w:t xml:space="preserve">,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תראה</w:t>
      </w:r>
      <w:r>
        <w:rPr>
          <w:rtl w:val="true"/>
        </w:rPr>
        <w:t xml:space="preserve">", </w:t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"/>
        <w:spacing w:before="240" w:after="0"/>
        <w:ind w:firstLine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חזהּ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, </w:t>
      </w:r>
      <w:r>
        <w:rPr>
          <w:rtl w:val="true"/>
        </w:rPr>
        <w:t>חבש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לבקשתה</w:t>
      </w:r>
      <w:r>
        <w:rPr>
          <w:rtl w:val="true"/>
        </w:rPr>
        <w:t xml:space="preserve">. </w:t>
      </w:r>
      <w:r>
        <w:rPr>
          <w:rtl w:val="true"/>
        </w:rPr>
        <w:t>משהתרומם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צריבה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ונישקה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בפיה</w:t>
      </w:r>
      <w:r>
        <w:rPr>
          <w:rtl w:val="true"/>
        </w:rPr>
        <w:t xml:space="preserve">. </w:t>
      </w:r>
      <w:r>
        <w:rPr>
          <w:rtl w:val="true"/>
        </w:rPr>
        <w:t>משביקשה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tl w:val="true"/>
        </w:rPr>
        <w:t xml:space="preserve">, </w:t>
      </w:r>
      <w:r>
        <w:rPr>
          <w:rtl w:val="true"/>
        </w:rPr>
        <w:t>וסובלת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ריבוי עבירות של אינוס בבת משפחה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ובנסיבות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שלוש עבירות של מעשי סדום בבת משפחה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ובנסיבות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וכן ריבוי עבירות של מעשים מגונים בבת משפחה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המערער הורשע על פי הודאתו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אשר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בית המשפט המחוזי הדגיש בגזר דינו את הפגיעה הקשה במתלוננות</w:t>
      </w:r>
      <w:r>
        <w:rPr>
          <w:rtl w:val="true"/>
        </w:rPr>
        <w:t xml:space="preserve">, </w:t>
      </w:r>
      <w:r>
        <w:rPr>
          <w:rtl w:val="true"/>
        </w:rPr>
        <w:t>ובזכותן לשלמות הגוף</w:t>
      </w:r>
      <w:r>
        <w:rPr>
          <w:rtl w:val="true"/>
        </w:rPr>
        <w:t xml:space="preserve">, </w:t>
      </w:r>
      <w:r>
        <w:rPr>
          <w:rtl w:val="true"/>
        </w:rPr>
        <w:t>לצנעת הפרט</w:t>
      </w:r>
      <w:r>
        <w:rPr>
          <w:rtl w:val="true"/>
        </w:rPr>
        <w:t xml:space="preserve">, </w:t>
      </w:r>
      <w:r>
        <w:rPr>
          <w:rtl w:val="true"/>
        </w:rPr>
        <w:t>לתחושת ביטחון</w:t>
      </w:r>
      <w:r>
        <w:rPr>
          <w:rtl w:val="true"/>
        </w:rPr>
        <w:t xml:space="preserve">, </w:t>
      </w:r>
      <w:r>
        <w:rPr>
          <w:rtl w:val="true"/>
        </w:rPr>
        <w:t>לכבוד ולפרטיות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לנזק שנגרם להן</w:t>
      </w:r>
      <w:r>
        <w:rPr>
          <w:rtl w:val="true"/>
        </w:rPr>
        <w:t xml:space="preserve">, </w:t>
      </w:r>
      <w:r>
        <w:rPr>
          <w:rtl w:val="true"/>
        </w:rPr>
        <w:t>כפי שפורט בהרחבה בתסקיר נפגעי עבירה שהוגש לבית המשפט המחוזי ובעדויותיהן בשלב הטיעונים לעונש</w:t>
      </w:r>
      <w:r>
        <w:rPr>
          <w:rtl w:val="true"/>
        </w:rPr>
        <w:t xml:space="preserve">, </w:t>
      </w:r>
      <w:r>
        <w:rPr>
          <w:rtl w:val="true"/>
        </w:rPr>
        <w:t>וכן לנזק שנגרם כתוצאה ממעשיו למשפחתן ולמשפחת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נשקלה העובדה כי בעת המעשים היו המתלוננות קטינות</w:t>
      </w:r>
      <w:r>
        <w:rPr>
          <w:rtl w:val="true"/>
        </w:rPr>
        <w:t xml:space="preserve">, </w:t>
      </w:r>
      <w:r>
        <w:rPr>
          <w:rtl w:val="true"/>
        </w:rPr>
        <w:t>ויחסי הקרבה בין המערער לבין המתלוננות ומשפחותיהן</w:t>
      </w:r>
      <w:r>
        <w:rPr>
          <w:rtl w:val="true"/>
        </w:rPr>
        <w:t xml:space="preserve">, </w:t>
      </w:r>
      <w:r>
        <w:rPr>
          <w:rtl w:val="true"/>
        </w:rPr>
        <w:t>הקשו עליהן לחשוף את מעשיו</w:t>
      </w:r>
      <w:r>
        <w:rPr>
          <w:rtl w:val="true"/>
        </w:rPr>
        <w:t xml:space="preserve">; </w:t>
      </w:r>
      <w:r>
        <w:rPr>
          <w:rtl w:val="true"/>
        </w:rPr>
        <w:t xml:space="preserve">וכן פרק הזמן המשמעותי שלאורכו נמשכו המעשים </w:t>
      </w:r>
      <w:r>
        <w:rPr>
          <w:rtl w:val="true"/>
        </w:rPr>
        <w:t>–</w:t>
      </w:r>
      <w:r>
        <w:rPr>
          <w:rtl w:val="true"/>
        </w:rPr>
        <w:t xml:space="preserve"> על פני למעלה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תוך תכנונם ויצירת התנאים המתאימים לביצועם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את מעשי המערער באישום הראשון הוא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ובאישום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והתנצלותו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,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העונש שנגזר עליו חמור יתר על המידה</w:t>
      </w:r>
      <w:r>
        <w:rPr>
          <w:rtl w:val="true"/>
        </w:rPr>
        <w:t xml:space="preserve">, </w:t>
      </w:r>
      <w:r>
        <w:rPr>
          <w:rtl w:val="true"/>
        </w:rPr>
        <w:t>וחורג ממדיניות הענישה הנוהגת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בניגוד לקביעת בית המשפט המחוזי בגזר הדין</w:t>
      </w:r>
      <w:r>
        <w:rPr>
          <w:rtl w:val="true"/>
        </w:rPr>
        <w:t xml:space="preserve">, </w:t>
      </w:r>
      <w:r>
        <w:rPr>
          <w:rtl w:val="true"/>
        </w:rPr>
        <w:t>לא קדם תכנון לעבירות אשר בוצעו באופן ספונטני</w:t>
      </w:r>
      <w:r>
        <w:rPr>
          <w:rtl w:val="true"/>
        </w:rPr>
        <w:t xml:space="preserve">; </w:t>
      </w:r>
      <w:r>
        <w:rPr>
          <w:rtl w:val="true"/>
        </w:rPr>
        <w:t>כי בית המשפט המחוזי שקל את נזקיהן של שלושת המתלוננות ומשפחותיהן</w:t>
      </w:r>
      <w:r>
        <w:rPr>
          <w:rtl w:val="true"/>
        </w:rPr>
        <w:t xml:space="preserve">, </w:t>
      </w:r>
      <w:r>
        <w:rPr>
          <w:rtl w:val="true"/>
        </w:rPr>
        <w:t>אף על פי שכתב האישום מפרט אודות נזקה של י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 xml:space="preserve">כי לא ניתן משקל מספיק לעובדה שהמערער שימש כדמות מסייעת בחייהן של המתלוננות </w:t>
      </w:r>
      <w:r>
        <w:rPr>
          <w:rtl w:val="true"/>
        </w:rPr>
        <w:t>"</w:t>
      </w:r>
      <w:r>
        <w:rPr>
          <w:rtl w:val="true"/>
        </w:rPr>
        <w:t>וזאת להבדיל ממקרה בו המעשים נעשים ללא מתן שום סיוע למתלוננת ותוך התעלמות מוחלטת ממנה לאחר המעשים</w:t>
      </w:r>
      <w:r>
        <w:rPr>
          <w:rtl w:val="true"/>
        </w:rPr>
        <w:t xml:space="preserve">", </w:t>
      </w:r>
      <w:r>
        <w:rPr>
          <w:rtl w:val="true"/>
        </w:rPr>
        <w:t>כלשון כתב הערעור</w:t>
      </w:r>
      <w:r>
        <w:rPr>
          <w:rtl w:val="true"/>
        </w:rPr>
        <w:t xml:space="preserve">; </w:t>
      </w:r>
      <w:r>
        <w:rPr>
          <w:rtl w:val="true"/>
        </w:rPr>
        <w:t>וכי חלק מהמעשים שביצע במתלוננות ממוקמים ברף הנמוך או הבינוני מבחינת חומרתן</w:t>
      </w:r>
      <w:r>
        <w:rPr>
          <w:rtl w:val="true"/>
        </w:rPr>
        <w:t xml:space="preserve">, </w:t>
      </w:r>
      <w:r>
        <w:rPr>
          <w:rtl w:val="true"/>
        </w:rPr>
        <w:t>כך למשל נטען כי מעשי הסדום שביצע בנ</w:t>
      </w:r>
      <w:r>
        <w:rPr>
          <w:rtl w:val="true"/>
        </w:rPr>
        <w:t xml:space="preserve">' </w:t>
      </w:r>
      <w:r>
        <w:rPr>
          <w:rtl w:val="true"/>
        </w:rPr>
        <w:t>לא כללו החדרת איבר מינו לפיה</w:t>
      </w:r>
      <w:r>
        <w:rPr>
          <w:rtl w:val="true"/>
        </w:rPr>
        <w:t xml:space="preserve">, </w:t>
      </w:r>
      <w:r>
        <w:rPr>
          <w:rtl w:val="true"/>
        </w:rPr>
        <w:t>אלא אך חיכוכו בשיניה</w:t>
      </w:r>
      <w:r>
        <w:rPr>
          <w:rtl w:val="true"/>
        </w:rPr>
        <w:t xml:space="preserve">, </w:t>
      </w:r>
      <w:r>
        <w:rPr>
          <w:rtl w:val="true"/>
        </w:rPr>
        <w:t>וכי מרבית מעשי האינוס</w:t>
      </w:r>
      <w:r>
        <w:rPr>
          <w:rtl w:val="true"/>
        </w:rPr>
        <w:t xml:space="preserve">, </w:t>
      </w:r>
      <w:r>
        <w:rPr>
          <w:rtl w:val="true"/>
        </w:rPr>
        <w:t>כללו החדרת אצבעותיו לאיבר מינן של נ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למעט באירוע אחד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טוען עוד כי לא נשקלה טענתו שהוא עצמו חווה פגיעה מינית בילדותו</w:t>
      </w:r>
      <w:r>
        <w:rPr>
          <w:rtl w:val="true"/>
        </w:rPr>
        <w:t xml:space="preserve">, </w:t>
      </w:r>
      <w:r>
        <w:rPr>
          <w:rtl w:val="true"/>
        </w:rPr>
        <w:t>אשר עשויה להסביר הפרעה מינית</w:t>
      </w:r>
      <w:r>
        <w:rPr>
          <w:rtl w:val="true"/>
        </w:rPr>
        <w:t xml:space="preserve">; </w:t>
      </w:r>
      <w:r>
        <w:rPr>
          <w:rtl w:val="true"/>
        </w:rPr>
        <w:t>וכי לא נבחנה אפשרות שיקומו כלל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בקביעת גובה הפיצוי למתלוננות</w:t>
      </w:r>
      <w:r>
        <w:rPr>
          <w:rtl w:val="true"/>
        </w:rPr>
        <w:t xml:space="preserve">, </w:t>
      </w:r>
      <w:r>
        <w:rPr>
          <w:rtl w:val="true"/>
        </w:rPr>
        <w:t>העולה על הפיצוי המקסימלי שראוי להטיל בהליך פלילי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לתקרת הפיצוי הקבועה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על סך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וכי ממילא פסיקת הפיצויים לא נומקה כדבעי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המדינה טען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תוך שהדגיש את הנזק שנגרם למתלוננות</w:t>
      </w:r>
      <w:r>
        <w:rPr>
          <w:rtl w:val="true"/>
        </w:rPr>
        <w:t xml:space="preserve">, </w:t>
      </w:r>
      <w:r>
        <w:rPr>
          <w:rtl w:val="true"/>
        </w:rPr>
        <w:t>כעולה מתסקירי נפגעות העבירה ומעדויותיהן עובר לטיעונים לעונש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בא כוח המדינה טען כי אף אם לחלק ממעשי המערער לא קדם תכנון</w:t>
      </w:r>
      <w:r>
        <w:rPr>
          <w:rtl w:val="true"/>
        </w:rPr>
        <w:t xml:space="preserve">, </w:t>
      </w:r>
      <w:r>
        <w:rPr>
          <w:rtl w:val="true"/>
        </w:rPr>
        <w:t>הרי שרבים מהמעשים המתוארים</w:t>
      </w:r>
      <w:r>
        <w:rPr>
          <w:rtl w:val="true"/>
        </w:rPr>
        <w:t xml:space="preserve">, </w:t>
      </w:r>
      <w:r>
        <w:rPr>
          <w:rtl w:val="true"/>
        </w:rPr>
        <w:t>לרבות מעשי הסדום</w:t>
      </w:r>
      <w:r>
        <w:rPr>
          <w:rtl w:val="true"/>
        </w:rPr>
        <w:t xml:space="preserve">,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הקרנת הסרטים הפורנוגרפיים והובלת נ</w:t>
      </w:r>
      <w:r>
        <w:rPr>
          <w:rtl w:val="true"/>
        </w:rPr>
        <w:t xml:space="preserve">' </w:t>
      </w:r>
      <w:r>
        <w:rPr>
          <w:rtl w:val="true"/>
        </w:rPr>
        <w:t xml:space="preserve">למחסן לשם ביצוע מעשים מגונים בה </w:t>
      </w:r>
      <w:r>
        <w:rPr>
          <w:rtl w:val="true"/>
        </w:rPr>
        <w:t>–</w:t>
      </w:r>
      <w:r>
        <w:rPr>
          <w:rtl w:val="true"/>
        </w:rPr>
        <w:t xml:space="preserve"> מצביעים על תכנון שקדם לביצוע העבירות</w:t>
      </w:r>
      <w:r>
        <w:rPr>
          <w:rtl w:val="true"/>
        </w:rPr>
        <w:t xml:space="preserve">; </w:t>
      </w:r>
      <w:r>
        <w:rPr>
          <w:rtl w:val="true"/>
        </w:rPr>
        <w:t>וכי אין ממש בניסיון המערער לגמד את מעשיו</w:t>
      </w:r>
      <w:r>
        <w:rPr>
          <w:rtl w:val="true"/>
        </w:rPr>
        <w:t xml:space="preserve">, </w:t>
      </w:r>
      <w:r>
        <w:rPr>
          <w:rtl w:val="true"/>
        </w:rPr>
        <w:t>אותן הגדיר כ</w:t>
      </w:r>
      <w:r>
        <w:rPr>
          <w:rtl w:val="true"/>
        </w:rPr>
        <w:t>"</w:t>
      </w:r>
      <w:r>
        <w:rPr>
          <w:rtl w:val="true"/>
        </w:rPr>
        <w:t>מעשים מחרידים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יוער כי בתום הדיון שהתקיים בפנינו</w:t>
      </w:r>
      <w:r>
        <w:rPr>
          <w:rtl w:val="true"/>
        </w:rPr>
        <w:t xml:space="preserve">, </w:t>
      </w:r>
      <w:r>
        <w:rPr>
          <w:rtl w:val="true"/>
        </w:rPr>
        <w:t>שתיים מהמתלוננות השמיעו בפרץ רגשי וכאב גדול דברים אחדים</w:t>
      </w:r>
      <w:r>
        <w:rPr>
          <w:rtl w:val="true"/>
        </w:rPr>
        <w:t xml:space="preserve">, </w:t>
      </w:r>
      <w:r>
        <w:rPr>
          <w:rtl w:val="true"/>
        </w:rPr>
        <w:t>אשר לא יפורטו מפאת צנעת הפרט</w:t>
      </w:r>
      <w:r>
        <w:rPr>
          <w:rtl w:val="true"/>
        </w:rPr>
        <w:t xml:space="preserve">. </w:t>
      </w:r>
      <w:r>
        <w:rPr>
          <w:rtl w:val="true"/>
        </w:rPr>
        <w:t>כך גם אבי הקורבנות אשר זעק את זעקת כאבו וכאב משפחתו לנוכח מעשיו של המערער והפגיעה בבנותיו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5.10.2020</w:t>
      </w:r>
      <w:r>
        <w:rPr>
          <w:rtl w:val="true"/>
        </w:rPr>
        <w:t xml:space="preserve"> </w:t>
      </w:r>
      <w:r>
        <w:rPr>
          <w:rtl w:val="true"/>
        </w:rPr>
        <w:t>הוגשה חוות דעת מטעם המרכז להערכת מסוכנות</w:t>
      </w:r>
      <w:r>
        <w:rPr>
          <w:rtl w:val="true"/>
        </w:rPr>
        <w:t xml:space="preserve">, </w:t>
      </w:r>
      <w:r>
        <w:rPr>
          <w:rtl w:val="true"/>
        </w:rPr>
        <w:t xml:space="preserve">בגדרה צוין כי להערכת המרכז נשקפת מהמערער מסוכנות מינית </w:t>
      </w:r>
      <w:r>
        <w:rPr>
          <w:rtl w:val="true"/>
        </w:rPr>
        <w:t>"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", </w:t>
      </w:r>
      <w:r>
        <w:rPr>
          <w:rtl w:val="true"/>
        </w:rPr>
        <w:t>הנלמדת בין היתר מכך שהוא נוטה לצמצם את חומרת מעשיו</w:t>
      </w:r>
      <w:r>
        <w:rPr>
          <w:rtl w:val="true"/>
        </w:rPr>
        <w:t xml:space="preserve">, </w:t>
      </w:r>
      <w:r>
        <w:rPr>
          <w:rtl w:val="true"/>
        </w:rPr>
        <w:t>המלמדים על סטייה מינית פדופילית</w:t>
      </w:r>
      <w:r>
        <w:rPr>
          <w:rtl w:val="true"/>
        </w:rPr>
        <w:t xml:space="preserve">; </w:t>
      </w:r>
      <w:r>
        <w:rPr>
          <w:rtl w:val="true"/>
        </w:rPr>
        <w:t>מאופיו המניפולטיבי</w:t>
      </w:r>
      <w:r>
        <w:rPr>
          <w:rtl w:val="true"/>
        </w:rPr>
        <w:t xml:space="preserve">; </w:t>
      </w:r>
      <w:r>
        <w:rPr>
          <w:rtl w:val="true"/>
        </w:rPr>
        <w:t>מיכולתו לניתוק רגשי</w:t>
      </w:r>
      <w:r>
        <w:rPr>
          <w:rtl w:val="true"/>
        </w:rPr>
        <w:t xml:space="preserve">; </w:t>
      </w:r>
      <w:r>
        <w:rPr>
          <w:rtl w:val="true"/>
        </w:rPr>
        <w:t>ומהיעדר תחושת אמפתיה מצדו לקורבנות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לקראת הדיון בערעור הוכן תסקיר בעניינו של המערער מטעם שירות המבחן</w:t>
      </w:r>
      <w:r>
        <w:rPr>
          <w:rtl w:val="true"/>
        </w:rPr>
        <w:t xml:space="preserve">, </w:t>
      </w:r>
      <w:r>
        <w:rPr>
          <w:rtl w:val="true"/>
        </w:rPr>
        <w:t>אשר התרשם כי המערער מתקשה להכיר ולהעמיק בהשלכות מעשיו על קורבנותיו ובנסיבות אלה</w:t>
      </w:r>
      <w:r>
        <w:rPr>
          <w:rtl w:val="true"/>
        </w:rPr>
        <w:t xml:space="preserve">, </w:t>
      </w:r>
      <w:r>
        <w:rPr>
          <w:rtl w:val="true"/>
        </w:rPr>
        <w:t>של אי הכרה ממשית בחומרת מעשיו והשלכותיהם</w:t>
      </w:r>
      <w:r>
        <w:rPr>
          <w:rtl w:val="true"/>
        </w:rPr>
        <w:t xml:space="preserve">, </w:t>
      </w:r>
      <w:r>
        <w:rPr>
          <w:rtl w:val="true"/>
        </w:rPr>
        <w:t>וללא טיפול ייעודי בתחום עבירותיו קיים סיכון להישנות מעשים דומים והתנהגות עוברת חוק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לא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חר שעיי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נו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בגזר דינו של בית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משפט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המחוזי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ושקל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נו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את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טענות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הצדדים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בא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נו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לכלל מסקנה כי דין הערעור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לא מצאנו כי המקרה שלפנינו נופל בגדר מקרים חריגים אלה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קשה להפריז בסלידה ובפסול הטמונים בעבריינות מין בתוך המשפחה</w:t>
      </w:r>
      <w:r>
        <w:rPr>
          <w:rtl w:val="true"/>
        </w:rPr>
        <w:t xml:space="preserve">, </w:t>
      </w:r>
      <w:r>
        <w:rPr>
          <w:rtl w:val="true"/>
        </w:rPr>
        <w:t>הפוגעת בילדים ובילדות רכות בשנים</w:t>
      </w:r>
      <w:r>
        <w:rPr>
          <w:rtl w:val="true"/>
        </w:rPr>
        <w:t xml:space="preserve">, </w:t>
      </w:r>
      <w:r>
        <w:rPr>
          <w:rtl w:val="true"/>
        </w:rPr>
        <w:t xml:space="preserve">הנתונים לחסדם של בני המשפחה הבוגרים יותר </w:t>
      </w:r>
      <w:r>
        <w:rPr>
          <w:rtl w:val="true"/>
        </w:rPr>
        <w:t>–</w:t>
      </w:r>
      <w:r>
        <w:rPr>
          <w:rtl w:val="true"/>
        </w:rPr>
        <w:t xml:space="preserve"> פגיעה אשר עשויה להותיר צלקת בנפשם שייתכן שלא תרפא לעולם</w:t>
      </w:r>
      <w:r>
        <w:rPr>
          <w:rtl w:val="true"/>
        </w:rPr>
        <w:t xml:space="preserve">. </w:t>
      </w:r>
      <w:r>
        <w:rPr>
          <w:rtl w:val="true"/>
        </w:rPr>
        <w:t>ניצול זה של היחסים המשפחתיים חמור כל אימת שמדובר בבן משפחה שהוא בעל סמכות ובעל יחסי קרבה לנפגעי העבירה</w:t>
      </w:r>
      <w:r>
        <w:rPr>
          <w:rtl w:val="true"/>
        </w:rPr>
        <w:t xml:space="preserve">, </w:t>
      </w:r>
      <w:r>
        <w:rPr>
          <w:rtl w:val="true"/>
        </w:rPr>
        <w:t>כפי שאף ציינתי במקום אחר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5"/>
        <w:spacing w:before="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tl w:val="true"/>
        </w:rPr>
        <w:t>-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>))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 הוא דוד המתלוננות וכמתואר בכתב האישום שימש עבורן כדמות אב וכמשענת</w:t>
      </w:r>
      <w:r>
        <w:rPr>
          <w:rtl w:val="true"/>
        </w:rPr>
        <w:t xml:space="preserve">, </w:t>
      </w:r>
      <w:r>
        <w:rPr>
          <w:rtl w:val="true"/>
        </w:rPr>
        <w:t>סייע באופנים שונים למשפחה</w:t>
      </w:r>
      <w:r>
        <w:rPr>
          <w:rtl w:val="true"/>
        </w:rPr>
        <w:t xml:space="preserve">, </w:t>
      </w:r>
      <w:r>
        <w:rPr>
          <w:rtl w:val="true"/>
        </w:rPr>
        <w:t>הביא מצרכים לביתן</w:t>
      </w:r>
      <w:r>
        <w:rPr>
          <w:rtl w:val="true"/>
        </w:rPr>
        <w:t xml:space="preserve">, </w:t>
      </w:r>
      <w:r>
        <w:rPr>
          <w:rtl w:val="true"/>
        </w:rPr>
        <w:t>הסיען ללימודים</w:t>
      </w:r>
      <w:r>
        <w:rPr>
          <w:rtl w:val="true"/>
        </w:rPr>
        <w:t xml:space="preserve">, </w:t>
      </w:r>
      <w:r>
        <w:rPr>
          <w:rtl w:val="true"/>
        </w:rPr>
        <w:t>והמתלוננות אף נהגו ללון לעיתים בביתו</w:t>
      </w:r>
      <w:r>
        <w:rPr>
          <w:rtl w:val="true"/>
        </w:rPr>
        <w:t xml:space="preserve">. </w:t>
      </w:r>
      <w:r>
        <w:rPr>
          <w:rtl w:val="true"/>
        </w:rPr>
        <w:t>במעשיו הנלוזים המערער ניצל את האמון שנתנו בו המתלוננות ומשפחתן תוך שיצר מצג כאילו הוא פורש עליהן את חסותו</w:t>
      </w:r>
      <w:r>
        <w:rPr>
          <w:rtl w:val="true"/>
        </w:rPr>
        <w:t xml:space="preserve">. </w:t>
      </w:r>
      <w:r>
        <w:rPr>
          <w:rtl w:val="true"/>
        </w:rPr>
        <w:t>בהקשר זה יש לדחות מכל וכל את טענת המערער לפיה סיועו למתלוננות מפחית מחומרת מעשיו</w:t>
      </w:r>
      <w:r>
        <w:rPr>
          <w:rtl w:val="true"/>
        </w:rPr>
        <w:t xml:space="preserve">. </w:t>
      </w:r>
      <w:r>
        <w:rPr>
          <w:rtl w:val="true"/>
        </w:rPr>
        <w:t xml:space="preserve">ההיפך הוא הנכון </w:t>
      </w:r>
      <w:r>
        <w:rPr>
          <w:rtl w:val="true"/>
        </w:rPr>
        <w:t>–</w:t>
      </w:r>
      <w:r>
        <w:rPr>
          <w:rtl w:val="true"/>
        </w:rPr>
        <w:t xml:space="preserve"> הניצול חמור שבעתיים שעה שהפגיעה נעשתה על רקע יחסי תלות</w:t>
      </w:r>
      <w:r>
        <w:rPr>
          <w:rtl w:val="true"/>
        </w:rPr>
        <w:t xml:space="preserve">, </w:t>
      </w:r>
      <w:r>
        <w:rPr>
          <w:rtl w:val="true"/>
        </w:rPr>
        <w:t>סיוע ותמיכה בין המערער לבין המתלוננות</w:t>
      </w:r>
      <w:r>
        <w:rPr>
          <w:rtl w:val="true"/>
        </w:rPr>
        <w:t xml:space="preserve">, </w:t>
      </w:r>
      <w:r>
        <w:rPr>
          <w:rtl w:val="true"/>
        </w:rPr>
        <w:t>אשר ראו בו כדמות אב ובעל מעמד סמכותי במשפחה המורחבת כולה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אנס</w:t>
      </w:r>
      <w:r>
        <w:rPr>
          <w:rtl w:val="true"/>
        </w:rPr>
        <w:t xml:space="preserve">, </w:t>
      </w:r>
      <w:r>
        <w:rPr>
          <w:rtl w:val="true"/>
        </w:rPr>
        <w:t>ביצע מעשי סדום והשפיל מינית את שלוש אחייניותיו במשך שנים ארוכות ובתדירות קבועה</w:t>
      </w:r>
      <w:r>
        <w:rPr>
          <w:rtl w:val="true"/>
        </w:rPr>
        <w:t xml:space="preserve">, </w:t>
      </w:r>
      <w:r>
        <w:rPr>
          <w:rtl w:val="true"/>
        </w:rPr>
        <w:t>בשעה שהיו קטינות</w:t>
      </w:r>
      <w:r>
        <w:rPr>
          <w:rtl w:val="true"/>
        </w:rPr>
        <w:t xml:space="preserve">. </w:t>
      </w:r>
      <w:r>
        <w:rPr>
          <w:rtl w:val="true"/>
        </w:rPr>
        <w:t>רבים ממעשיו של המערער דרשו תכנון מקדים</w:t>
      </w:r>
      <w:r>
        <w:rPr>
          <w:rtl w:val="true"/>
        </w:rPr>
        <w:t xml:space="preserve">, </w:t>
      </w:r>
      <w:r>
        <w:rPr>
          <w:rtl w:val="true"/>
        </w:rPr>
        <w:t>כגון הובלת נ</w:t>
      </w:r>
      <w:r>
        <w:rPr>
          <w:rtl w:val="true"/>
        </w:rPr>
        <w:t xml:space="preserve">' </w:t>
      </w:r>
      <w:r>
        <w:rPr>
          <w:rtl w:val="true"/>
        </w:rPr>
        <w:t>לאזור המחסנים בביתה</w:t>
      </w:r>
      <w:r>
        <w:rPr>
          <w:rtl w:val="true"/>
        </w:rPr>
        <w:t xml:space="preserve">, </w:t>
      </w:r>
      <w:r>
        <w:rPr>
          <w:rtl w:val="true"/>
        </w:rPr>
        <w:t>הקרנת סרטים פורנוגרפיים למתלוננות ויצירת תנאים שיאפשרו לו לבצע את זממו אף בשעה שבני משפחה אחרים שהו בבית</w:t>
      </w:r>
      <w:r>
        <w:rPr>
          <w:rtl w:val="true"/>
        </w:rPr>
        <w:t xml:space="preserve">. </w:t>
      </w:r>
      <w:r>
        <w:rPr>
          <w:rtl w:val="true"/>
        </w:rPr>
        <w:t>את מעשיו המערער ביצע בלי שעצר לבחון מה הוא עולל למתלוננות</w:t>
      </w:r>
      <w:r>
        <w:rPr>
          <w:rtl w:val="true"/>
        </w:rPr>
        <w:t xml:space="preserve">, </w:t>
      </w:r>
      <w:r>
        <w:rPr>
          <w:rtl w:val="true"/>
        </w:rPr>
        <w:t>תוך שהוא נהג בגופן כבשלו והן שימשו בידיו כלי לסיפוק גחמותיו המיניות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 יתרה יש במעשיו של המערער לאור העובדה כי מדובר במסכת ארוכת שנים בה נהג לפגוע במתלוננות באופן תדיר</w:t>
      </w:r>
      <w:r>
        <w:rPr>
          <w:rtl w:val="true"/>
        </w:rPr>
        <w:t xml:space="preserve">. </w:t>
      </w:r>
      <w:r>
        <w:rPr>
          <w:rtl w:val="true"/>
        </w:rPr>
        <w:t>דומה כי ככל שהמערער הרבה לפגוע במתלוננות</w:t>
      </w:r>
      <w:r>
        <w:rPr>
          <w:rtl w:val="true"/>
        </w:rPr>
        <w:t xml:space="preserve">, </w:t>
      </w:r>
      <w:r>
        <w:rPr>
          <w:rtl w:val="true"/>
        </w:rPr>
        <w:t>כך הפך הדבר לעניין שבשגרה מבחינתו ובאופן זה גזל מהמתלוננות את שנות נעוריהן התמימות</w:t>
      </w:r>
      <w:r>
        <w:rPr>
          <w:rtl w:val="true"/>
        </w:rPr>
        <w:t xml:space="preserve">. </w:t>
      </w:r>
      <w:r>
        <w:rPr>
          <w:rtl w:val="true"/>
        </w:rPr>
        <w:t>עיון בתסקיר נפגעי העבירה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מפאת צנעת הפרט נמנע מלפרט את תכניו</w:t>
      </w:r>
      <w:r>
        <w:rPr>
          <w:rtl w:val="true"/>
        </w:rPr>
        <w:t xml:space="preserve">, </w:t>
      </w:r>
      <w:r>
        <w:rPr>
          <w:rtl w:val="true"/>
        </w:rPr>
        <w:t>מלמד כי פגיעתו התדירה של המערער במתלוננות גרמה להן לחוש חשופות לפגיעה כל אימת שהוא נמצא בקרבתן</w:t>
      </w:r>
      <w:r>
        <w:rPr>
          <w:rtl w:val="true"/>
        </w:rPr>
        <w:t xml:space="preserve">; </w:t>
      </w:r>
      <w:r>
        <w:rPr>
          <w:rtl w:val="true"/>
        </w:rPr>
        <w:t>ובמעשיו הסב לשלושתן פגיעה קשה וחוויה טראומטית</w:t>
      </w:r>
      <w:r>
        <w:rPr>
          <w:rtl w:val="true"/>
        </w:rPr>
        <w:t xml:space="preserve">, </w:t>
      </w:r>
      <w:r>
        <w:rPr>
          <w:rtl w:val="true"/>
        </w:rPr>
        <w:t>שאותה הן נושאות עמן עד היום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מכלול שיקולים אלה מחייב ענישה אשר תשקף באופן נחרץ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תרחיקו מהציבור לתקופה ממושכת</w:t>
      </w:r>
      <w:r>
        <w:rPr>
          <w:rtl w:val="true"/>
        </w:rPr>
        <w:t xml:space="preserve">, </w:t>
      </w:r>
      <w:r>
        <w:rPr>
          <w:rtl w:val="true"/>
        </w:rPr>
        <w:t xml:space="preserve">ותרתיע אחרים מלפעול באופן דומה ולנצל את מעמדם וסמכותם בתוך התא המשפחתי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24.7.2018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 xml:space="preserve">באשר לטענת המערער כי נפסק פיצוי גבוה מתקרת הפיצוי הקבועה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 שכפי שנקבע ב</w:t>
      </w:r>
      <w:hyperlink r:id="rId2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), </w:t>
      </w:r>
      <w:r>
        <w:rPr>
          <w:rtl w:val="true"/>
        </w:rPr>
        <w:t>במקרים שבהם בוצעו עבירות כלפי מספר קורבנות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לפסוק פיצוי עד לסכום המירבי האמור לטובת כל אחד מהניזוקים הישירים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Style w:val="-M"/>
          <w:i w:val="false"/>
          <w:i w:val="false"/>
          <w:iCs w:val="false"/>
          <w:rtl w:val="true"/>
        </w:rPr>
        <w:t>א</w:t>
      </w:r>
      <w:r>
        <w:rPr>
          <w:rStyle w:val="-M"/>
          <w:i w:val="false"/>
          <w:iCs w:val="false"/>
          <w:rtl w:val="true"/>
        </w:rPr>
        <w:t xml:space="preserve">' </w:t>
      </w:r>
      <w:r>
        <w:rPr>
          <w:rStyle w:val="-M"/>
          <w:i w:val="false"/>
          <w:i w:val="false"/>
          <w:iCs w:val="false"/>
          <w:rtl w:val="true"/>
        </w:rPr>
        <w:t>חיות</w:t>
      </w:r>
      <w:r>
        <w:rPr>
          <w:rtl w:val="true"/>
        </w:rPr>
        <w:t xml:space="preserve">). </w:t>
      </w:r>
    </w:p>
    <w:p>
      <w:pPr>
        <w:pStyle w:val="Ruller4"/>
        <w:spacing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בטרם סיכום</w:t>
      </w:r>
      <w:r>
        <w:rPr>
          <w:rtl w:val="true"/>
        </w:rPr>
        <w:t xml:space="preserve">, </w:t>
      </w:r>
      <w:r>
        <w:rPr>
          <w:rtl w:val="true"/>
        </w:rPr>
        <w:t>המערער בטיעוניו טען כי הוא עצמו קורבן לפגיעה מינית בילדותו וכי יש בכך כמעין הסבר להתנהגותו</w:t>
      </w:r>
      <w:r>
        <w:rPr>
          <w:rtl w:val="true"/>
        </w:rPr>
        <w:t xml:space="preserve">. </w:t>
      </w:r>
      <w:r>
        <w:rPr>
          <w:rtl w:val="true"/>
        </w:rPr>
        <w:t xml:space="preserve">לעניין זה ייאמר כי על אף הסברה באשר לקיומו של </w:t>
      </w:r>
      <w:r>
        <w:rPr>
          <w:rtl w:val="true"/>
        </w:rPr>
        <w:t>"</w:t>
      </w:r>
      <w:r>
        <w:rPr>
          <w:rtl w:val="true"/>
        </w:rPr>
        <w:t>מעגל פגיעות מיניות בילדים</w:t>
      </w:r>
      <w:r>
        <w:rPr>
          <w:rtl w:val="true"/>
        </w:rPr>
        <w:t xml:space="preserve">", </w:t>
      </w:r>
      <w:r>
        <w:rPr>
          <w:rtl w:val="true"/>
        </w:rPr>
        <w:t xml:space="preserve">הרי שוודאי לא כל מי שחווה פגיעה מינית בילדותו עתיד לפגוע באחרים </w:t>
      </w:r>
      <w:r>
        <w:rPr>
          <w:rtl w:val="true"/>
        </w:rPr>
        <w:t>(</w:t>
      </w:r>
      <w:r>
        <w:rPr>
          <w:rtl w:val="true"/>
        </w:rPr>
        <w:t>ראו דבריי 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2.12.2018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ולעניין שיקולי השיקום של העבריין אומר כי אלה אינם חזות הכל</w:t>
      </w:r>
      <w:r>
        <w:rPr>
          <w:rtl w:val="true"/>
        </w:rPr>
        <w:t xml:space="preserve">, </w:t>
      </w:r>
      <w:r>
        <w:rPr>
          <w:rtl w:val="true"/>
        </w:rPr>
        <w:t>אלא יש לשקול שיקולים נוספים ובכלל זה שיקום קורבנות העבירה עצמן</w:t>
      </w:r>
      <w:r>
        <w:rPr>
          <w:rtl w:val="true"/>
        </w:rPr>
        <w:t xml:space="preserve">, </w:t>
      </w:r>
      <w:r>
        <w:rPr>
          <w:rtl w:val="true"/>
        </w:rPr>
        <w:t>אשר בעבורן הרחקת המערער מסביבתן הקרובה לפרק זמן ממשי הוא הכרחי וגורם בלתי מבוטל לתחושת הביטחון שלהן ושובם אל מסלול חיים תקין לנוכח הפגיעה המינית המתמשכת בהן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lineRule="atLeast" w:line="360" w:before="240" w:after="240"/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22.3.2021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</w:t>
      </w:r>
      <w:r>
        <w:rPr>
          <w:rFonts w:cs="Times New Roman;Times New Roman"/>
          <w:sz w:val="16"/>
          <w:rtl w:val="true"/>
        </w:rPr>
        <w:t xml:space="preserve"> </w:t>
      </w:r>
      <w:r>
        <w:rPr>
          <w:sz w:val="16"/>
        </w:rPr>
        <w:t>20009680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54678313-968/20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12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968/20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-M">
    <w:name w:val="הדגשה-M"/>
    <w:qFormat/>
    <w:rPr>
      <w:rFonts w:ascii="Century" w:hAnsi="Century" w:cs="Miriam"/>
      <w:b/>
      <w:i/>
      <w:iCs/>
      <w:spacing w:val="0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3553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case/24335530" TargetMode="External"/><Relationship Id="rId12" Type="http://schemas.openxmlformats.org/officeDocument/2006/relationships/hyperlink" Target="http://www.nevo.co.il/law/70301/351.a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77" TargetMode="External"/><Relationship Id="rId24" Type="http://schemas.openxmlformats.org/officeDocument/2006/relationships/hyperlink" Target="http://www.nevo.co.il/case/23507449" TargetMode="External"/><Relationship Id="rId25" Type="http://schemas.openxmlformats.org/officeDocument/2006/relationships/hyperlink" Target="http://www.nevo.co.il/case/24287809" TargetMode="External"/><Relationship Id="rId26" Type="http://schemas.openxmlformats.org/officeDocument/2006/relationships/hyperlink" Target="http://www.nevo.co.il/case/22899443" TargetMode="External"/><Relationship Id="rId27" Type="http://schemas.openxmlformats.org/officeDocument/2006/relationships/hyperlink" Target="http://www.nevo.co.il/law/70301/7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1477594" TargetMode="External"/><Relationship Id="rId30" Type="http://schemas.openxmlformats.org/officeDocument/2006/relationships/hyperlink" Target="http://www.nevo.co.il/law/70301/77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3825952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2021-03-24T10:09:00Z</dcterms:created>
  <dc:creator>h4</dc:creator>
  <dc:description/>
  <cp:keywords/>
  <dc:language>en-IL</dc:language>
  <cp:lastModifiedBy>orly</cp:lastModifiedBy>
  <cp:lastPrinted>2021-03-22T08:51:00Z</cp:lastPrinted>
  <dcterms:modified xsi:type="dcterms:W3CDTF">2021-03-24T10:09:00Z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24335530:2;23507449;24287809;22899443;21477594;23825952</vt:lpwstr>
  </property>
  <property fmtid="{D5CDD505-2E9C-101B-9397-08002B2CF9AE}" pid="9" name="CITY">
    <vt:lpwstr/>
  </property>
  <property fmtid="{D5CDD505-2E9C-101B-9397-08002B2CF9AE}" pid="10" name="DATE">
    <vt:lpwstr>20210322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אלרון;א' שטיין</vt:lpwstr>
  </property>
  <property fmtid="{D5CDD505-2E9C-101B-9397-08002B2CF9AE}" pid="14" name="LAWLISTTMP1">
    <vt:lpwstr>70301/351.a:2;345.a.1:3;347.b;345.b.1:2;351.c.2;348.b;077:3</vt:lpwstr>
  </property>
  <property fmtid="{D5CDD505-2E9C-101B-9397-08002B2CF9AE}" pid="15" name="LAWYER">
    <vt:lpwstr>עמרי כהן;ענת ארוסי;נדב גדליהו;שמואל הורביץ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פיצויים והוצאות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1446;1446;1446;1446;1447;504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פיצויים לקורבן</vt:lpwstr>
  </property>
  <property fmtid="{D5CDD505-2E9C-101B-9397-08002B2CF9AE}" pid="54" name="NOSE36">
    <vt:lpwstr>אי-התערבות בחומרת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16241;16970;8982;8995;9013;17692</vt:lpwstr>
  </property>
  <property fmtid="{D5CDD505-2E9C-101B-9397-08002B2CF9AE}" pid="59" name="PADIDATE">
    <vt:lpwstr>20210324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968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410120210322</vt:lpwstr>
  </property>
  <property fmtid="{D5CDD505-2E9C-101B-9397-08002B2CF9AE}" pid="69" name="TYPE_N_DATE">
    <vt:lpwstr>41020210322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