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971/19</w:t>
            </w:r>
          </w:p>
        </w:tc>
      </w:tr>
    </w:tbl>
    <w:p>
      <w:pPr>
        <w:pStyle w:val="Normal"/>
        <w:spacing w:lineRule="auto" w:line="324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spacing w:lineRule="auto" w:line="324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>ת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324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324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מחמד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געביס</w:t>
            </w:r>
          </w:p>
        </w:tc>
      </w:tr>
    </w:tbl>
    <w:p>
      <w:pPr>
        <w:pStyle w:val="Ruller31"/>
        <w:spacing w:lineRule="auto" w:line="324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טפרברג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34027-04-18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2018</w:t>
            </w:r>
          </w:p>
        </w:tc>
      </w:tr>
    </w:tbl>
    <w:p>
      <w:pPr>
        <w:pStyle w:val="Ruller31"/>
        <w:spacing w:lineRule="auto" w:line="324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24.6.2019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324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8"/>
        <w:gridCol w:w="5145"/>
      </w:tblGrid>
      <w:tr>
        <w:trPr/>
        <w:tc>
          <w:tcPr>
            <w:tcW w:w="321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עודד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</w:p>
        </w:tc>
      </w:tr>
    </w:tbl>
    <w:p>
      <w:pPr>
        <w:pStyle w:val="Ruller31"/>
        <w:spacing w:lineRule="auto" w:line="324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ריאד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סואעד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24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לשפה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הערבית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עבדאללה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רחמן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24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bookmarkStart w:id="8" w:name="ABSTRACT_START"/>
      <w:bookmarkEnd w:id="8"/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החמיר בעונש המאסר בפועל שהושת על המשיב בגין עבירות סחר בנשק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כך שירצה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50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חודשי מאסר בפועל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חֶלֶף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36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נוכח חריגה בולטת ממדיניות הענישה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נפסק כי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 רקע רמת הענישה הנהוגה בפסיקה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העונש שהושת על המשיב אינו הולם את חומרת המעשים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בייחוד כאשר מדובר בריבוי עבירות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עבירות נשק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שיקולים לחומרה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מתחם הענישה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המשיב הורשע בבימ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 בעבירות סחר בנשק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 קבע כי מתחם העונש ההולם לעבירות בהן הורשע המשיב נע בין שנתיים לארבע שנות מאסר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והשית על המשיב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36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 מאסר בפועל בניכוי ימי מעצרו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18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חודשי מאסר על תנאי וקנס בסך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5,000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₪.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הערעור נסב על קולת עונש המאסר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מפי השופט פוגלמן ובהסכמת השופטים מזוז ואלרון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קיבל את הערעור ופסק כי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ערכאת הערעור לא נוטה להתערב בחומרת העונש שהטילה הערכאה הדיונית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אלא אם מתגלה חריגה בולטת ממדיניות הענישה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מקרה זה מצדיק התערבות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כבר נפסק אודות החומרה הרבה שבעבירות נשק ועל הפגיעה בערכים המוגנים של שלמות הגוף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חיי אדם ושלום ובטחון הציבור הנפגעים מעבירות אלו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חומרת עבירות אלו גלומה בפונטציאל הנזק הנובע מהן נוכח החשש כי הנשק הנסחר יועבר למי שמתכוון לבצע פעולות עברייניות או פעולות טרור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בשנים האחרונות ננקטה בפסיקת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העליון מגמה מחמירה כלפי עבירות נשק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הגם שפסק הדין קמא מפרט את העקרונות שנקבעו בפסיקה בהתייחס לחומרת העבירות ומדיניות הענישה בנוגע לעבירות סחר בנשק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ניכר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 רקע רמת הענישה הנהוגה בפסיקת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העליון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כי העונש שהושת על המשיב אינו הולם את חומרת המעשים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בייחוד כאשר מדובר בריבוי עבירות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לטענת המשיב בדבר התמורה הנמוכה שקיבל עבור שירותיו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והעובדה כי הוא לא סיפק את הנשקים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הרי שמתקיימות בעניינו גם נסיבות מחמירות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המשיב הורשע בשלוש עבירות שונות של סחר בנשק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כאשר הוא לקח חלק פעיל ומשמעותי בכינון העסקאות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המשיב אף יזם את חלק מהעסקאות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והיה מעורב במשא ומתן בנוגע לנשקים ולמחירם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כך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במתחם הענישה יש להתחשב במעורבותו הגדולה של המשיב ובריבוי העבירות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המשיב אמנם שימש כמתווך לעסקאות בנשק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אך מעורבותו מילאה תפקיד מרכזי שאיפשרה את השלמת העסקאות ואת הפעילות העבריינית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בנוסף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לפי האישום השני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המשיב היה מעורב בסחר של רובה סער מסוג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M4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שמגלם נזק פוטנציאלי רב במיוחד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בנסיבות אלו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ומבלי לקבוע מסמרות באשר לתקרת מתחם העונש ההולם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נראה כי זו אינה יכולה להיות נמוכה 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6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בעת קביעת עונשו של המשיב בתוך המתחם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יש להתחשב בעברו הפלילי הנקי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בהודאתו במסגרת עסקת טיעון ובחסכון בזמן שיפוטי עקב כך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עוד יש להתחשב בפגיעה של העונש במשפחתו של המשיב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כאשר אמו נעזרת בו לטיפול באחיו שהינם בעלי צרכים מיוחדים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בהיותנו ערכאת ערעור שלפי המקובל אינה ממצה את מלוא חומרת הדין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עונש המאסר בפועל הועמד על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50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יתר חלקי גזר הדין יעמדו בעינם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</w:rPr>
      </w:pPr>
      <w:bookmarkStart w:id="14" w:name="Writer_Name"/>
      <w:bookmarkEnd w:id="14"/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פוגלמן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טפרברג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;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וההליכים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4.10.2018</w:t>
      </w:r>
      <w:r>
        <w:rPr>
          <w:rtl w:val="true"/>
        </w:rPr>
        <w:t xml:space="preserve"> </w:t>
      </w:r>
      <w:r>
        <w:rPr>
          <w:rtl w:val="true"/>
        </w:rPr>
        <w:t xml:space="preserve">הורשע המשיב על פי הודאתו בכתב אישום מתוקן הכולל שלושה אישומים של סחר בנשק לפי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הסוכן</w:t>
      </w:r>
      <w:r>
        <w:rPr>
          <w:rtl w:val="true"/>
        </w:rPr>
        <w:t xml:space="preserve">)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".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עג</w:t>
      </w:r>
      <w:r>
        <w:rPr>
          <w:rtl w:val="true"/>
        </w:rPr>
        <w:t>'</w:t>
      </w:r>
      <w:r>
        <w:rPr>
          <w:rtl w:val="true"/>
        </w:rPr>
        <w:t>אג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) </w:t>
      </w:r>
      <w:r>
        <w:rPr>
          <w:rtl w:val="true"/>
        </w:rPr>
        <w:t>שהציג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תקול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למחרת</w:t>
      </w:r>
      <w:r>
        <w:rPr>
          <w:rtl w:val="true"/>
        </w:rPr>
        <w:t xml:space="preserve">. </w:t>
      </w:r>
      <w:r>
        <w:rPr>
          <w:rtl w:val="true"/>
        </w:rPr>
        <w:t>בדרכם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מהפגישה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לעג</w:t>
      </w:r>
      <w:r>
        <w:rPr>
          <w:rtl w:val="true"/>
        </w:rPr>
        <w:t>'</w:t>
      </w:r>
      <w:r>
        <w:rPr>
          <w:rtl w:val="true"/>
        </w:rPr>
        <w:t>אג</w:t>
      </w:r>
      <w:r>
        <w:rPr>
          <w:rtl w:val="true"/>
        </w:rPr>
        <w:t xml:space="preserve">' </w:t>
      </w:r>
      <w:r>
        <w:rPr>
          <w:rtl w:val="true"/>
        </w:rPr>
        <w:t>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</w:rPr>
        <w:t>M16</w:t>
      </w:r>
      <w:r>
        <w:rPr>
          <w:rtl w:val="true"/>
        </w:rPr>
        <w:t xml:space="preserve"> </w:t>
      </w:r>
      <w:r>
        <w:rPr>
          <w:rtl w:val="true"/>
        </w:rPr>
        <w:t>למכירה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והמשיב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מוכן</w:t>
      </w:r>
      <w:r>
        <w:rPr>
          <w:rtl w:val="true"/>
        </w:rPr>
        <w:t xml:space="preserve">. </w:t>
      </w:r>
      <w:r>
        <w:rPr>
          <w:rtl w:val="true"/>
        </w:rPr>
        <w:t>לבקשתו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עדכן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למחרת</w:t>
      </w:r>
      <w:r>
        <w:rPr>
          <w:rtl w:val="true"/>
        </w:rPr>
        <w:t xml:space="preserve">. </w:t>
      </w:r>
      <w:r>
        <w:rPr>
          <w:rtl w:val="true"/>
        </w:rPr>
        <w:t>בערב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עג</w:t>
      </w:r>
      <w:r>
        <w:rPr>
          <w:rtl w:val="true"/>
        </w:rPr>
        <w:t>'</w:t>
      </w:r>
      <w:r>
        <w:rPr>
          <w:rtl w:val="true"/>
        </w:rPr>
        <w:t>אג</w:t>
      </w:r>
      <w:r>
        <w:rPr>
          <w:rtl w:val="true"/>
        </w:rPr>
        <w:t xml:space="preserve">'.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מעג</w:t>
      </w:r>
      <w:r>
        <w:rPr>
          <w:rtl w:val="true"/>
        </w:rPr>
        <w:t>'</w:t>
      </w:r>
      <w:r>
        <w:rPr>
          <w:rtl w:val="true"/>
        </w:rPr>
        <w:t>אג</w:t>
      </w:r>
      <w:r>
        <w:rPr>
          <w:rtl w:val="true"/>
        </w:rPr>
        <w:t xml:space="preserve">' </w:t>
      </w:r>
      <w:r>
        <w:rPr>
          <w:rtl w:val="true"/>
        </w:rPr>
        <w:t>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/>
        <w:t>24,000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האישום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לאחר אירועי האישום הראשון ובהמשך לשיחה בנוגע לרובה </w:t>
      </w:r>
      <w:r>
        <w:rPr>
          <w:rFonts w:cs="Century" w:ascii="Century" w:hAnsi="Century"/>
          <w:sz w:val="22"/>
          <w:szCs w:val="22"/>
        </w:rPr>
        <w:t>M16</w:t>
      </w:r>
      <w:r>
        <w:rPr>
          <w:rtl w:val="true"/>
        </w:rPr>
        <w:t xml:space="preserve">, </w:t>
      </w:r>
      <w:r>
        <w:rPr>
          <w:rtl w:val="true"/>
        </w:rPr>
        <w:t>יצר המשיב קשר עם הסוכן בנוגע לרובה זה</w:t>
      </w:r>
      <w:r>
        <w:rPr>
          <w:rtl w:val="true"/>
        </w:rPr>
        <w:t xml:space="preserve">. </w:t>
      </w:r>
      <w:r>
        <w:rPr>
          <w:rtl w:val="true"/>
        </w:rPr>
        <w:t>לאחר משא ומתן בנוגע למחיר</w:t>
      </w:r>
      <w:r>
        <w:rPr>
          <w:rtl w:val="true"/>
        </w:rPr>
        <w:t xml:space="preserve">, </w:t>
      </w:r>
      <w:r>
        <w:rPr>
          <w:rtl w:val="true"/>
        </w:rPr>
        <w:t>קבעו השניים לשוחח לאחר מספר ימים</w:t>
      </w:r>
      <w:r>
        <w:rPr>
          <w:rtl w:val="true"/>
        </w:rPr>
        <w:t xml:space="preserve">. </w:t>
      </w:r>
      <w:r>
        <w:rPr>
          <w:rtl w:val="true"/>
        </w:rPr>
        <w:t>יומיים לאחר מכן</w:t>
      </w:r>
      <w:r>
        <w:rPr>
          <w:rtl w:val="true"/>
        </w:rPr>
        <w:t xml:space="preserve">, </w:t>
      </w:r>
      <w:r>
        <w:rPr>
          <w:rtl w:val="true"/>
        </w:rPr>
        <w:t>קבעו השניים להפגש ולהשלים את רכישת הרובה מעג</w:t>
      </w:r>
      <w:r>
        <w:rPr>
          <w:rtl w:val="true"/>
        </w:rPr>
        <w:t>'</w:t>
      </w:r>
      <w:r>
        <w:rPr>
          <w:rtl w:val="true"/>
        </w:rPr>
        <w:t>אג</w:t>
      </w:r>
      <w:r>
        <w:rPr>
          <w:rtl w:val="true"/>
        </w:rPr>
        <w:t xml:space="preserve">'. </w:t>
      </w:r>
      <w:r>
        <w:rPr>
          <w:rtl w:val="true"/>
        </w:rPr>
        <w:t>בהמשך אותו היום הסיע המשיב את הסוכן למקום המפגש עם עג</w:t>
      </w:r>
      <w:r>
        <w:rPr>
          <w:rtl w:val="true"/>
        </w:rPr>
        <w:t>'</w:t>
      </w:r>
      <w:r>
        <w:rPr>
          <w:rtl w:val="true"/>
        </w:rPr>
        <w:t>אג</w:t>
      </w:r>
      <w:r>
        <w:rPr>
          <w:rtl w:val="true"/>
        </w:rPr>
        <w:t xml:space="preserve">'. </w:t>
      </w:r>
      <w:r>
        <w:rPr>
          <w:rtl w:val="true"/>
        </w:rPr>
        <w:t>המשיב והסוכן עלו לרכבו של עג</w:t>
      </w:r>
      <w:r>
        <w:rPr>
          <w:rtl w:val="true"/>
        </w:rPr>
        <w:t>'</w:t>
      </w:r>
      <w:r>
        <w:rPr>
          <w:rtl w:val="true"/>
        </w:rPr>
        <w:t>אג</w:t>
      </w:r>
      <w:r>
        <w:rPr>
          <w:rtl w:val="true"/>
        </w:rPr>
        <w:t xml:space="preserve">' </w:t>
      </w:r>
      <w:r>
        <w:rPr>
          <w:rtl w:val="true"/>
        </w:rPr>
        <w:t>והשלושה נסעו למקום מבודד</w:t>
      </w:r>
      <w:r>
        <w:rPr>
          <w:rtl w:val="true"/>
        </w:rPr>
        <w:t xml:space="preserve">. </w:t>
      </w:r>
      <w:r>
        <w:rPr>
          <w:rtl w:val="true"/>
        </w:rPr>
        <w:t>לאחר מספר דקות</w:t>
      </w:r>
      <w:r>
        <w:rPr>
          <w:rtl w:val="true"/>
        </w:rPr>
        <w:t xml:space="preserve">, </w:t>
      </w:r>
      <w:r>
        <w:rPr>
          <w:rtl w:val="true"/>
        </w:rPr>
        <w:t>יצאו השלושה מהרכב</w:t>
      </w:r>
      <w:r>
        <w:rPr>
          <w:rtl w:val="true"/>
        </w:rPr>
        <w:t xml:space="preserve">, </w:t>
      </w:r>
      <w:r>
        <w:rPr>
          <w:rtl w:val="true"/>
        </w:rPr>
        <w:t>ועג</w:t>
      </w:r>
      <w:r>
        <w:rPr>
          <w:rtl w:val="true"/>
        </w:rPr>
        <w:t>'</w:t>
      </w:r>
      <w:r>
        <w:rPr>
          <w:rtl w:val="true"/>
        </w:rPr>
        <w:t>אג</w:t>
      </w:r>
      <w:r>
        <w:rPr>
          <w:rtl w:val="true"/>
        </w:rPr>
        <w:t xml:space="preserve">' </w:t>
      </w:r>
      <w:r>
        <w:rPr>
          <w:rtl w:val="true"/>
        </w:rPr>
        <w:t xml:space="preserve">הוציא מתא המטען רובה </w:t>
      </w:r>
      <w:r>
        <w:rPr>
          <w:rFonts w:cs="Century" w:ascii="Century" w:hAnsi="Century"/>
          <w:sz w:val="22"/>
          <w:szCs w:val="22"/>
        </w:rPr>
        <w:t>M4</w:t>
      </w:r>
      <w:r>
        <w:rPr>
          <w:rtl w:val="true"/>
        </w:rPr>
        <w:t xml:space="preserve"> </w:t>
      </w:r>
      <w:r>
        <w:rPr>
          <w:rtl w:val="true"/>
        </w:rPr>
        <w:t>שבכוחו להמית אדם</w:t>
      </w:r>
      <w:r>
        <w:rPr>
          <w:rtl w:val="true"/>
        </w:rPr>
        <w:t xml:space="preserve">, </w:t>
      </w:r>
      <w:r>
        <w:rPr>
          <w:rtl w:val="true"/>
        </w:rPr>
        <w:t>מחסנית תואמת ושקית ובה מספר רב של כדורים</w:t>
      </w:r>
      <w:r>
        <w:rPr>
          <w:rtl w:val="true"/>
        </w:rPr>
        <w:t xml:space="preserve">. </w:t>
      </w:r>
      <w:r>
        <w:rPr>
          <w:rtl w:val="true"/>
        </w:rPr>
        <w:t>לאחר משא ומתן</w:t>
      </w:r>
      <w:r>
        <w:rPr>
          <w:rtl w:val="true"/>
        </w:rPr>
        <w:t xml:space="preserve">, </w:t>
      </w:r>
      <w:r>
        <w:rPr>
          <w:rtl w:val="true"/>
        </w:rPr>
        <w:t>סיכמו עג</w:t>
      </w:r>
      <w:r>
        <w:rPr>
          <w:rtl w:val="true"/>
        </w:rPr>
        <w:t>'</w:t>
      </w:r>
      <w:r>
        <w:rPr>
          <w:rtl w:val="true"/>
        </w:rPr>
        <w:t>אג</w:t>
      </w:r>
      <w:r>
        <w:rPr>
          <w:rtl w:val="true"/>
        </w:rPr>
        <w:t xml:space="preserve">' </w:t>
      </w:r>
      <w:r>
        <w:rPr>
          <w:rtl w:val="true"/>
        </w:rPr>
        <w:t xml:space="preserve">והסוכן על מחיר של </w:t>
      </w:r>
      <w:r>
        <w:rPr/>
        <w:t>68,000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עבור הרובה</w:t>
      </w:r>
      <w:r>
        <w:rPr>
          <w:rtl w:val="true"/>
        </w:rPr>
        <w:t xml:space="preserve">, </w:t>
      </w:r>
      <w:r>
        <w:rPr>
          <w:rtl w:val="true"/>
        </w:rPr>
        <w:t>והמשיב הכניס את הרובה לרכבו ונסע מהמקום</w:t>
      </w:r>
      <w:r>
        <w:rPr>
          <w:rtl w:val="true"/>
        </w:rPr>
        <w:t xml:space="preserve">. </w:t>
      </w:r>
      <w:r>
        <w:rPr>
          <w:rtl w:val="true"/>
        </w:rPr>
        <w:t>הסוכן נכנס לרכבו של עג</w:t>
      </w:r>
      <w:r>
        <w:rPr>
          <w:rtl w:val="true"/>
        </w:rPr>
        <w:t>'</w:t>
      </w:r>
      <w:r>
        <w:rPr>
          <w:rtl w:val="true"/>
        </w:rPr>
        <w:t>אג</w:t>
      </w:r>
      <w:r>
        <w:rPr>
          <w:rtl w:val="true"/>
        </w:rPr>
        <w:t xml:space="preserve">' </w:t>
      </w:r>
      <w:r>
        <w:rPr>
          <w:rtl w:val="true"/>
        </w:rPr>
        <w:t xml:space="preserve">והעביר לידיו </w:t>
      </w:r>
      <w:r>
        <w:rPr/>
        <w:t>68,000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לאחר מכן נפרד הסוכן מעג</w:t>
      </w:r>
      <w:r>
        <w:rPr>
          <w:rtl w:val="true"/>
        </w:rPr>
        <w:t>'</w:t>
      </w:r>
      <w:r>
        <w:rPr>
          <w:rtl w:val="true"/>
        </w:rPr>
        <w:t>אג</w:t>
      </w:r>
      <w:r>
        <w:rPr>
          <w:rtl w:val="true"/>
        </w:rPr>
        <w:t xml:space="preserve">' </w:t>
      </w:r>
      <w:r>
        <w:rPr>
          <w:rtl w:val="true"/>
        </w:rPr>
        <w:t>ועלה לרכבו של המשיב</w:t>
      </w:r>
      <w:r>
        <w:rPr>
          <w:rtl w:val="true"/>
        </w:rPr>
        <w:t xml:space="preserve">. </w:t>
      </w:r>
      <w:r>
        <w:rPr>
          <w:rtl w:val="true"/>
        </w:rPr>
        <w:t xml:space="preserve">הסוכן מסר למשיב </w:t>
      </w:r>
      <w:r>
        <w:rPr/>
        <w:t>1,500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בהתאם לסיכום בין השניים</w:t>
      </w:r>
      <w:r>
        <w:rPr>
          <w:rtl w:val="true"/>
        </w:rPr>
        <w:t xml:space="preserve">. </w:t>
      </w:r>
      <w:r>
        <w:rPr>
          <w:rtl w:val="true"/>
        </w:rPr>
        <w:t>במעשיו המתוארים סחר המשיב בנשק בלא רשות על פי 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האישום השלישי</w:t>
      </w:r>
      <w:r>
        <w:rPr>
          <w:rtl w:val="true"/>
        </w:rPr>
        <w:t xml:space="preserve">, </w:t>
      </w:r>
      <w:r>
        <w:rPr>
          <w:rtl w:val="true"/>
        </w:rPr>
        <w:t>ולאחר אירועי האישום השני</w:t>
      </w:r>
      <w:r>
        <w:rPr>
          <w:rtl w:val="true"/>
        </w:rPr>
        <w:t xml:space="preserve">, </w:t>
      </w:r>
      <w:r>
        <w:rPr>
          <w:rtl w:val="true"/>
        </w:rPr>
        <w:t>יצר המשיב קשר עם הסוכן בנוגע לאקדח אחר עליו שוחחו</w:t>
      </w:r>
      <w:r>
        <w:rPr>
          <w:rtl w:val="true"/>
        </w:rPr>
        <w:t xml:space="preserve">, </w:t>
      </w:r>
      <w:r>
        <w:rPr>
          <w:rtl w:val="true"/>
        </w:rPr>
        <w:t xml:space="preserve">ומסר לו כי מחירו הוא </w:t>
      </w:r>
      <w:r>
        <w:rPr/>
        <w:t>27,000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לאחר יומיים</w:t>
      </w:r>
      <w:r>
        <w:rPr>
          <w:rtl w:val="true"/>
        </w:rPr>
        <w:t xml:space="preserve">, </w:t>
      </w:r>
      <w:r>
        <w:rPr>
          <w:rtl w:val="true"/>
        </w:rPr>
        <w:t>פנה המשיב לסוכן ושאל אם הוא מעוניין ברכישת האקדח</w:t>
      </w:r>
      <w:r>
        <w:rPr>
          <w:rtl w:val="true"/>
        </w:rPr>
        <w:t xml:space="preserve">. </w:t>
      </w:r>
      <w:r>
        <w:rPr>
          <w:rtl w:val="true"/>
        </w:rPr>
        <w:t xml:space="preserve">המשיב מסר כי ירכוש את האקדח מבחור בשם </w:t>
      </w:r>
      <w:r>
        <w:rPr>
          <w:rtl w:val="true"/>
        </w:rPr>
        <w:t>"</w:t>
      </w:r>
      <w:r>
        <w:rPr>
          <w:rtl w:val="true"/>
        </w:rPr>
        <w:t>פהאד</w:t>
      </w:r>
      <w:r>
        <w:rPr>
          <w:rtl w:val="true"/>
        </w:rPr>
        <w:t xml:space="preserve">" </w:t>
      </w:r>
      <w:r>
        <w:rPr>
          <w:rtl w:val="true"/>
        </w:rPr>
        <w:t>לצורך מכירתו</w:t>
      </w:r>
      <w:r>
        <w:rPr>
          <w:rtl w:val="true"/>
        </w:rPr>
        <w:t xml:space="preserve">. </w:t>
      </w:r>
      <w:r>
        <w:rPr>
          <w:rtl w:val="true"/>
        </w:rPr>
        <w:t>לאחר שיחות תיאום</w:t>
      </w:r>
      <w:r>
        <w:rPr>
          <w:rtl w:val="true"/>
        </w:rPr>
        <w:t xml:space="preserve">, </w:t>
      </w:r>
      <w:r>
        <w:rPr>
          <w:rtl w:val="true"/>
        </w:rPr>
        <w:t>הסיע המשיב את הסוכן ברכבו לכיוון מקום מפגש</w:t>
      </w:r>
      <w:r>
        <w:rPr>
          <w:rtl w:val="true"/>
        </w:rPr>
        <w:t xml:space="preserve">. </w:t>
      </w:r>
      <w:r>
        <w:rPr>
          <w:rtl w:val="true"/>
        </w:rPr>
        <w:t>בהגיעם למקום</w:t>
      </w:r>
      <w:r>
        <w:rPr>
          <w:rtl w:val="true"/>
        </w:rPr>
        <w:t xml:space="preserve">, </w:t>
      </w:r>
      <w:r>
        <w:rPr>
          <w:rtl w:val="true"/>
        </w:rPr>
        <w:t>פגשו בעג</w:t>
      </w:r>
      <w:r>
        <w:rPr>
          <w:rtl w:val="true"/>
        </w:rPr>
        <w:t>'</w:t>
      </w:r>
      <w:r>
        <w:rPr>
          <w:rtl w:val="true"/>
        </w:rPr>
        <w:t>אג</w:t>
      </w:r>
      <w:r>
        <w:rPr>
          <w:rtl w:val="true"/>
        </w:rPr>
        <w:t xml:space="preserve">' </w:t>
      </w:r>
      <w:r>
        <w:rPr>
          <w:rtl w:val="true"/>
        </w:rPr>
        <w:t>ונסעו אחריו במשך מספר דקות</w:t>
      </w:r>
      <w:r>
        <w:rPr>
          <w:rtl w:val="true"/>
        </w:rPr>
        <w:t xml:space="preserve">. </w:t>
      </w:r>
      <w:r>
        <w:rPr>
          <w:rtl w:val="true"/>
        </w:rPr>
        <w:t>עג</w:t>
      </w:r>
      <w:r>
        <w:rPr>
          <w:rtl w:val="true"/>
        </w:rPr>
        <w:t>'</w:t>
      </w:r>
      <w:r>
        <w:rPr>
          <w:rtl w:val="true"/>
        </w:rPr>
        <w:t>אג</w:t>
      </w:r>
      <w:r>
        <w:rPr>
          <w:rtl w:val="true"/>
        </w:rPr>
        <w:t xml:space="preserve">' </w:t>
      </w:r>
      <w:r>
        <w:rPr>
          <w:rtl w:val="true"/>
        </w:rPr>
        <w:t>העביר דרך חלון רכבו בנוכחות המשיב אקדח חצי אוטומטי שבכוחו להמית אדם ומחסנית תואמת</w:t>
      </w:r>
      <w:r>
        <w:rPr>
          <w:rtl w:val="true"/>
        </w:rPr>
        <w:t xml:space="preserve">. </w:t>
      </w:r>
      <w:r>
        <w:rPr>
          <w:rtl w:val="true"/>
        </w:rPr>
        <w:t>עג</w:t>
      </w:r>
      <w:r>
        <w:rPr>
          <w:rtl w:val="true"/>
        </w:rPr>
        <w:t>'</w:t>
      </w:r>
      <w:r>
        <w:rPr>
          <w:rtl w:val="true"/>
        </w:rPr>
        <w:t>אג</w:t>
      </w:r>
      <w:r>
        <w:rPr>
          <w:rtl w:val="true"/>
        </w:rPr>
        <w:t xml:space="preserve">' </w:t>
      </w:r>
      <w:r>
        <w:rPr>
          <w:rtl w:val="true"/>
        </w:rPr>
        <w:t>ביקש מהסוכן ומהמשיב להמשיך בנסיעה לאחר שהבחין ברכב חשוד</w:t>
      </w:r>
      <w:r>
        <w:rPr>
          <w:rtl w:val="true"/>
        </w:rPr>
        <w:t xml:space="preserve">. </w:t>
      </w:r>
      <w:r>
        <w:rPr>
          <w:rtl w:val="true"/>
        </w:rPr>
        <w:t>לאחר משא ומתן טלפוני שנעשה במהלך הנסיעה בנוגע למחיר האקדח</w:t>
      </w:r>
      <w:r>
        <w:rPr>
          <w:rtl w:val="true"/>
        </w:rPr>
        <w:t xml:space="preserve">, </w:t>
      </w:r>
      <w:r>
        <w:rPr>
          <w:rtl w:val="true"/>
        </w:rPr>
        <w:t>עצרו המשיב ועג</w:t>
      </w:r>
      <w:r>
        <w:rPr>
          <w:rtl w:val="true"/>
        </w:rPr>
        <w:t>'</w:t>
      </w:r>
      <w:r>
        <w:rPr>
          <w:rtl w:val="true"/>
        </w:rPr>
        <w:t>אג</w:t>
      </w:r>
      <w:r>
        <w:rPr>
          <w:rtl w:val="true"/>
        </w:rPr>
        <w:t xml:space="preserve">' </w:t>
      </w:r>
      <w:r>
        <w:rPr>
          <w:rtl w:val="true"/>
        </w:rPr>
        <w:t>את רכביהם ועג</w:t>
      </w:r>
      <w:r>
        <w:rPr>
          <w:rtl w:val="true"/>
        </w:rPr>
        <w:t>'</w:t>
      </w:r>
      <w:r>
        <w:rPr>
          <w:rtl w:val="true"/>
        </w:rPr>
        <w:t>אג</w:t>
      </w:r>
      <w:r>
        <w:rPr>
          <w:rtl w:val="true"/>
        </w:rPr>
        <w:t xml:space="preserve">' </w:t>
      </w:r>
      <w:r>
        <w:rPr>
          <w:rtl w:val="true"/>
        </w:rPr>
        <w:t xml:space="preserve">העביר לסוכן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המשיב המשיך בנסיעה שבמהלכה ירה הסוכן שלושה כדורים דרך חלון הרכב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נכנס עג</w:t>
      </w:r>
      <w:r>
        <w:rPr>
          <w:rtl w:val="true"/>
        </w:rPr>
        <w:t>'</w:t>
      </w:r>
      <w:r>
        <w:rPr>
          <w:rtl w:val="true"/>
        </w:rPr>
        <w:t>אג</w:t>
      </w:r>
      <w:r>
        <w:rPr>
          <w:rtl w:val="true"/>
        </w:rPr>
        <w:t xml:space="preserve">' </w:t>
      </w:r>
      <w:r>
        <w:rPr>
          <w:rtl w:val="true"/>
        </w:rPr>
        <w:t xml:space="preserve">לרכבו של המשיב והסוכן מסר לו </w:t>
      </w:r>
      <w:r>
        <w:rPr/>
        <w:t>25,500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והעביר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נוספים למשיב</w:t>
      </w:r>
      <w:r>
        <w:rPr>
          <w:rtl w:val="true"/>
        </w:rPr>
        <w:t xml:space="preserve">. </w:t>
      </w:r>
      <w:r>
        <w:rPr>
          <w:rtl w:val="true"/>
        </w:rPr>
        <w:t>במעשיו המתוארים סחר המשיב בנשק בלא רשות על פי דין וכן נשא נשק והוביל אותו בלא רשות על פי 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בגזר דין מיום </w:t>
      </w:r>
      <w:r>
        <w:rPr/>
        <w:t>24.12.2018</w:t>
      </w:r>
      <w:r>
        <w:rPr>
          <w:rtl w:val="true"/>
        </w:rPr>
        <w:t xml:space="preserve"> </w:t>
      </w:r>
      <w:r>
        <w:rPr>
          <w:rtl w:val="true"/>
        </w:rPr>
        <w:t>קבע בית המשפט כי מתחם העונש ההולם לעבירות בהן הורשע המשיב נע בין שנתיים לארבע שנות מאסר בפועל</w:t>
      </w:r>
      <w:r>
        <w:rPr>
          <w:rtl w:val="true"/>
        </w:rPr>
        <w:t xml:space="preserve">. </w:t>
      </w:r>
      <w:r>
        <w:rPr>
          <w:rtl w:val="true"/>
        </w:rPr>
        <w:t>בית המשפט עמד באריכות על הערך החברתי שנפגע ועל חומרת העבירות שבהן הורשע המשיב</w:t>
      </w:r>
      <w:r>
        <w:rPr>
          <w:rtl w:val="true"/>
        </w:rPr>
        <w:t xml:space="preserve">. </w:t>
      </w:r>
      <w:r>
        <w:rPr>
          <w:rtl w:val="true"/>
        </w:rPr>
        <w:t>צוין כי הערכים הנפגעים בעבירות נשק הם שלום הציבור ובטחונו</w:t>
      </w:r>
      <w:r>
        <w:rPr>
          <w:rtl w:val="true"/>
        </w:rPr>
        <w:t xml:space="preserve">, </w:t>
      </w:r>
      <w:r>
        <w:rPr>
          <w:rtl w:val="true"/>
        </w:rPr>
        <w:t>וכן שלמות גופו ורכושו של אדם</w:t>
      </w:r>
      <w:r>
        <w:rPr>
          <w:rtl w:val="true"/>
        </w:rPr>
        <w:t xml:space="preserve">. </w:t>
      </w:r>
      <w:r>
        <w:rPr>
          <w:rtl w:val="true"/>
        </w:rPr>
        <w:t>בית המשפט עמד על כך שבעבירות נשק יש להטיל עונש מאסר בפועל גם אם מדובר בעבירתו הראשונה של מבצע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וכי חומרת עבירות מסוג זה משתקפת גם בעונש המאסר שנקבע לצד עבירת הסחר בנשק העומד על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חומרת עבירות הנשק מתבטאת במדיניות הענישה הנוהגת כאשר נשקפת מגמת החמרה בענישה בעבירות מסוג זה</w:t>
      </w:r>
      <w:r>
        <w:rPr>
          <w:rtl w:val="true"/>
        </w:rPr>
        <w:t xml:space="preserve">. </w:t>
      </w:r>
      <w:r>
        <w:rPr>
          <w:rtl w:val="true"/>
        </w:rPr>
        <w:t>אשר לנסיבות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בית המשפט עמד על חלקו הפעיל של המשיב בכל אחד משלבי העסקאות כאשר הוא תיאם את הפגישות</w:t>
      </w:r>
      <w:r>
        <w:rPr>
          <w:rtl w:val="true"/>
        </w:rPr>
        <w:t xml:space="preserve">, </w:t>
      </w:r>
      <w:r>
        <w:rPr>
          <w:rtl w:val="true"/>
        </w:rPr>
        <w:t>שלח לסוכן תמונות של הנשקים שנסחרו</w:t>
      </w:r>
      <w:r>
        <w:rPr>
          <w:rtl w:val="true"/>
        </w:rPr>
        <w:t xml:space="preserve">, </w:t>
      </w:r>
      <w:r>
        <w:rPr>
          <w:rtl w:val="true"/>
        </w:rPr>
        <w:t>וכן היה מעורב במשא ומתן במכירה</w:t>
      </w:r>
      <w:r>
        <w:rPr>
          <w:rtl w:val="true"/>
        </w:rPr>
        <w:t xml:space="preserve">. </w:t>
      </w:r>
      <w:r>
        <w:rPr>
          <w:rtl w:val="true"/>
        </w:rPr>
        <w:t>העבירות היו מתוכננות והתפרסו על פני זמן ממושך ומספר שיחות</w:t>
      </w:r>
      <w:r>
        <w:rPr>
          <w:rtl w:val="true"/>
        </w:rPr>
        <w:t xml:space="preserve">, </w:t>
      </w:r>
      <w:r>
        <w:rPr>
          <w:rtl w:val="true"/>
        </w:rPr>
        <w:t>פגישות ותיאומים שבמהלכם יכול היה המשיב לחזור בו ולהימנע מביצוע העבירות</w:t>
      </w:r>
      <w:r>
        <w:rPr>
          <w:rtl w:val="true"/>
        </w:rPr>
        <w:t xml:space="preserve">. </w:t>
      </w:r>
      <w:r>
        <w:rPr>
          <w:rtl w:val="true"/>
        </w:rPr>
        <w:t>בית המשפט עמד אף על כך שהירי שביצע הסוכן בנוכחות המשיב פועל כנסיבה מחמירה</w:t>
      </w:r>
      <w:r>
        <w:rPr>
          <w:rtl w:val="true"/>
        </w:rPr>
        <w:t xml:space="preserve">, </w:t>
      </w:r>
      <w:r>
        <w:rPr>
          <w:rtl w:val="true"/>
        </w:rPr>
        <w:t>כמו גם על מודעותו של המשיב לחומרת מעשיו הנשקפת מהפגישות במקומות המבודדים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בקביעת העונש בתוך המתחם</w:t>
      </w:r>
      <w:r>
        <w:rPr>
          <w:rtl w:val="true"/>
        </w:rPr>
        <w:t xml:space="preserve">, </w:t>
      </w:r>
      <w:r>
        <w:rPr>
          <w:rtl w:val="true"/>
        </w:rPr>
        <w:t>שקל בית המשפט את גילו הצעיר של המשיב</w:t>
      </w:r>
      <w:r>
        <w:rPr>
          <w:rtl w:val="true"/>
        </w:rPr>
        <w:t xml:space="preserve">; </w:t>
      </w:r>
      <w:r>
        <w:rPr>
          <w:rtl w:val="true"/>
        </w:rPr>
        <w:t>היעדר עבר פלילי</w:t>
      </w:r>
      <w:r>
        <w:rPr>
          <w:rtl w:val="true"/>
        </w:rPr>
        <w:t xml:space="preserve">; </w:t>
      </w:r>
      <w:r>
        <w:rPr>
          <w:rtl w:val="true"/>
        </w:rPr>
        <w:t>והודאתו בביצוע העבירה והחיסכון בזמן השיפוטי עקב כך</w:t>
      </w:r>
      <w:r>
        <w:rPr>
          <w:rtl w:val="true"/>
        </w:rPr>
        <w:t xml:space="preserve">. </w:t>
      </w:r>
      <w:r>
        <w:rPr>
          <w:rtl w:val="true"/>
        </w:rPr>
        <w:t>בית המשפט ציין כי אמנם מצב משפחתו של המשיב קשה</w:t>
      </w:r>
      <w:r>
        <w:rPr>
          <w:rtl w:val="true"/>
        </w:rPr>
        <w:t xml:space="preserve">, </w:t>
      </w:r>
      <w:r>
        <w:rPr>
          <w:rtl w:val="true"/>
        </w:rPr>
        <w:t>אך אין בכך כדי להקל מחומרת העבירות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גזר בית המשפט על המשיב את העונשים המפורטים ברישה של פסק דין זה</w:t>
      </w:r>
      <w:r>
        <w:rPr>
          <w:rtl w:val="true"/>
        </w:rPr>
        <w:t xml:space="preserve">. </w:t>
      </w:r>
      <w:r>
        <w:rPr>
          <w:rtl w:val="true"/>
        </w:rPr>
        <w:t>בהקשר זה יצוין</w:t>
      </w:r>
      <w:r>
        <w:rPr>
          <w:rtl w:val="true"/>
        </w:rPr>
        <w:t xml:space="preserve">, </w:t>
      </w:r>
      <w:r>
        <w:rPr>
          <w:rtl w:val="true"/>
        </w:rPr>
        <w:t>כי טרם נגזר דינו של עג</w:t>
      </w:r>
      <w:r>
        <w:rPr>
          <w:rtl w:val="true"/>
        </w:rPr>
        <w:t>'</w:t>
      </w:r>
      <w:r>
        <w:rPr>
          <w:rtl w:val="true"/>
        </w:rPr>
        <w:t>אג</w:t>
      </w:r>
      <w:r>
        <w:rPr>
          <w:rtl w:val="true"/>
        </w:rPr>
        <w:t xml:space="preserve">' </w:t>
      </w:r>
      <w:r>
        <w:rPr>
          <w:rtl w:val="true"/>
        </w:rPr>
        <w:t xml:space="preserve">במסגרת הליך אחר שנסב </w:t>
      </w:r>
      <w:r>
        <w:rPr>
          <w:rtl w:val="true"/>
        </w:rPr>
        <w:t>–</w:t>
      </w:r>
      <w:r>
        <w:rPr>
          <w:rtl w:val="true"/>
        </w:rPr>
        <w:t xml:space="preserve"> בין השאר </w:t>
      </w:r>
      <w:r>
        <w:rPr>
          <w:rtl w:val="true"/>
        </w:rPr>
        <w:t>–</w:t>
      </w:r>
      <w:r>
        <w:rPr>
          <w:rtl w:val="true"/>
        </w:rPr>
        <w:t xml:space="preserve"> גם על האירועים שפורטו לעיל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המדינה מערערת לפנינו על קולת העונש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מתחם הענישה שנקבע אינו תואם את מדיניות הענישה הנהוגה במקרים מעין אלו ואינו מבטא כראוי את חומרת עבירות הנשק בכלל</w:t>
      </w:r>
      <w:r>
        <w:rPr>
          <w:rtl w:val="true"/>
        </w:rPr>
        <w:t xml:space="preserve">, </w:t>
      </w:r>
      <w:r>
        <w:rPr>
          <w:rtl w:val="true"/>
        </w:rPr>
        <w:t>ואת העבירות שהתבצעו בענייננו בפרט</w:t>
      </w:r>
      <w:r>
        <w:rPr>
          <w:rtl w:val="true"/>
        </w:rPr>
        <w:t xml:space="preserve">. </w:t>
      </w:r>
      <w:r>
        <w:rPr>
          <w:rtl w:val="true"/>
        </w:rPr>
        <w:t>המדינה סבורה כי הגם שגזר דינו של בית המשפט המחוזי ביטא בנימוקיו את חומרת העבירות מסוג זה ואת חומרת המעשים בענייננו</w:t>
      </w:r>
      <w:r>
        <w:rPr>
          <w:rtl w:val="true"/>
        </w:rPr>
        <w:t xml:space="preserve">, </w:t>
      </w:r>
      <w:r>
        <w:rPr>
          <w:rtl w:val="true"/>
        </w:rPr>
        <w:t>הדברים לא באו לביטוי במתחם הענישה שנקבע</w:t>
      </w:r>
      <w:r>
        <w:rPr>
          <w:rtl w:val="true"/>
        </w:rPr>
        <w:t xml:space="preserve">. </w:t>
      </w:r>
      <w:r>
        <w:rPr>
          <w:rtl w:val="true"/>
        </w:rPr>
        <w:t>המדינה טוענת כי החמרה בעבירות הנשק היא מדיניות הכרחית לשם מיגור התרחבות עבירות הנשק המובילות למעשי אלימות חמורים</w:t>
      </w:r>
      <w:r>
        <w:rPr>
          <w:rtl w:val="true"/>
        </w:rPr>
        <w:t xml:space="preserve">. </w:t>
      </w:r>
      <w:r>
        <w:rPr>
          <w:rtl w:val="true"/>
        </w:rPr>
        <w:t>המדינה מדגישה את נסיבות העניין בענייננו בהן המשיב הורשע בשלוש עבירות של סחר בנשק והיה בעל תפקיד פעיל ומרכזי בהעברת הנשק</w:t>
      </w:r>
      <w:r>
        <w:rPr>
          <w:rtl w:val="true"/>
        </w:rPr>
        <w:t xml:space="preserve">, </w:t>
      </w:r>
      <w:r>
        <w:rPr>
          <w:rtl w:val="true"/>
        </w:rPr>
        <w:t>שכלל גם רובה סער</w:t>
      </w:r>
      <w:r>
        <w:rPr>
          <w:rtl w:val="true"/>
        </w:rPr>
        <w:t xml:space="preserve">. </w:t>
      </w:r>
      <w:r>
        <w:rPr>
          <w:rtl w:val="true"/>
        </w:rPr>
        <w:t>המדינה סבורה כי נסיבות אלו מובילות למתחם ענישה גבוה יותר</w:t>
      </w:r>
      <w:r>
        <w:rPr>
          <w:rtl w:val="true"/>
        </w:rPr>
        <w:t xml:space="preserve">, </w:t>
      </w:r>
      <w:r>
        <w:rPr>
          <w:rtl w:val="true"/>
        </w:rPr>
        <w:t>נוכח ריבוי העבירות ומסוכנות הנשק שנסחר</w:t>
      </w:r>
      <w:r>
        <w:rPr>
          <w:rtl w:val="true"/>
        </w:rPr>
        <w:t xml:space="preserve">. </w:t>
      </w: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>המדינה סבורה כי אין לתת משקל גבוה לכך שהתמורה שקיבל המשיב הייתה נמוכה</w:t>
      </w:r>
      <w:r>
        <w:rPr>
          <w:rtl w:val="true"/>
        </w:rPr>
        <w:t xml:space="preserve">. </w:t>
      </w:r>
      <w:r>
        <w:rPr>
          <w:rtl w:val="true"/>
        </w:rPr>
        <w:t>לעניין קביעת העונש בתוך המתחם</w:t>
      </w:r>
      <w:r>
        <w:rPr>
          <w:rtl w:val="true"/>
        </w:rPr>
        <w:t xml:space="preserve">, </w:t>
      </w:r>
      <w:r>
        <w:rPr>
          <w:rtl w:val="true"/>
        </w:rPr>
        <w:t>המדינה טוענת כי ניתן משקל יתר לנסיבות המקלות</w:t>
      </w:r>
      <w:r>
        <w:rPr>
          <w:rtl w:val="true"/>
        </w:rPr>
        <w:t xml:space="preserve">, </w:t>
      </w:r>
      <w:r>
        <w:rPr>
          <w:rtl w:val="true"/>
        </w:rPr>
        <w:t>וכי בעבירות מסוג זה יש לתת מעמד בכורה לשיקולי הרתעה ולאינטרס הציבורי על פני התחשבות בנסיבות האישיות של עובר העבירה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 סומך ידיו על גזר הדין בבית המשפט המחוזי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אין מקרה אחד של סחר בנשק דומה למשנהו</w:t>
      </w:r>
      <w:r>
        <w:rPr>
          <w:rtl w:val="true"/>
        </w:rPr>
        <w:t xml:space="preserve">, </w:t>
      </w:r>
      <w:r>
        <w:rPr>
          <w:rtl w:val="true"/>
        </w:rPr>
        <w:t>ויש להבחין בין מקרים שונים בשים לב למאפיינים הספציפיים של כל מקרה</w:t>
      </w:r>
      <w:r>
        <w:rPr>
          <w:rtl w:val="true"/>
        </w:rPr>
        <w:t xml:space="preserve">. </w:t>
      </w:r>
      <w:r>
        <w:rPr>
          <w:rtl w:val="true"/>
        </w:rPr>
        <w:t>בענייננו המשיב לא היה המקור לנשק ולכן לטענתו</w:t>
      </w:r>
      <w:r>
        <w:rPr>
          <w:rtl w:val="true"/>
        </w:rPr>
        <w:t xml:space="preserve">, </w:t>
      </w:r>
      <w:r>
        <w:rPr>
          <w:rtl w:val="true"/>
        </w:rPr>
        <w:t>אין להסיק ממתחמי ענישה במקרים דומים בהם עובר העבירה גם סיפק את הנשק</w:t>
      </w:r>
      <w:r>
        <w:rPr>
          <w:rtl w:val="true"/>
        </w:rPr>
        <w:t xml:space="preserve">. </w:t>
      </w:r>
      <w:r>
        <w:rPr>
          <w:rtl w:val="true"/>
        </w:rPr>
        <w:t>עוד מדגיש המשיב את נסיבותיו האישיות ובפרט את התלות של משפחתו בו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>לאחר ששקלתי את טענות הצדדים</w:t>
      </w:r>
      <w:r>
        <w:rPr>
          <w:rtl w:val="true"/>
        </w:rPr>
        <w:t xml:space="preserve">, </w:t>
      </w:r>
      <w:r>
        <w:rPr>
          <w:rtl w:val="true"/>
        </w:rPr>
        <w:t>הגעתי למסקנה כי דין הערעור להתקבל כך שעונש המאסר בפועל שהוטל על המשיב בגין העבירות נושא ההליך דנן יוחמר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 הערעור לא נוטה להתערב בחומרת העונש שהטילה הערכאה הדיונית</w:t>
      </w:r>
      <w:r>
        <w:rPr>
          <w:rtl w:val="true"/>
        </w:rPr>
        <w:t xml:space="preserve">, </w:t>
      </w:r>
      <w:r>
        <w:rPr>
          <w:rtl w:val="true"/>
        </w:rPr>
        <w:t>אלא אם מתגלה חריגה בולטת ממדיניות הענישה</w:t>
      </w:r>
      <w:r>
        <w:rPr>
          <w:rtl w:val="true"/>
        </w:rPr>
        <w:t xml:space="preserve">. </w:t>
      </w:r>
      <w:r>
        <w:rPr>
          <w:rtl w:val="true"/>
        </w:rPr>
        <w:t xml:space="preserve">מצאתי כי המקרה שלפנינו מצדיק התערבות כאמור </w:t>
      </w:r>
      <w:r>
        <w:rPr>
          <w:rtl w:val="true"/>
        </w:rPr>
        <w:t>(</w:t>
      </w:r>
      <w:hyperlink r:id="rId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3336/18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סמארה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29.11.2018</w:t>
      </w:r>
      <w:r>
        <w:rPr>
          <w:rtl w:val="true"/>
        </w:rPr>
        <w:t xml:space="preserve">)). </w:t>
      </w:r>
      <w:r>
        <w:rPr>
          <w:rtl w:val="true"/>
        </w:rPr>
        <w:t>בית משפט זה עמד לא פעם על החומרה הרבה שבעבירות נשק ועל הפגיעה בערכים המוגנים של שלמות הגוף</w:t>
      </w:r>
      <w:r>
        <w:rPr>
          <w:rtl w:val="true"/>
        </w:rPr>
        <w:t xml:space="preserve">, </w:t>
      </w:r>
      <w:r>
        <w:rPr>
          <w:rtl w:val="true"/>
        </w:rPr>
        <w:t xml:space="preserve">חיי אדם ושלום ובטחון הציבור הנפגעים מעבירות אלו </w:t>
      </w:r>
      <w:r>
        <w:rPr>
          <w:rtl w:val="true"/>
        </w:rPr>
        <w:t>(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8045/17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בראנסי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16.8.2018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בראנסי</w:t>
      </w:r>
      <w:r>
        <w:rPr>
          <w:rtl w:val="true"/>
        </w:rPr>
        <w:t xml:space="preserve">);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2802/18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ואביס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26.7.2018</w:t>
      </w:r>
      <w:r>
        <w:rPr>
          <w:rtl w:val="true"/>
        </w:rPr>
        <w:t xml:space="preserve">);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פואקה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(</w:t>
      </w:r>
      <w:r>
        <w:rPr/>
        <w:t>6.12.2015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פואקה</w:t>
      </w:r>
      <w:r>
        <w:rPr>
          <w:rtl w:val="true"/>
        </w:rPr>
        <w:t xml:space="preserve">)). </w:t>
      </w:r>
      <w:r>
        <w:rPr>
          <w:rtl w:val="true"/>
        </w:rPr>
        <w:t xml:space="preserve">חומרת עבירות אלו גלומה בפונטציאל הנזק הנובע מהן נוכח החשש כי הנשק הנסחר יועבר למי שמתכוון לבצע פעולות עברייניות או פעולות טרור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בראנסי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;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4154/16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דהוד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19.1.2017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דהוד</w:t>
      </w:r>
      <w:r>
        <w:rPr>
          <w:rtl w:val="true"/>
        </w:rPr>
        <w:t xml:space="preserve">);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1397/16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חמאי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6.9.2016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חמאיל</w:t>
      </w:r>
      <w:r>
        <w:rPr>
          <w:rtl w:val="true"/>
        </w:rPr>
        <w:t xml:space="preserve">)). </w:t>
      </w:r>
      <w:r>
        <w:rPr>
          <w:rtl w:val="true"/>
        </w:rPr>
        <w:t>בית משפט זה נקט בשנים האחרונות במגמה מחמירה כלפי עבירות נשק</w:t>
      </w:r>
      <w:r>
        <w:rPr>
          <w:rtl w:val="true"/>
        </w:rPr>
        <w:t xml:space="preserve">, </w:t>
      </w:r>
      <w:r>
        <w:rPr>
          <w:rtl w:val="true"/>
        </w:rPr>
        <w:t xml:space="preserve">ועמד על כך בפסיקתו באופן תדיר </w:t>
      </w:r>
      <w:r>
        <w:rPr>
          <w:rtl w:val="true"/>
        </w:rPr>
        <w:t>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דהוד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; </w:t>
      </w:r>
      <w:hyperlink r:id="rId1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2422/14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21.12.2014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ארבל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וזמינותו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המדאיגה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במחוזותינו</w:t>
      </w:r>
      <w:r>
        <w:rPr>
          <w:rtl w:val="true"/>
        </w:rPr>
        <w:t xml:space="preserve">, </w:t>
      </w:r>
      <w:r>
        <w:rPr>
          <w:rtl w:val="true"/>
        </w:rPr>
        <w:t>התעורר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>, "</w:t>
      </w:r>
      <w:r>
        <w:rPr>
          <w:rtl w:val="true"/>
        </w:rPr>
        <w:t>התגלגלותם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ועוינים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בגורלם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הרסניות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בקטטה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. </w:t>
      </w:r>
      <w:r>
        <w:rPr>
          <w:rtl w:val="true"/>
        </w:rPr>
        <w:t>הסכנה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ולהחמיר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בהדרגה</w:t>
      </w:r>
      <w:r>
        <w:rPr>
          <w:rtl w:val="true"/>
        </w:rPr>
        <w:t>" (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חסן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ארבל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5.6.2013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מעיון בפסיקה הרלוונטית ניתן להבחין כי גישה זו של החמרה הדרגתית במדיניות הענישה ננקטה הלכה למעשה</w:t>
      </w:r>
      <w:r>
        <w:rPr>
          <w:rtl w:val="true"/>
        </w:rPr>
        <w:t xml:space="preserve">. </w:t>
      </w:r>
      <w:r>
        <w:rPr>
          <w:rtl w:val="true"/>
        </w:rPr>
        <w:t xml:space="preserve">כך למשל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דהוד</w:t>
      </w:r>
      <w:r>
        <w:rPr>
          <w:rtl w:val="true"/>
        </w:rPr>
        <w:t xml:space="preserve"> דחה בית המשפט את ערעורו של אדם שהורשע במסגרת שני אישומים בסחר בנשק</w:t>
      </w:r>
      <w:r>
        <w:rPr>
          <w:rtl w:val="true"/>
        </w:rPr>
        <w:t xml:space="preserve">, </w:t>
      </w:r>
      <w:r>
        <w:rPr>
          <w:rtl w:val="true"/>
        </w:rPr>
        <w:t>וכן בנשיאתו</w:t>
      </w:r>
      <w:r>
        <w:rPr>
          <w:rtl w:val="true"/>
        </w:rPr>
        <w:t xml:space="preserve">. </w:t>
      </w:r>
      <w:r>
        <w:rPr>
          <w:rtl w:val="true"/>
        </w:rPr>
        <w:t>באירוע המתואר באחד מהאישומים תפקד כמתווך ואף לקח חלק בביצוע העבירות הגם שלא נכח פיזית במקום</w:t>
      </w:r>
      <w:r>
        <w:rPr>
          <w:rtl w:val="true"/>
        </w:rPr>
        <w:t xml:space="preserve">. </w:t>
      </w:r>
      <w:r>
        <w:rPr>
          <w:rtl w:val="true"/>
        </w:rPr>
        <w:t>באישום השני לקח חלק מרכזי בהחזקה וסחר של רובה ציד מאולתר</w:t>
      </w:r>
      <w:r>
        <w:rPr>
          <w:rtl w:val="true"/>
        </w:rPr>
        <w:t xml:space="preserve">. </w:t>
      </w:r>
      <w:r>
        <w:rPr>
          <w:rtl w:val="true"/>
        </w:rPr>
        <w:t>בית המשפט קבע מתחם בין שנתיים לחמש שנים</w:t>
      </w:r>
      <w:r>
        <w:rPr>
          <w:rtl w:val="true"/>
        </w:rPr>
        <w:t xml:space="preserve">, </w:t>
      </w:r>
      <w:r>
        <w:rPr>
          <w:rtl w:val="true"/>
        </w:rPr>
        <w:t xml:space="preserve">והשית על המערער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עונשים נוספים בהתחשב בכך שהודה במסגרת טיעון</w:t>
      </w:r>
      <w:r>
        <w:rPr>
          <w:rtl w:val="true"/>
        </w:rPr>
        <w:t xml:space="preserve">; </w:t>
      </w:r>
      <w:r>
        <w:rPr>
          <w:rtl w:val="true"/>
        </w:rPr>
        <w:t>בעברו הפלילי של המערער שאינו מכביד</w:t>
      </w:r>
      <w:r>
        <w:rPr>
          <w:rtl w:val="true"/>
        </w:rPr>
        <w:t xml:space="preserve">; </w:t>
      </w:r>
      <w:r>
        <w:rPr>
          <w:rtl w:val="true"/>
        </w:rPr>
        <w:t>ובפגיעה של העונש במשפחתו</w:t>
      </w:r>
      <w:r>
        <w:rPr>
          <w:rtl w:val="true"/>
        </w:rPr>
        <w:t xml:space="preserve">. </w:t>
      </w:r>
      <w:r>
        <w:rPr>
          <w:rtl w:val="true"/>
        </w:rPr>
        <w:t>בית משפט זה דחה את הערעור על חומרת העונש</w:t>
      </w:r>
      <w:r>
        <w:rPr>
          <w:rtl w:val="true"/>
        </w:rPr>
        <w:t xml:space="preserve">. </w:t>
      </w:r>
      <w:r>
        <w:rPr>
          <w:rtl w:val="true"/>
        </w:rPr>
        <w:t xml:space="preserve">עניין נוסף הוא 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פואקה</w:t>
      </w:r>
      <w:r>
        <w:rPr>
          <w:rtl w:val="true"/>
        </w:rPr>
        <w:t xml:space="preserve"> בו הורשע המערער בתיווך בסם וכן בשתי עבירות של עסקה בנשק ועבירה נוספת של ניסיון לעסקה בנשק</w:t>
      </w:r>
      <w:r>
        <w:rPr>
          <w:rtl w:val="true"/>
        </w:rPr>
        <w:t xml:space="preserve">. </w:t>
      </w:r>
      <w:r>
        <w:rPr>
          <w:rtl w:val="true"/>
        </w:rPr>
        <w:t>בשלוש הזדמנויות שונות שימש המערער בעניין זה כמתווך בין סוכן משטרתי לאדם נוסף שסיפק שני אקדחים</w:t>
      </w:r>
      <w:r>
        <w:rPr>
          <w:rtl w:val="true"/>
        </w:rPr>
        <w:t xml:space="preserve">, </w:t>
      </w:r>
      <w:r>
        <w:rPr>
          <w:rtl w:val="true"/>
        </w:rPr>
        <w:t>תת מקלע ותחמושת</w:t>
      </w:r>
      <w:r>
        <w:rPr>
          <w:rtl w:val="true"/>
        </w:rPr>
        <w:t xml:space="preserve">. </w:t>
      </w:r>
      <w:r>
        <w:rPr>
          <w:rtl w:val="true"/>
        </w:rPr>
        <w:t>המערער לקח תפקיד פעיל בקישור בין הסוכן והאדם הנוסף שסיפק את הנשקים</w:t>
      </w:r>
      <w:r>
        <w:rPr>
          <w:rtl w:val="true"/>
        </w:rPr>
        <w:t xml:space="preserve">, </w:t>
      </w:r>
      <w:r>
        <w:rPr>
          <w:rtl w:val="true"/>
        </w:rPr>
        <w:t xml:space="preserve">וקיבל באישום השני סך של </w:t>
      </w:r>
      <w:r>
        <w:rPr/>
        <w:t>500</w:t>
      </w:r>
      <w:r>
        <w:rPr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עבור שירותיו</w:t>
      </w:r>
      <w:r>
        <w:rPr>
          <w:rtl w:val="true"/>
        </w:rPr>
        <w:t xml:space="preserve">. </w:t>
      </w:r>
      <w:r>
        <w:rPr>
          <w:rtl w:val="true"/>
        </w:rPr>
        <w:t>סכום זהה התקבל באישום השלישי</w:t>
      </w:r>
      <w:r>
        <w:rPr>
          <w:rtl w:val="true"/>
        </w:rPr>
        <w:t xml:space="preserve">. </w:t>
      </w:r>
      <w:r>
        <w:rPr>
          <w:rtl w:val="true"/>
        </w:rPr>
        <w:t>בית המשפט המחוזי קבע מתחמים שונים עבור כל אירוע</w:t>
      </w:r>
      <w:r>
        <w:rPr>
          <w:rtl w:val="true"/>
        </w:rPr>
        <w:t xml:space="preserve">, </w:t>
      </w:r>
      <w:r>
        <w:rPr>
          <w:rtl w:val="true"/>
        </w:rPr>
        <w:t xml:space="preserve">כך שעבור אירוע הסחר בנשק הראשון </w:t>
      </w:r>
      <w:r>
        <w:rPr>
          <w:rtl w:val="true"/>
        </w:rPr>
        <w:t>(</w:t>
      </w:r>
      <w:r>
        <w:rPr>
          <w:rtl w:val="true"/>
        </w:rPr>
        <w:t>האישום השני</w:t>
      </w:r>
      <w:r>
        <w:rPr>
          <w:rtl w:val="true"/>
        </w:rPr>
        <w:t xml:space="preserve">) </w:t>
      </w:r>
      <w:r>
        <w:rPr>
          <w:rtl w:val="true"/>
        </w:rPr>
        <w:t xml:space="preserve">בו נסחרו אקדח חצי אוטומטי ומחסנית נקבע מתחם בין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>
          <w:rtl w:val="true"/>
        </w:rPr>
        <w:t xml:space="preserve">עבור האירוע השני </w:t>
      </w:r>
      <w:r>
        <w:rPr>
          <w:rtl w:val="true"/>
        </w:rPr>
        <w:t>(</w:t>
      </w:r>
      <w:r>
        <w:rPr>
          <w:rtl w:val="true"/>
        </w:rPr>
        <w:t>האישום השלישי</w:t>
      </w:r>
      <w:r>
        <w:rPr>
          <w:rtl w:val="true"/>
        </w:rPr>
        <w:t xml:space="preserve">) </w:t>
      </w:r>
      <w:r>
        <w:rPr>
          <w:rtl w:val="true"/>
        </w:rPr>
        <w:t xml:space="preserve">בו נסחרו תת מקלע ומחסנית נקבע מתחם בין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 xml:space="preserve">ועבור האירוע השלישי </w:t>
      </w:r>
      <w:r>
        <w:rPr>
          <w:rtl w:val="true"/>
        </w:rPr>
        <w:t>(</w:t>
      </w:r>
      <w:r>
        <w:rPr>
          <w:rtl w:val="true"/>
        </w:rPr>
        <w:t>האישום הרביעי</w:t>
      </w:r>
      <w:r>
        <w:rPr>
          <w:rtl w:val="true"/>
        </w:rPr>
        <w:t xml:space="preserve">) </w:t>
      </w:r>
      <w:r>
        <w:rPr>
          <w:rtl w:val="true"/>
        </w:rPr>
        <w:t xml:space="preserve">בו בוצע ניסיון למכור אקדח ומחסנית נקבע מתחם 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בקביעת העונשים בתוך המתחמים שנקבעו</w:t>
      </w:r>
      <w:r>
        <w:rPr>
          <w:rtl w:val="true"/>
        </w:rPr>
        <w:t xml:space="preserve">, </w:t>
      </w:r>
      <w:r>
        <w:rPr>
          <w:rtl w:val="true"/>
        </w:rPr>
        <w:t>התחשב בית המשפט המחוזי בתסקיר משלים חיובי בעניינו של המערער</w:t>
      </w:r>
      <w:r>
        <w:rPr>
          <w:rtl w:val="true"/>
        </w:rPr>
        <w:t xml:space="preserve">, </w:t>
      </w:r>
      <w:r>
        <w:rPr>
          <w:rtl w:val="true"/>
        </w:rPr>
        <w:t>וכן בנסיבות אישיות נוספות</w:t>
      </w:r>
      <w:r>
        <w:rPr>
          <w:rtl w:val="true"/>
        </w:rPr>
        <w:t xml:space="preserve">. </w:t>
      </w:r>
      <w:r>
        <w:rPr>
          <w:rtl w:val="true"/>
        </w:rPr>
        <w:t xml:space="preserve">על המערער הושתו </w:t>
      </w:r>
      <w:r>
        <w:rPr/>
        <w:t>84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כאשר שלושה מתוכם הושתו בגין עבירת התיווך בסם שביצע</w:t>
      </w:r>
      <w:r>
        <w:rPr>
          <w:rtl w:val="true"/>
        </w:rPr>
        <w:t xml:space="preserve">, </w:t>
      </w:r>
      <w:r>
        <w:rPr>
          <w:rtl w:val="true"/>
        </w:rPr>
        <w:t>והשאר הושתו בגין הסחר בנשק</w:t>
      </w:r>
      <w:r>
        <w:rPr>
          <w:rtl w:val="true"/>
        </w:rPr>
        <w:t xml:space="preserve">. </w:t>
      </w:r>
      <w:r>
        <w:rPr>
          <w:rtl w:val="true"/>
        </w:rPr>
        <w:t>בית משפט זה קיבל את הערעור על חומרת העונש מתוך התחשבות בנסיבות המקלות בעניין זה בהן גילו הצעיר של המערער בעניין זה</w:t>
      </w:r>
      <w:r>
        <w:rPr>
          <w:rtl w:val="true"/>
        </w:rPr>
        <w:t xml:space="preserve">; </w:t>
      </w:r>
      <w:r>
        <w:rPr>
          <w:rtl w:val="true"/>
        </w:rPr>
        <w:t>היעדר עבר פלילי</w:t>
      </w:r>
      <w:r>
        <w:rPr>
          <w:rtl w:val="true"/>
        </w:rPr>
        <w:t xml:space="preserve">; </w:t>
      </w:r>
      <w:r>
        <w:rPr>
          <w:rtl w:val="true"/>
        </w:rPr>
        <w:t>שיתוף פעולה והודאתו של המערער</w:t>
      </w:r>
      <w:r>
        <w:rPr>
          <w:rtl w:val="true"/>
        </w:rPr>
        <w:t xml:space="preserve">; </w:t>
      </w:r>
      <w:r>
        <w:rPr>
          <w:rtl w:val="true"/>
        </w:rPr>
        <w:t>וכן נסיבות חייו המורכבות והמצוקה הכלכלית בה גדל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השית על המערער עונש של </w:t>
      </w:r>
      <w:r>
        <w:rPr/>
        <w:t>78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חלף </w:t>
      </w:r>
      <w:r>
        <w:rPr/>
        <w:t>84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הגם שפסק הדין של בית המשפט קמא מפרט נכוחה את העקרונות שנקבעו בפסיקתנו בהתייחס לחומרת העבירות ומדיניות הענישה בנוגע לעבירות סחר בנשק</w:t>
      </w:r>
      <w:r>
        <w:rPr>
          <w:rtl w:val="true"/>
        </w:rPr>
        <w:t xml:space="preserve">, </w:t>
      </w:r>
      <w:r>
        <w:rPr>
          <w:rtl w:val="true"/>
        </w:rPr>
        <w:t xml:space="preserve">ניכר </w:t>
      </w:r>
      <w:r>
        <w:rPr>
          <w:rtl w:val="true"/>
        </w:rPr>
        <w:t>–</w:t>
      </w:r>
      <w:r>
        <w:rPr>
          <w:rtl w:val="true"/>
        </w:rPr>
        <w:t xml:space="preserve"> על רקע רמת הענישה הנהוגה בפסיקת בית משפט זה </w:t>
      </w:r>
      <w:r>
        <w:rPr>
          <w:rtl w:val="true"/>
        </w:rPr>
        <w:t>–</w:t>
      </w:r>
      <w:r>
        <w:rPr>
          <w:rtl w:val="true"/>
        </w:rPr>
        <w:t xml:space="preserve"> כי העונש שהושת על המשיב אינו הולם את חומרת המעשים</w:t>
      </w:r>
      <w:r>
        <w:rPr>
          <w:rtl w:val="true"/>
        </w:rPr>
        <w:t xml:space="preserve">, </w:t>
      </w:r>
      <w:r>
        <w:rPr>
          <w:rtl w:val="true"/>
        </w:rPr>
        <w:t xml:space="preserve">בייחוד כאשר מדובר בריבוי עבירות </w:t>
      </w:r>
      <w:r>
        <w:rPr>
          <w:rtl w:val="true"/>
        </w:rPr>
        <w:t>(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2293/19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גווליס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27.6.2019</w:t>
      </w:r>
      <w:r>
        <w:rPr>
          <w:rtl w:val="true"/>
        </w:rPr>
        <w:t xml:space="preserve">)). </w:t>
      </w:r>
      <w:r>
        <w:rPr>
          <w:rtl w:val="true"/>
        </w:rPr>
        <w:t>שקלתי את טענתו של המשיב בדבר התמורה הנמוכה שקיבל עבור שירותיו</w:t>
      </w:r>
      <w:r>
        <w:rPr>
          <w:rtl w:val="true"/>
        </w:rPr>
        <w:t xml:space="preserve">, </w:t>
      </w:r>
      <w:r>
        <w:rPr>
          <w:rtl w:val="true"/>
        </w:rPr>
        <w:t>וכן העובדה כי הוא לא סיפק את הנשקים</w:t>
      </w:r>
      <w:r>
        <w:rPr>
          <w:rtl w:val="true"/>
        </w:rPr>
        <w:t xml:space="preserve">. </w:t>
      </w:r>
      <w:r>
        <w:rPr>
          <w:rtl w:val="true"/>
        </w:rPr>
        <w:t>דא עקא שמתקיימות בעניינו גם נסיבות מחמירות</w:t>
      </w:r>
      <w:r>
        <w:rPr>
          <w:rtl w:val="true"/>
        </w:rPr>
        <w:t xml:space="preserve">. </w:t>
      </w:r>
      <w:r>
        <w:rPr>
          <w:rtl w:val="true"/>
        </w:rPr>
        <w:t>המשיב הורשע בשלוש עבירות שונות של סחר בנשק</w:t>
      </w:r>
      <w:r>
        <w:rPr>
          <w:rtl w:val="true"/>
        </w:rPr>
        <w:t xml:space="preserve">, </w:t>
      </w:r>
      <w:r>
        <w:rPr>
          <w:rtl w:val="true"/>
        </w:rPr>
        <w:t>כאשר הוא לקח חלק פעיל ומשמעותי בכינון העסקאות</w:t>
      </w:r>
      <w:r>
        <w:rPr>
          <w:rtl w:val="true"/>
        </w:rPr>
        <w:t xml:space="preserve">. </w:t>
      </w:r>
      <w:r>
        <w:rPr>
          <w:rtl w:val="true"/>
        </w:rPr>
        <w:t>המשיב אף יזם את חלק מהעסקאות</w:t>
      </w:r>
      <w:r>
        <w:rPr>
          <w:rtl w:val="true"/>
        </w:rPr>
        <w:t xml:space="preserve">, </w:t>
      </w:r>
      <w:r>
        <w:rPr>
          <w:rtl w:val="true"/>
        </w:rPr>
        <w:t>והיה מעורב במשא ומתן בנוגע לנשקים ולמחירם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במתחם הענישה יש להתחשב במעורבותו הגדולה של המשיב ובריבוי העבירות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2834/18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(</w:t>
      </w:r>
      <w:r>
        <w:rPr/>
        <w:t>15.1.2019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חמאיל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דהוד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). </w:t>
      </w:r>
      <w:r>
        <w:rPr>
          <w:rtl w:val="true"/>
        </w:rPr>
        <w:t>המשיב אמנם שימש כמתווך לעסקאות בנשק</w:t>
      </w:r>
      <w:r>
        <w:rPr>
          <w:rtl w:val="true"/>
        </w:rPr>
        <w:t xml:space="preserve">, </w:t>
      </w:r>
      <w:r>
        <w:rPr>
          <w:rtl w:val="true"/>
        </w:rPr>
        <w:t xml:space="preserve">אך מעורבותו בפעילות הסחר מילאה תפקיד מרכזי שאיפשרה את השלמת העסקאות ואת הפעילות העבריינית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בראנסי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דהוד</w:t>
      </w:r>
      <w:r>
        <w:rPr>
          <w:rtl w:val="true"/>
        </w:rPr>
        <w:t xml:space="preserve">). </w:t>
      </w:r>
      <w:r>
        <w:rPr>
          <w:rtl w:val="true"/>
        </w:rPr>
        <w:t>לכך יש להוסיף כי לפי האישום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המשיב היה מעורב בסחר של רובה סער מסוג </w:t>
      </w:r>
      <w:r>
        <w:rPr>
          <w:rFonts w:cs="Century" w:ascii="Century" w:hAnsi="Century"/>
        </w:rPr>
        <w:t>M4</w:t>
      </w:r>
      <w:r>
        <w:rPr>
          <w:rtl w:val="true"/>
        </w:rPr>
        <w:t xml:space="preserve"> </w:t>
      </w:r>
      <w:r>
        <w:rPr>
          <w:rtl w:val="true"/>
        </w:rPr>
        <w:t xml:space="preserve">שמגלם נזק פוטנציאלי רב במיוחד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חמאיל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).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ומבלי לקבוע מסמרות באשר לתקרת מתחם העונש ההולם</w:t>
      </w:r>
      <w:r>
        <w:rPr>
          <w:rtl w:val="true"/>
        </w:rPr>
        <w:t xml:space="preserve">, </w:t>
      </w:r>
      <w:r>
        <w:rPr>
          <w:rtl w:val="true"/>
        </w:rPr>
        <w:t>נראה כי זו אינה יכולה להיות נמוכה מ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בהודאתו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ובחסכון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. </w:t>
      </w:r>
      <w:r>
        <w:rPr>
          <w:rtl w:val="true"/>
        </w:rPr>
        <w:t>בהיותנו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ולהעמידו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מזוז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פוגלמן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בתמוז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11.7.2019</w:t>
      </w:r>
      <w:r>
        <w:rPr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19009710</w:t>
      </w:r>
      <w:r>
        <w:rPr>
          <w:sz w:val="16"/>
          <w:rtl w:val="true"/>
        </w:rPr>
        <w:t>_</w:t>
      </w:r>
      <w:r>
        <w:rPr>
          <w:sz w:val="16"/>
        </w:rPr>
        <w:t>M01.docx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חב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ע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פוגלמן </w:t>
      </w:r>
      <w:r>
        <w:rPr>
          <w:rFonts w:cs="David;Times New Roman" w:ascii="David;Times New Roman" w:hAnsi="David;Times New Roman"/>
          <w:color w:val="000000"/>
          <w:szCs w:val="22"/>
        </w:rPr>
        <w:t>54678313-971/19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971/19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מחמד געביס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87546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4140726" TargetMode="External"/><Relationship Id="rId8" Type="http://schemas.openxmlformats.org/officeDocument/2006/relationships/hyperlink" Target="http://www.nevo.co.il/case/23750625" TargetMode="External"/><Relationship Id="rId9" Type="http://schemas.openxmlformats.org/officeDocument/2006/relationships/hyperlink" Target="http://www.nevo.co.il/case/23850962" TargetMode="External"/><Relationship Id="rId10" Type="http://schemas.openxmlformats.org/officeDocument/2006/relationships/hyperlink" Target="http://www.nevo.co.il/case/20007334" TargetMode="External"/><Relationship Id="rId11" Type="http://schemas.openxmlformats.org/officeDocument/2006/relationships/hyperlink" Target="http://www.nevo.co.il/case/21474520" TargetMode="External"/><Relationship Id="rId12" Type="http://schemas.openxmlformats.org/officeDocument/2006/relationships/hyperlink" Target="http://www.nevo.co.il/case/21472788" TargetMode="External"/><Relationship Id="rId13" Type="http://schemas.openxmlformats.org/officeDocument/2006/relationships/hyperlink" Target="http://www.nevo.co.il/case/13090914" TargetMode="External"/><Relationship Id="rId14" Type="http://schemas.openxmlformats.org/officeDocument/2006/relationships/hyperlink" Target="http://www.nevo.co.il/case/6473037" TargetMode="External"/><Relationship Id="rId15" Type="http://schemas.openxmlformats.org/officeDocument/2006/relationships/hyperlink" Target="http://www.nevo.co.il/case/25581149" TargetMode="External"/><Relationship Id="rId16" Type="http://schemas.openxmlformats.org/officeDocument/2006/relationships/hyperlink" Target="http://www.nevo.co.il/case/23850993" TargetMode="External"/><Relationship Id="rId17" Type="http://schemas.openxmlformats.org/officeDocument/2006/relationships/hyperlink" Target="http://supreme.court.gov.il/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2019-07-15T09:34:00Z</dcterms:created>
  <dc:creator>h4</dc:creator>
  <dc:description/>
  <cp:keywords/>
  <dc:language>en-IL</dc:language>
  <cp:lastModifiedBy>orly</cp:lastModifiedBy>
  <cp:lastPrinted>2019-07-11T10:19:00Z</cp:lastPrinted>
  <dcterms:modified xsi:type="dcterms:W3CDTF">2019-07-15T09:34:00Z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געביס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23875460;24140726;23750625;23850962;20007334;21474520;21472788;13090914;6473037;25581149;23850993</vt:lpwstr>
  </property>
  <property fmtid="{D5CDD505-2E9C-101B-9397-08002B2CF9AE}" pid="9" name="CITY">
    <vt:lpwstr/>
  </property>
  <property fmtid="{D5CDD505-2E9C-101B-9397-08002B2CF9AE}" pid="10" name="DATE">
    <vt:lpwstr>20190711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פוגלמן;מ' מזוז;י' אלרון</vt:lpwstr>
  </property>
  <property fmtid="{D5CDD505-2E9C-101B-9397-08002B2CF9AE}" pid="14" name="LAWLISTTMP1">
    <vt:lpwstr>70301/144.b2</vt:lpwstr>
  </property>
  <property fmtid="{D5CDD505-2E9C-101B-9397-08002B2CF9AE}" pid="15" name="LAWYER">
    <vt:lpwstr>ריאד סואעד;עודד ציון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מדיניות ענישה: שיקולים לחומרה</vt:lpwstr>
  </property>
  <property fmtid="{D5CDD505-2E9C-101B-9397-08002B2CF9AE}" pid="52" name="NOSE34">
    <vt:lpwstr>מדיניות ענישה: מתחם הענישה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13800;8982;8995;15752</vt:lpwstr>
  </property>
  <property fmtid="{D5CDD505-2E9C-101B-9397-08002B2CF9AE}" pid="59" name="PADIDATE">
    <vt:lpwstr>20190715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971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410120190711</vt:lpwstr>
  </property>
  <property fmtid="{D5CDD505-2E9C-101B-9397-08002B2CF9AE}" pid="69" name="TYPE_N_DATE">
    <vt:lpwstr>41020190711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