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971/21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עמנואל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אמאצ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11220-12-18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קאפח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422"/>
        <w:gridCol w:w="711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22.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71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5"/>
        <w:gridCol w:w="5148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וחיובי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ולפתע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משברי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הייחודיים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וסיכויי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הכרזתו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כסוחר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קוקאין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להספקה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שנתפסה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ושבהחזקתה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עשרות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לנטילת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ולחרטתו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שישתקם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להמעיט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במשמעות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התחרט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תרופתי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רגעית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וחיובי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ולפתע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והצטמצם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לאספקה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המקימה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התקבלה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בצדק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בטיעוניה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שבגבולו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החיובית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הקהילה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והנפשי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מחרטתו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ומתחושות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האוחזות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במלחמה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הכרזת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כסוחר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צ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קאפח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12.1.2021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11220-12-18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ascii="Century" w:hAnsi="Century" w:cs="Miriam"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נדון לעונש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, </w:t>
      </w:r>
      <w:r>
        <w:rPr>
          <w:rtl w:val="true"/>
        </w:rPr>
        <w:t xml:space="preserve">מאסרים מותנים ופסילת רישיון נהיגה למשך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 מיום שחרורו ממאסר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לאחר שביום </w:t>
      </w:r>
      <w:r>
        <w:rPr/>
        <w:t>20.7.2020</w:t>
      </w:r>
      <w:r>
        <w:rPr>
          <w:rtl w:val="true"/>
        </w:rPr>
        <w:t xml:space="preserve"> </w:t>
      </w:r>
      <w:r>
        <w:rPr>
          <w:rtl w:val="true"/>
        </w:rPr>
        <w:t xml:space="preserve">הורשע המערער על פי הודאתו במסגרת הסדר טיעון בכתב אישום מתוקן בשנית בעבירה של החזקת סם מסוכן שלא לצריכה עצמית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). </w:t>
      </w:r>
      <w:r>
        <w:rPr>
          <w:rtl w:val="true"/>
        </w:rPr>
        <w:t>על פי התיאור העובדתי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20.11.2018</w:t>
      </w:r>
      <w:r>
        <w:rPr>
          <w:rtl w:val="true"/>
        </w:rPr>
        <w:t xml:space="preserve"> </w:t>
      </w:r>
      <w:r>
        <w:rPr>
          <w:rtl w:val="true"/>
        </w:rPr>
        <w:t>החזיק המערער בבית עסק השייך לו סם מסוג קוקאין</w:t>
      </w:r>
      <w:r>
        <w:rPr>
          <w:rtl w:val="true"/>
        </w:rPr>
        <w:t xml:space="preserve">, </w:t>
      </w:r>
      <w:r>
        <w:rPr>
          <w:rtl w:val="true"/>
        </w:rPr>
        <w:t>ארוז ב</w:t>
      </w:r>
      <w:r>
        <w:rPr>
          <w:rtl w:val="true"/>
        </w:rPr>
        <w:t>-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יחידות</w:t>
      </w:r>
      <w:r>
        <w:rPr>
          <w:rtl w:val="true"/>
        </w:rPr>
        <w:t xml:space="preserve">, </w:t>
      </w:r>
      <w:r>
        <w:rPr>
          <w:rtl w:val="true"/>
        </w:rPr>
        <w:t xml:space="preserve">במשקל כולל של </w:t>
      </w:r>
      <w:r>
        <w:rPr/>
        <w:t>678.8668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>
          <w:rtl w:val="true"/>
        </w:rPr>
        <w:t>על מנת לספק את הסם לאחרים</w:t>
      </w:r>
      <w:r>
        <w:rPr>
          <w:rtl w:val="true"/>
        </w:rPr>
        <w:t xml:space="preserve">, </w:t>
      </w:r>
      <w:r>
        <w:rPr>
          <w:rtl w:val="true"/>
        </w:rPr>
        <w:t>שלא כדין וללא היתר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</w:t>
      </w:r>
      <w:r>
        <w:rPr>
          <w:rtl w:val="true"/>
        </w:rPr>
        <w:t xml:space="preserve">, </w:t>
      </w:r>
      <w:r>
        <w:rPr>
          <w:rtl w:val="true"/>
        </w:rPr>
        <w:t>יצוין כי מדובר בהסדר טיעון שני לאחר שקודם לכן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25.6.2019</w:t>
      </w:r>
      <w:r>
        <w:rPr>
          <w:rtl w:val="true"/>
        </w:rPr>
        <w:t xml:space="preserve">, </w:t>
      </w:r>
      <w:r>
        <w:rPr>
          <w:rtl w:val="true"/>
        </w:rPr>
        <w:t>הורשע המערער לפי הודאתו בכתב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הרשעה שבוטלה בהמשך על ידי בית המשפט קמא בהחלטה מיום </w:t>
      </w:r>
      <w:r>
        <w:rPr/>
        <w:t>15.9.2019</w:t>
      </w:r>
      <w:r>
        <w:rPr>
          <w:rtl w:val="true"/>
        </w:rPr>
        <w:t xml:space="preserve">, </w:t>
      </w:r>
      <w:r>
        <w:rPr>
          <w:rtl w:val="true"/>
        </w:rPr>
        <w:t>כאשר התברר כי בפני שירות המבחן הכחיש המערער את ביצוע העבירה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הסדר הטיעון השני בין הצדדים לא כלל הסכמה עונשית כלשהי</w:t>
      </w:r>
      <w:r>
        <w:rPr>
          <w:rtl w:val="true"/>
        </w:rPr>
        <w:t xml:space="preserve">, </w:t>
      </w:r>
      <w:r>
        <w:rPr>
          <w:rtl w:val="true"/>
        </w:rPr>
        <w:t>אולם הוסכם כי יוגש תסקיר נוסף של שירות מבחן בעניינו של המערער</w:t>
      </w:r>
      <w:r>
        <w:rPr>
          <w:rtl w:val="true"/>
        </w:rPr>
        <w:t>.</w:t>
      </w:r>
    </w:p>
    <w:p>
      <w:pPr>
        <w:pStyle w:val="Ruller41"/>
        <w:tabs>
          <w:tab w:val="clear" w:pos="720"/>
          <w:tab w:val="left" w:pos="2082" w:leader="none"/>
        </w:tabs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בתסקיר מיום </w:t>
      </w:r>
      <w:r>
        <w:rPr/>
        <w:t>15.12.2020</w:t>
      </w:r>
      <w:r>
        <w:rPr>
          <w:rtl w:val="true"/>
        </w:rPr>
        <w:t xml:space="preserve"> </w:t>
      </w:r>
      <w:r>
        <w:rPr>
          <w:rtl w:val="true"/>
        </w:rPr>
        <w:t>ציין שירות המבחן את התרשמותו כי לאורך חייו ניהל המערער אורח חיים נורמטיבי והתמסר לקידום ערכים חיוביים בקהילתו</w:t>
      </w:r>
      <w:r>
        <w:rPr>
          <w:rtl w:val="true"/>
        </w:rPr>
        <w:t xml:space="preserve">, </w:t>
      </w:r>
      <w:r>
        <w:rPr>
          <w:rtl w:val="true"/>
        </w:rPr>
        <w:t>בה שימש דמות מוכרת וכי העבירה הינה חריגה קיצונית מקורות חייו</w:t>
      </w:r>
      <w:r>
        <w:rPr>
          <w:rtl w:val="true"/>
        </w:rPr>
        <w:t xml:space="preserve">, </w:t>
      </w:r>
      <w:r>
        <w:rPr>
          <w:rtl w:val="true"/>
        </w:rPr>
        <w:t>שבוצעה על רקע מצוקה כלכלית</w:t>
      </w:r>
      <w:r>
        <w:rPr>
          <w:rtl w:val="true"/>
        </w:rPr>
        <w:t xml:space="preserve">, </w:t>
      </w:r>
      <w:r>
        <w:rPr>
          <w:rtl w:val="true"/>
        </w:rPr>
        <w:t>חיבור לגורמים שוליים וקושי בהצבת גבולות בתקופה משברית</w:t>
      </w:r>
      <w:r>
        <w:rPr>
          <w:rtl w:val="true"/>
        </w:rPr>
        <w:t xml:space="preserve">. </w:t>
      </w:r>
      <w:r>
        <w:rPr>
          <w:rtl w:val="true"/>
        </w:rPr>
        <w:t>עוד צוין כי המערער מתקשה להתמודד עם תוצאות מעשיו</w:t>
      </w:r>
      <w:r>
        <w:rPr>
          <w:rtl w:val="true"/>
        </w:rPr>
        <w:t xml:space="preserve">, </w:t>
      </w:r>
      <w:r>
        <w:rPr>
          <w:rtl w:val="true"/>
        </w:rPr>
        <w:t>כי חווה בושה ומבוכה וכי בחלוף הזמן הוא מסוגל לבחינה ביקורתית וכנה יותר</w:t>
      </w:r>
      <w:r>
        <w:rPr>
          <w:rtl w:val="true"/>
        </w:rPr>
        <w:t xml:space="preserve">, </w:t>
      </w:r>
      <w:r>
        <w:rPr>
          <w:rtl w:val="true"/>
        </w:rPr>
        <w:t>מודע למצבו ומקבל אחריות על התנהגותו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ולהתחזקות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קבועים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spacing w:val="0"/>
          <w:sz w:val="22"/>
          <w:szCs w:val="24"/>
        </w:rPr>
      </w:pP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 w:val="22"/>
          <w:szCs w:val="24"/>
        </w:rPr>
      </w:pPr>
      <w:r>
        <w:rPr>
          <w:rFonts w:cs="Miriam" w:ascii="Century" w:hAnsi="Century"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עמד על הערכים החברתיים המוגנים שנפגעו</w:t>
      </w:r>
      <w:r>
        <w:rPr>
          <w:rtl w:val="true"/>
        </w:rPr>
        <w:t xml:space="preserve">; </w:t>
      </w:r>
      <w:r>
        <w:rPr>
          <w:rtl w:val="true"/>
        </w:rPr>
        <w:t>על חומרת עבירות הסמים ככלל ועל חומרתן לנוכח סוג הסם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; </w:t>
      </w:r>
      <w:r>
        <w:rPr>
          <w:rtl w:val="true"/>
        </w:rPr>
        <w:t xml:space="preserve">על נסיבות ביצוע העבירה </w:t>
      </w:r>
      <w:r>
        <w:rPr>
          <w:rtl w:val="true"/>
        </w:rPr>
        <w:t>–</w:t>
      </w:r>
      <w:r>
        <w:rPr>
          <w:rtl w:val="true"/>
        </w:rPr>
        <w:t xml:space="preserve"> שבוצעה לשם הפקת רווח כספי קל</w:t>
      </w:r>
      <w:r>
        <w:rPr>
          <w:rtl w:val="true"/>
        </w:rPr>
        <w:t xml:space="preserve">, </w:t>
      </w:r>
      <w:r>
        <w:rPr>
          <w:rtl w:val="true"/>
        </w:rPr>
        <w:t>עלולה היתה לגרום לנזק משמעותי</w:t>
      </w:r>
      <w:r>
        <w:rPr>
          <w:rtl w:val="true"/>
        </w:rPr>
        <w:t xml:space="preserve">, </w:t>
      </w:r>
      <w:r>
        <w:rPr>
          <w:rtl w:val="true"/>
        </w:rPr>
        <w:t>שנמנע בשל תפיסת הסם</w:t>
      </w:r>
      <w:r>
        <w:rPr>
          <w:rtl w:val="true"/>
        </w:rPr>
        <w:t xml:space="preserve">, </w:t>
      </w:r>
      <w:r>
        <w:rPr>
          <w:rtl w:val="true"/>
        </w:rPr>
        <w:t>ובוצעה בחוסר תחכום</w:t>
      </w:r>
      <w:r>
        <w:rPr>
          <w:rtl w:val="true"/>
        </w:rPr>
        <w:t xml:space="preserve">; </w:t>
      </w:r>
      <w:r>
        <w:rPr>
          <w:rtl w:val="true"/>
        </w:rPr>
        <w:t>ועל 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לאור כל אלו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את מתחם העונש ההולם על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 העונש בגדרו של המתחם</w:t>
      </w:r>
      <w:r>
        <w:rPr>
          <w:rtl w:val="true"/>
        </w:rPr>
        <w:t xml:space="preserve">, </w:t>
      </w:r>
      <w:r>
        <w:rPr>
          <w:rtl w:val="true"/>
        </w:rPr>
        <w:t xml:space="preserve">עמד בית המשפט על גילו של המערער </w:t>
      </w:r>
      <w:r>
        <w:rPr>
          <w:rtl w:val="true"/>
        </w:rPr>
        <w:t>–</w:t>
      </w:r>
      <w:r>
        <w:rPr>
          <w:rtl w:val="true"/>
        </w:rPr>
        <w:t xml:space="preserve"> בן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 עברו הנקי</w:t>
      </w:r>
      <w:r>
        <w:rPr>
          <w:rtl w:val="true"/>
        </w:rPr>
        <w:t xml:space="preserve">; </w:t>
      </w:r>
      <w:r>
        <w:rPr>
          <w:rtl w:val="true"/>
        </w:rPr>
        <w:t>על נטילת האחריות</w:t>
      </w:r>
      <w:r>
        <w:rPr>
          <w:rtl w:val="true"/>
        </w:rPr>
        <w:t xml:space="preserve">, </w:t>
      </w:r>
      <w:r>
        <w:rPr>
          <w:rtl w:val="true"/>
        </w:rPr>
        <w:t>הצער והחרטה שהביע</w:t>
      </w:r>
      <w:r>
        <w:rPr>
          <w:rtl w:val="true"/>
        </w:rPr>
        <w:t xml:space="preserve">; </w:t>
      </w:r>
      <w:r>
        <w:rPr>
          <w:rtl w:val="true"/>
        </w:rPr>
        <w:t>על דמותו יוצאת הדופן ועל תרומתו לחברה</w:t>
      </w:r>
      <w:r>
        <w:rPr>
          <w:rtl w:val="true"/>
        </w:rPr>
        <w:t xml:space="preserve">; </w:t>
      </w:r>
      <w:r>
        <w:rPr>
          <w:rtl w:val="true"/>
        </w:rPr>
        <w:t>על הפגיעה הקשה של עונש מאסר בפועל במערער ובאישתו</w:t>
      </w:r>
      <w:r>
        <w:rPr>
          <w:rtl w:val="true"/>
        </w:rPr>
        <w:t xml:space="preserve">; </w:t>
      </w:r>
      <w:r>
        <w:rPr>
          <w:rtl w:val="true"/>
        </w:rPr>
        <w:t>על כך שהימשכות ההליכים אינה רובצת רק לפתחו של המערער</w:t>
      </w:r>
      <w:r>
        <w:rPr>
          <w:rtl w:val="true"/>
        </w:rPr>
        <w:t xml:space="preserve">; </w:t>
      </w:r>
      <w:r>
        <w:rPr>
          <w:rtl w:val="true"/>
        </w:rPr>
        <w:t>על מצבו הבריאותי והנפשי של המערער</w:t>
      </w:r>
      <w:r>
        <w:rPr>
          <w:rtl w:val="true"/>
        </w:rPr>
        <w:t xml:space="preserve">; </w:t>
      </w:r>
      <w:r>
        <w:rPr>
          <w:rtl w:val="true"/>
        </w:rPr>
        <w:t>על האמור בשני התסקירים שהגיש שירות המבחן והמלצתו לעונש מאסר שירוצה בעבודות שירות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ascii="Century" w:hAnsi="Century" w:cs="Miriam"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</w:t>
      </w:r>
      <w:r>
        <w:rPr>
          <w:rFonts w:ascii="Century" w:hAnsi="Century" w:cs="Miriam"/>
          <w:spacing w:val="0"/>
          <w:szCs w:val="24"/>
          <w:rtl w:val="true"/>
        </w:rPr>
        <w:t>ערעור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מלין על חומרת עונש המאסר שהוטל עליו בטענה כי לאור נתוניו הייחודיים וסיכויי השיקום בעניינו</w:t>
      </w:r>
      <w:r>
        <w:rPr>
          <w:rtl w:val="true"/>
        </w:rPr>
        <w:t xml:space="preserve">, </w:t>
      </w:r>
      <w:r>
        <w:rPr>
          <w:rtl w:val="true"/>
        </w:rPr>
        <w:t>מן הראוי היה להימנע מהשתת עונש של מאסר לריצוי בפועל ולהורות על עונש מאסר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>בין בקביעת עונש זה כרף התחתון במתחם העונש ההולם ובין בחריגה ממתחם העונש ההולם משיקולי שיקום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מתחם העונש ההולם שנקבע על ידי בית המשפט קמא</w:t>
      </w:r>
      <w:r>
        <w:rPr>
          <w:rtl w:val="true"/>
        </w:rPr>
        <w:t xml:space="preserve">, </w:t>
      </w:r>
      <w:r>
        <w:rPr>
          <w:rtl w:val="true"/>
        </w:rPr>
        <w:t>מחמיר יתר על המידה ואיננו הולם את נסיבות ביצוע העבירה ויש מקום להתערב בו</w:t>
      </w:r>
      <w:r>
        <w:rPr>
          <w:rtl w:val="true"/>
        </w:rPr>
        <w:t xml:space="preserve">. </w:t>
      </w:r>
      <w:r>
        <w:rPr>
          <w:rtl w:val="true"/>
        </w:rPr>
        <w:t>נטען כי</w:t>
      </w:r>
      <w:r>
        <w:rPr>
          <w:rtl w:val="true"/>
        </w:rPr>
        <w:t xml:space="preserve">, </w:t>
      </w:r>
      <w:r>
        <w:rPr>
          <w:rtl w:val="true"/>
        </w:rPr>
        <w:t>בקביעת המתחם הסתמך בית המשפט על נסיבות ועובדות שאינן חלק מכתב האישום המתוקן בשנית שבו הודה או מההסכמות בין הצדדים</w:t>
      </w:r>
      <w:r>
        <w:rPr>
          <w:rtl w:val="true"/>
        </w:rPr>
        <w:t xml:space="preserve">, </w:t>
      </w:r>
      <w:r>
        <w:rPr>
          <w:rtl w:val="true"/>
        </w:rPr>
        <w:t>וזאת ביחס להימצאות סם קוקאין במשקל של כ</w:t>
      </w:r>
      <w:r>
        <w:rPr>
          <w:rtl w:val="true"/>
        </w:rPr>
        <w:t>-</w:t>
      </w:r>
      <w:r>
        <w:rPr/>
        <w:t>0.37</w:t>
      </w:r>
      <w:r>
        <w:rPr>
          <w:rtl w:val="true"/>
        </w:rPr>
        <w:t xml:space="preserve"> </w:t>
      </w:r>
      <w:r>
        <w:rPr>
          <w:rtl w:val="true"/>
        </w:rPr>
        <w:t>גרם גם ברכבו של המערער וביחס להעדר מודעות המערער לכך שהחבילה שנתפסה ברשותו הכילה סמים</w:t>
      </w:r>
      <w:r>
        <w:rPr>
          <w:rtl w:val="true"/>
        </w:rPr>
        <w:t xml:space="preserve">. </w:t>
      </w:r>
      <w:r>
        <w:rPr>
          <w:rtl w:val="true"/>
        </w:rPr>
        <w:t>עוד לשיטת המערער</w:t>
      </w:r>
      <w:r>
        <w:rPr>
          <w:rtl w:val="true"/>
        </w:rPr>
        <w:t xml:space="preserve">, </w:t>
      </w:r>
      <w:r>
        <w:rPr>
          <w:rtl w:val="true"/>
        </w:rPr>
        <w:t>בהתייחסו למדיניות הענישה הנוהגת הסתמך בית המשפט קמא על פסיקה שנסיבותיה באשר לכמות הסם</w:t>
      </w:r>
      <w:r>
        <w:rPr>
          <w:rtl w:val="true"/>
        </w:rPr>
        <w:t xml:space="preserve">, </w:t>
      </w:r>
      <w:r>
        <w:rPr>
          <w:rtl w:val="true"/>
        </w:rPr>
        <w:t>מידת התחכום וקיומו של עבר פלילי</w:t>
      </w:r>
      <w:r>
        <w:rPr>
          <w:rtl w:val="true"/>
        </w:rPr>
        <w:t xml:space="preserve">, </w:t>
      </w:r>
      <w:r>
        <w:rPr>
          <w:rtl w:val="true"/>
        </w:rPr>
        <w:t>חמורות מעניינו</w:t>
      </w:r>
      <w:r>
        <w:rPr>
          <w:rtl w:val="true"/>
        </w:rPr>
        <w:t xml:space="preserve">, </w:t>
      </w:r>
      <w:r>
        <w:rPr>
          <w:rtl w:val="true"/>
        </w:rPr>
        <w:t>התעלם מפסיקה רלוונטית שהוצגה מטעם ההגנה</w:t>
      </w:r>
      <w:r>
        <w:rPr>
          <w:rtl w:val="true"/>
        </w:rPr>
        <w:t xml:space="preserve">, </w:t>
      </w:r>
      <w:r>
        <w:rPr>
          <w:rtl w:val="true"/>
        </w:rPr>
        <w:t>ובשל כך קבע מתחם עונש מחמיר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לא ניתן ביטוי למכלול נסיבות ביצוע העבירה ובהן העדר התחכום</w:t>
      </w:r>
      <w:r>
        <w:rPr>
          <w:rtl w:val="true"/>
        </w:rPr>
        <w:t xml:space="preserve">, </w:t>
      </w:r>
      <w:r>
        <w:rPr>
          <w:rtl w:val="true"/>
        </w:rPr>
        <w:t>רמת התכנון הנמוכה</w:t>
      </w:r>
      <w:r>
        <w:rPr>
          <w:rtl w:val="true"/>
        </w:rPr>
        <w:t xml:space="preserve">, </w:t>
      </w:r>
      <w:r>
        <w:rPr>
          <w:rtl w:val="true"/>
        </w:rPr>
        <w:t>העובדה כי בשל תפיסת הסם לא גרמו מעשיו לנזק</w:t>
      </w:r>
      <w:r>
        <w:rPr>
          <w:rtl w:val="true"/>
        </w:rPr>
        <w:t xml:space="preserve">, </w:t>
      </w:r>
      <w:r>
        <w:rPr>
          <w:rtl w:val="true"/>
        </w:rPr>
        <w:t>וביצוע העבירה על רקע תקופה משברית בחייו והיעדרות בת זוגו ולא על רקע רצונו ברווח כספי קל</w:t>
      </w:r>
      <w:r>
        <w:rPr>
          <w:rtl w:val="true"/>
        </w:rPr>
        <w:t xml:space="preserve">, </w:t>
      </w:r>
      <w:r>
        <w:rPr>
          <w:rtl w:val="true"/>
        </w:rPr>
        <w:t>כפי שנקבע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יש להורות על חריגה לקולה ממתחם העונש שנקבע בשל קיומו של סיכוי ממשי לשיקום מלא בעתיד הקרוב</w:t>
      </w:r>
      <w:r>
        <w:rPr>
          <w:rtl w:val="true"/>
        </w:rPr>
        <w:t xml:space="preserve">, </w:t>
      </w:r>
      <w:r>
        <w:rPr>
          <w:rtl w:val="true"/>
        </w:rPr>
        <w:t>כעולה מתסקיר שירות המבחן בעניינו</w:t>
      </w:r>
      <w:r>
        <w:rPr>
          <w:rtl w:val="true"/>
        </w:rPr>
        <w:t xml:space="preserve">, </w:t>
      </w:r>
      <w:r>
        <w:rPr>
          <w:rtl w:val="true"/>
        </w:rPr>
        <w:t>ובהתאם להלכת בית משפט זה 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קרנדל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18.4.2018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החלטתו של בית המשפט קמא להימנע מחריגה לקולה כאמור בשל החומרה היתרה במעשה העבירה ובמידת אשמו</w:t>
      </w:r>
      <w:r>
        <w:rPr>
          <w:rtl w:val="true"/>
        </w:rPr>
        <w:t xml:space="preserve">, </w:t>
      </w:r>
      <w:r>
        <w:rPr>
          <w:rtl w:val="true"/>
        </w:rPr>
        <w:t>מוטעית ואינה נתמכת בפסיקה</w:t>
      </w:r>
      <w:r>
        <w:rPr>
          <w:rtl w:val="true"/>
        </w:rPr>
        <w:t xml:space="preserve">. </w:t>
      </w:r>
      <w:r>
        <w:rPr>
          <w:rtl w:val="true"/>
        </w:rPr>
        <w:t>עוד נטען כי בית המשפט קמא לא נתן דעתו לעתירת המערער</w:t>
      </w:r>
      <w:r>
        <w:rPr>
          <w:rtl w:val="true"/>
        </w:rPr>
        <w:t xml:space="preserve">, </w:t>
      </w:r>
      <w:r>
        <w:rPr>
          <w:rtl w:val="true"/>
        </w:rPr>
        <w:t>הנתמכת בדעות מלומדים</w:t>
      </w:r>
      <w:r>
        <w:rPr>
          <w:rtl w:val="true"/>
        </w:rPr>
        <w:t xml:space="preserve">, </w:t>
      </w:r>
      <w:r>
        <w:rPr>
          <w:rtl w:val="true"/>
        </w:rPr>
        <w:t>לפירוש המונח שיקום במובן רחב</w:t>
      </w:r>
      <w:r>
        <w:rPr>
          <w:rtl w:val="true"/>
        </w:rPr>
        <w:t xml:space="preserve">, </w:t>
      </w:r>
      <w:r>
        <w:rPr>
          <w:rtl w:val="true"/>
        </w:rPr>
        <w:t>כך שתתאפשר חריגה ממתחם העונש משיקולי צדק ורחמים על רקע נסיבותיו האישיות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הייחודיות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כמפקחת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וצמצום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הכרזתו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ניטלה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מצידה סמכה ידה על גזר הדין וביקשה לדחות את הערעור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אין כל מקום להקל בעונשו של המערער</w:t>
      </w:r>
      <w:r>
        <w:rPr>
          <w:rtl w:val="true"/>
        </w:rPr>
        <w:t xml:space="preserve">, </w:t>
      </w:r>
      <w:r>
        <w:rPr>
          <w:rtl w:val="true"/>
        </w:rPr>
        <w:t>שכן מתחם העונש שנקבע תואם את מדיניות הענישה ואף הינו על הצד המקל</w:t>
      </w:r>
      <w:r>
        <w:rPr>
          <w:rtl w:val="true"/>
        </w:rPr>
        <w:t xml:space="preserve">; </w:t>
      </w:r>
      <w:r>
        <w:rPr>
          <w:rtl w:val="true"/>
        </w:rPr>
        <w:t>מכלול הנסיבות הובאו בחשבון</w:t>
      </w:r>
      <w:r>
        <w:rPr>
          <w:rtl w:val="true"/>
        </w:rPr>
        <w:t xml:space="preserve">; </w:t>
      </w:r>
      <w:r>
        <w:rPr>
          <w:rtl w:val="true"/>
        </w:rPr>
        <w:t>הטעויות בגזר הדין שעליהן עמד המערער אינן בעלות משקל המצדיק התערבות</w:t>
      </w:r>
      <w:r>
        <w:rPr>
          <w:rtl w:val="true"/>
        </w:rPr>
        <w:t xml:space="preserve">; </w:t>
      </w:r>
      <w:r>
        <w:rPr>
          <w:rtl w:val="true"/>
        </w:rPr>
        <w:t xml:space="preserve">ובשונה מעניין </w:t>
      </w:r>
      <w:r>
        <w:rPr>
          <w:rFonts w:ascii="Miriam" w:hAnsi="Miriam" w:cs="Miriam"/>
          <w:szCs w:val="24"/>
          <w:rtl w:val="true"/>
        </w:rPr>
        <w:t>קרנדל</w:t>
      </w:r>
      <w:r>
        <w:rPr>
          <w:rtl w:val="true"/>
        </w:rPr>
        <w:t xml:space="preserve">, </w:t>
      </w:r>
      <w:r>
        <w:rPr>
          <w:rtl w:val="true"/>
        </w:rPr>
        <w:t>המערער לא עבר הליך שיקום משמעותי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במעמד הדיון</w:t>
      </w:r>
      <w:r>
        <w:rPr>
          <w:rtl w:val="true"/>
        </w:rPr>
        <w:t xml:space="preserve">, </w:t>
      </w:r>
      <w:r>
        <w:rPr>
          <w:rtl w:val="true"/>
        </w:rPr>
        <w:t>הודיעה ב</w:t>
      </w:r>
      <w:r>
        <w:rPr>
          <w:rtl w:val="true"/>
        </w:rPr>
        <w:t>"</w:t>
      </w:r>
      <w:r>
        <w:rPr>
          <w:rtl w:val="true"/>
        </w:rPr>
        <w:t>כ המשיבה כי משלא חולט הרכב</w:t>
      </w:r>
      <w:r>
        <w:rPr>
          <w:rtl w:val="true"/>
        </w:rPr>
        <w:t xml:space="preserve">, </w:t>
      </w:r>
      <w:r>
        <w:rPr>
          <w:rtl w:val="true"/>
        </w:rPr>
        <w:t>היא מסכימה לביטול הכרזת המערער כסוחר סמים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הדיון שמענו גם את הגב</w:t>
      </w:r>
      <w:r>
        <w:rPr>
          <w:rtl w:val="true"/>
        </w:rPr>
        <w:t xml:space="preserve">' </w:t>
      </w:r>
      <w:r>
        <w:rPr>
          <w:rtl w:val="true"/>
        </w:rPr>
        <w:t>וייס</w:t>
      </w:r>
      <w:r>
        <w:rPr>
          <w:rtl w:val="true"/>
        </w:rPr>
        <w:t xml:space="preserve">, </w:t>
      </w:r>
      <w:r>
        <w:rPr>
          <w:rtl w:val="true"/>
        </w:rPr>
        <w:t>נציגת שירות המבחן</w:t>
      </w:r>
      <w:r>
        <w:rPr>
          <w:rtl w:val="true"/>
        </w:rPr>
        <w:t xml:space="preserve">, </w:t>
      </w:r>
      <w:r>
        <w:rPr>
          <w:rtl w:val="true"/>
        </w:rPr>
        <w:t>שציינה כי שירות המבחן התרשם מהתהליך שעבר המערער בנטילת האחריות ומיכולתו להיעזר בטיפול נפשי</w:t>
      </w:r>
      <w:r>
        <w:rPr>
          <w:rtl w:val="true"/>
        </w:rPr>
        <w:t xml:space="preserve">, </w:t>
      </w:r>
      <w:r>
        <w:rPr>
          <w:rtl w:val="true"/>
        </w:rPr>
        <w:t xml:space="preserve">ואף כי לא היה בכך משום </w:t>
      </w:r>
      <w:r>
        <w:rPr>
          <w:rtl w:val="true"/>
        </w:rPr>
        <w:t>"</w:t>
      </w:r>
      <w:r>
        <w:rPr>
          <w:rtl w:val="true"/>
        </w:rPr>
        <w:t>מהפך</w:t>
      </w:r>
      <w:r>
        <w:rPr>
          <w:rtl w:val="true"/>
        </w:rPr>
        <w:t xml:space="preserve">", </w:t>
      </w:r>
      <w:r>
        <w:rPr>
          <w:rtl w:val="true"/>
        </w:rPr>
        <w:t>הרי שלאור נסיבות חייו והעדר עבר פלילי מצא שירות המבחן ליתן את המלצתו כמפורט לעיל</w:t>
      </w:r>
      <w:r>
        <w:rPr>
          <w:rtl w:val="true"/>
        </w:rPr>
        <w:t xml:space="preserve">, </w:t>
      </w:r>
      <w:r>
        <w:rPr>
          <w:rtl w:val="true"/>
        </w:rPr>
        <w:t>באופן לגביו ציינה כי ייתכן שהוא מרחיק לכת בשלב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בערעור על נספחיו</w:t>
      </w:r>
      <w:r>
        <w:rPr>
          <w:rtl w:val="true"/>
        </w:rPr>
        <w:t xml:space="preserve">, </w:t>
      </w: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בטענות הצדדים כפי שנשמעו לפנינו ובמסמכים שהוגשו מטעם המערער במהלך הדיון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אמת המידה להתערבות ערכאת הערעור בעונש שהושת בערכאה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היא קיומה של טעות מהותית בגזר הדין או חריגה ניכרת מרמת הענישה הנוהגת או הראויה במקרים דומים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9168/18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ק</w:t>
      </w:r>
      <w:r>
        <w:rPr>
          <w:rFonts w:ascii="Miriam" w:hAnsi="Miriam" w:cs="Miriam"/>
          <w:szCs w:val="24"/>
          <w:rtl w:val="true"/>
        </w:rPr>
        <w:t>שו</w:t>
      </w:r>
      <w:r>
        <w:rPr>
          <w:rFonts w:ascii="Miriam" w:hAnsi="Miriam" w:cs="Miriam"/>
          <w:szCs w:val="24"/>
          <w:rtl w:val="true"/>
        </w:rPr>
        <w:t>ר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</w:t>
      </w:r>
      <w:r>
        <w:rPr>
          <w:rFonts w:ascii="Miriam" w:hAnsi="Miriam" w:cs="Miriam"/>
          <w:szCs w:val="24"/>
          <w:rtl w:val="true"/>
        </w:rPr>
        <w:t>ד</w:t>
      </w:r>
      <w:r>
        <w:rPr>
          <w:rFonts w:ascii="Miriam" w:hAnsi="Miriam" w:cs="Miriam"/>
          <w:szCs w:val="24"/>
          <w:rtl w:val="true"/>
        </w:rPr>
        <w:t>ינת ישרא</w:t>
      </w:r>
      <w:r>
        <w:rPr>
          <w:rFonts w:ascii="Miriam" w:hAnsi="Miriam" w:cs="Miriam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26.2.2019</w:t>
      </w:r>
      <w:r>
        <w:rPr>
          <w:rtl w:val="true"/>
        </w:rPr>
        <w:t xml:space="preserve">)), </w:t>
      </w:r>
      <w:r>
        <w:rPr>
          <w:rtl w:val="true"/>
        </w:rPr>
        <w:t>וזו אינה מתקיימת בעניינו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מתחם העונש ההולם שנקבע בגזר הדין עולה בקנה אחד עם מדיניות הענישה הנוהגת בעבירות סמים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8820/14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שח</w:t>
      </w:r>
      <w:r>
        <w:rPr>
          <w:rFonts w:ascii="Miriam" w:hAnsi="Miriam" w:cs="Miriam"/>
          <w:szCs w:val="24"/>
          <w:rtl w:val="true"/>
        </w:rPr>
        <w:t>ר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</w:t>
      </w:r>
      <w:r>
        <w:rPr>
          <w:rFonts w:ascii="Miriam" w:hAnsi="Miriam" w:cs="Miriam"/>
          <w:szCs w:val="24"/>
          <w:rtl w:val="true"/>
        </w:rPr>
        <w:t>ד</w:t>
      </w:r>
      <w:r>
        <w:rPr>
          <w:rFonts w:ascii="Miriam" w:hAnsi="Miriam" w:cs="Miriam"/>
          <w:szCs w:val="24"/>
          <w:rtl w:val="true"/>
        </w:rPr>
        <w:t>ינת ישרא</w:t>
      </w:r>
      <w:r>
        <w:rPr>
          <w:rFonts w:ascii="Miriam" w:hAnsi="Miriam" w:cs="Miriam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17.5.2015</w:t>
      </w:r>
      <w:r>
        <w:rPr>
          <w:rtl w:val="true"/>
        </w:rPr>
        <w:t xml:space="preserve">)), </w:t>
      </w:r>
      <w:r>
        <w:rPr>
          <w:rtl w:val="true"/>
        </w:rPr>
        <w:t>וזאת על רקע החומרה היתרה הנודעת בפסיקתו של בית משפט זה לעבירות סמים</w:t>
      </w:r>
      <w:r>
        <w:rPr>
          <w:rtl w:val="true"/>
        </w:rPr>
        <w:t xml:space="preserve">, </w:t>
      </w:r>
      <w:r>
        <w:rPr>
          <w:rtl w:val="true"/>
        </w:rPr>
        <w:t>כאשר מטבע הדברים קיים מנעד ענישה רחב הנגזר מסוג הסם</w:t>
      </w:r>
      <w:r>
        <w:rPr>
          <w:rtl w:val="true"/>
        </w:rPr>
        <w:t xml:space="preserve">,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 xml:space="preserve">נסיבות ההחזקה ועוד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9910/17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ג</w:t>
      </w:r>
      <w:r>
        <w:rPr>
          <w:rFonts w:ascii="Miriam" w:hAnsi="Miriam" w:cs="Miriam"/>
          <w:szCs w:val="24"/>
          <w:rtl w:val="true"/>
        </w:rPr>
        <w:t>ר</w:t>
      </w:r>
      <w:r>
        <w:rPr>
          <w:rFonts w:ascii="Miriam" w:hAnsi="Miriam" w:cs="Miriam"/>
          <w:szCs w:val="24"/>
          <w:rtl w:val="true"/>
        </w:rPr>
        <w:t>יפולינה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</w:t>
      </w:r>
      <w:r>
        <w:rPr>
          <w:rFonts w:ascii="Miriam" w:hAnsi="Miriam" w:cs="Miriam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3.5.2018</w:t>
      </w:r>
      <w:r>
        <w:rPr>
          <w:rtl w:val="true"/>
        </w:rPr>
        <w:t xml:space="preserve">)). </w:t>
      </w:r>
      <w:r>
        <w:rPr>
          <w:rtl w:val="true"/>
        </w:rPr>
        <w:t>בעניינו של המערער</w:t>
      </w:r>
      <w:r>
        <w:rPr>
          <w:rtl w:val="true"/>
        </w:rPr>
        <w:t xml:space="preserve">, </w:t>
      </w:r>
      <w:r>
        <w:rPr>
          <w:rtl w:val="true"/>
        </w:rPr>
        <w:t>עסקינן בהחזקת סם קשה מסוג קוקאין</w:t>
      </w:r>
      <w:r>
        <w:rPr>
          <w:rtl w:val="true"/>
        </w:rPr>
        <w:t xml:space="preserve">, </w:t>
      </w:r>
      <w:r>
        <w:rPr>
          <w:rtl w:val="true"/>
        </w:rPr>
        <w:t>שלא לצריכה עצמית</w:t>
      </w:r>
      <w:r>
        <w:rPr>
          <w:rtl w:val="true"/>
        </w:rPr>
        <w:t xml:space="preserve">, </w:t>
      </w:r>
      <w:r>
        <w:rPr>
          <w:rtl w:val="true"/>
        </w:rPr>
        <w:t>בכמות גדולה מאוד</w:t>
      </w:r>
      <w:r>
        <w:rPr>
          <w:rtl w:val="true"/>
        </w:rPr>
        <w:t xml:space="preserve">, </w:t>
      </w:r>
      <w:r>
        <w:rPr>
          <w:rtl w:val="true"/>
        </w:rPr>
        <w:t>כאשר הסם אף היה מחולק לעשרות רבות של מנות ונועד להספקה לאחרים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נציין כי לא מצאנו ליתן משקל ממשי לטעויות שנפלו בגזר הדין</w:t>
      </w:r>
      <w:r>
        <w:rPr>
          <w:rtl w:val="true"/>
        </w:rPr>
        <w:t xml:space="preserve">, </w:t>
      </w:r>
      <w:r>
        <w:rPr>
          <w:rtl w:val="true"/>
        </w:rPr>
        <w:t>שהעיקרית בהן היא ייחוס כמות נוספת של סם ברכבו של המערער במשקל של כ</w:t>
      </w:r>
      <w:r>
        <w:rPr>
          <w:rtl w:val="true"/>
        </w:rPr>
        <w:t>-</w:t>
      </w:r>
      <w:r>
        <w:rPr/>
        <w:t>0.37</w:t>
      </w:r>
      <w:r>
        <w:rPr>
          <w:rtl w:val="true"/>
        </w:rPr>
        <w:t xml:space="preserve">, </w:t>
      </w:r>
      <w:r>
        <w:rPr>
          <w:rtl w:val="true"/>
        </w:rPr>
        <w:t>בשעה שהכמות שנתפסה בבית העסק ושבהחזקתה הורשע המערער על פי הודאתו גדולה  עשרות מונים ועומדת על כ</w:t>
      </w:r>
      <w:r>
        <w:rPr>
          <w:rtl w:val="true"/>
        </w:rPr>
        <w:t>-</w:t>
      </w:r>
      <w:r>
        <w:rPr/>
        <w:t>678.86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  <w:r>
        <w:rPr>
          <w:rtl w:val="true"/>
        </w:rPr>
        <w:t>באשר למודעות המערער</w:t>
      </w:r>
      <w:r>
        <w:rPr>
          <w:rtl w:val="true"/>
        </w:rPr>
        <w:t xml:space="preserve">, </w:t>
      </w:r>
      <w:r>
        <w:rPr>
          <w:rtl w:val="true"/>
        </w:rPr>
        <w:t>ציין בית המשפט קמא כי ההגנה היא שטענה להעדר מודעות המערער</w:t>
      </w:r>
      <w:r>
        <w:rPr>
          <w:rtl w:val="true"/>
        </w:rPr>
        <w:t xml:space="preserve">, </w:t>
      </w:r>
      <w:r>
        <w:rPr>
          <w:rtl w:val="true"/>
        </w:rPr>
        <w:t>ולא כעולה מכתב הטענות בערעור</w:t>
      </w:r>
      <w:r>
        <w:rPr>
          <w:rtl w:val="true"/>
        </w:rPr>
        <w:t xml:space="preserve">, </w:t>
      </w:r>
      <w:r>
        <w:rPr>
          <w:rtl w:val="true"/>
        </w:rPr>
        <w:t>ומכל מקום העיון בגזר הדין מלמד כי ניתן משקל להודאת המערער בהחזקת הסם</w:t>
      </w:r>
      <w:r>
        <w:rPr>
          <w:rtl w:val="true"/>
        </w:rPr>
        <w:t xml:space="preserve">, </w:t>
      </w:r>
      <w:r>
        <w:rPr>
          <w:rtl w:val="true"/>
        </w:rPr>
        <w:t>לנטילת אחריות מצידו ולחרטתו ואין בטענה זו כדי לשמש בסיס להתערבות בגזר הדין</w:t>
      </w:r>
      <w:r>
        <w:rPr>
          <w:rtl w:val="true"/>
        </w:rPr>
        <w:t xml:space="preserve">. </w:t>
      </w:r>
      <w:r>
        <w:rPr>
          <w:rtl w:val="true"/>
        </w:rPr>
        <w:t>כך גם לא מצאנו כי בקביעת המתחם נשמטה נסיבה הקשורה לביצוע העבירה</w:t>
      </w:r>
      <w:r>
        <w:rPr>
          <w:rtl w:val="true"/>
        </w:rPr>
        <w:t xml:space="preserve">, </w:t>
      </w:r>
      <w:r>
        <w:rPr>
          <w:rtl w:val="true"/>
        </w:rPr>
        <w:t>משהנסיבות צוינו בגזר הדין ובאו לידי ביטוי במתחם שנקבע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הטענה לחריגה ממתחם העונש משיקולי שיקום אינה מגלה עילה להתערבות</w:t>
      </w:r>
      <w:r>
        <w:rPr>
          <w:rtl w:val="true"/>
        </w:rPr>
        <w:t xml:space="preserve">. </w:t>
      </w:r>
      <w:r>
        <w:rPr>
          <w:rtl w:val="true"/>
        </w:rPr>
        <w:t>לאחר עיון בתסקיר שירות המבחן בעניינו של המערער ולאחר שנשמעה הבהרה מפיה של נציגת שירות המבחן במהלך הדיון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לומר כי מתקיימים במערער התנאים הקבועים </w:t>
      </w:r>
      <w:hyperlink r:id="rId2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היינו כי השתקם או יש סיכוי של ממש שישתקם</w:t>
      </w:r>
      <w:r>
        <w:rPr>
          <w:rtl w:val="true"/>
        </w:rPr>
        <w:t xml:space="preserve">. </w:t>
      </w:r>
      <w:r>
        <w:rPr>
          <w:rtl w:val="true"/>
        </w:rPr>
        <w:t>מבלי להמעיט בחשיבות ובמשמעות השינוי בעמדת המערער</w:t>
      </w:r>
      <w:r>
        <w:rPr>
          <w:rtl w:val="true"/>
        </w:rPr>
        <w:t xml:space="preserve">, </w:t>
      </w:r>
      <w:r>
        <w:rPr>
          <w:rtl w:val="true"/>
        </w:rPr>
        <w:t>כאשר בתחילה ואף לאחר שמסר את הודאתו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הכחיש את ביצוע העבירה בפני שירות המבחן </w:t>
      </w:r>
      <w:r>
        <w:rPr>
          <w:rtl w:val="true"/>
        </w:rPr>
        <w:t>(</w:t>
      </w:r>
      <w:r>
        <w:rPr>
          <w:rtl w:val="true"/>
        </w:rPr>
        <w:t xml:space="preserve">תסקיר מיום </w:t>
      </w:r>
      <w:r>
        <w:rPr/>
        <w:t>10.9.2019</w:t>
      </w:r>
      <w:r>
        <w:rPr>
          <w:rtl w:val="true"/>
        </w:rPr>
        <w:t xml:space="preserve">) </w:t>
      </w:r>
      <w:r>
        <w:rPr>
          <w:rtl w:val="true"/>
        </w:rPr>
        <w:t>ובחלוף כשנה</w:t>
      </w:r>
      <w:r>
        <w:rPr>
          <w:rtl w:val="true"/>
        </w:rPr>
        <w:t xml:space="preserve">, </w:t>
      </w:r>
      <w:r>
        <w:rPr>
          <w:rtl w:val="true"/>
        </w:rPr>
        <w:t xml:space="preserve">בתסקיר השני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15.12.2020</w:t>
      </w:r>
      <w:r>
        <w:rPr>
          <w:rtl w:val="true"/>
        </w:rPr>
        <w:t xml:space="preserve">), </w:t>
      </w:r>
      <w:r>
        <w:rPr>
          <w:rtl w:val="true"/>
        </w:rPr>
        <w:t>נמצא כי הוא לוקח אחריות</w:t>
      </w:r>
      <w:r>
        <w:rPr>
          <w:rtl w:val="true"/>
        </w:rPr>
        <w:t xml:space="preserve">, </w:t>
      </w:r>
      <w:r>
        <w:rPr>
          <w:rtl w:val="true"/>
        </w:rPr>
        <w:t>מתחרט על מעשיו ומביע צער ובושה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התסקיר השני</w:t>
      </w:r>
      <w:r>
        <w:rPr>
          <w:rtl w:val="true"/>
        </w:rPr>
        <w:t xml:space="preserve">, </w:t>
      </w:r>
      <w:r>
        <w:rPr>
          <w:rtl w:val="true"/>
        </w:rPr>
        <w:t>מעלה כי המערער לא עבר כל הליך טיפולי</w:t>
      </w:r>
      <w:r>
        <w:rPr>
          <w:rtl w:val="true"/>
        </w:rPr>
        <w:t xml:space="preserve">, </w:t>
      </w:r>
      <w:r>
        <w:rPr>
          <w:rtl w:val="true"/>
        </w:rPr>
        <w:t>וכי הטיפול שבו נעזר הוא טיפול תרופתי ולא מעבר לכך</w:t>
      </w:r>
      <w:r>
        <w:rPr>
          <w:rtl w:val="true"/>
        </w:rPr>
        <w:t xml:space="preserve">. </w:t>
      </w:r>
      <w:r>
        <w:rPr>
          <w:rtl w:val="true"/>
        </w:rPr>
        <w:t>הדעת נותנת כי עבירה מהסוג שביצע המערער אינה פרי מעידה רגעית</w:t>
      </w:r>
      <w:r>
        <w:rPr>
          <w:rtl w:val="true"/>
        </w:rPr>
        <w:t xml:space="preserve">, </w:t>
      </w:r>
      <w:r>
        <w:rPr>
          <w:rtl w:val="true"/>
        </w:rPr>
        <w:t>ואין די בהכאה על חטא כדי להצביע על שיקומו של מי שעד לאותה עת ניהל אורח חיים נורמטיבי וחיובי והנה לפתע</w:t>
      </w:r>
      <w:r>
        <w:rPr>
          <w:rtl w:val="true"/>
        </w:rPr>
        <w:t xml:space="preserve">, </w:t>
      </w:r>
      <w:r>
        <w:rPr>
          <w:rtl w:val="true"/>
        </w:rPr>
        <w:t>הגם שעל רקע משברי כפי שצוין בתסקיר</w:t>
      </w:r>
      <w:r>
        <w:rPr>
          <w:rtl w:val="true"/>
        </w:rPr>
        <w:t xml:space="preserve">, </w:t>
      </w:r>
      <w:r>
        <w:rPr>
          <w:rtl w:val="true"/>
        </w:rPr>
        <w:t>ביצע עבירה כה חמורה המצריכה קשר עם גורמים עברייניים ואשר מעידה על מוכנות להשתתפות בפעילות פורצת חוק</w:t>
      </w:r>
      <w:r>
        <w:rPr>
          <w:rtl w:val="true"/>
        </w:rPr>
        <w:t xml:space="preserve">, </w:t>
      </w:r>
      <w:r>
        <w:rPr>
          <w:rtl w:val="true"/>
        </w:rPr>
        <w:t>כשעל פי הודאת המערער נועד הסם שהחזיק</w:t>
      </w:r>
      <w:r>
        <w:rPr>
          <w:rtl w:val="true"/>
        </w:rPr>
        <w:t xml:space="preserve">, </w:t>
      </w:r>
      <w:r>
        <w:rPr>
          <w:rtl w:val="true"/>
        </w:rPr>
        <w:t>כשהוא מחולק לעשרות מנות</w:t>
      </w:r>
      <w:r>
        <w:rPr>
          <w:rtl w:val="true"/>
        </w:rPr>
        <w:t xml:space="preserve">, </w:t>
      </w:r>
      <w:r>
        <w:rPr>
          <w:rtl w:val="true"/>
        </w:rPr>
        <w:t>להספקה לאחרים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שירות המבחן העריך כי הושגה הרתעה והצטמצם הסיכון להישנות העבירה</w:t>
      </w:r>
      <w:r>
        <w:rPr>
          <w:rtl w:val="true"/>
        </w:rPr>
        <w:t xml:space="preserve">, </w:t>
      </w:r>
      <w:r>
        <w:rPr>
          <w:rtl w:val="true"/>
        </w:rPr>
        <w:t>אולם לאור חומרת העבירה</w:t>
      </w:r>
      <w:r>
        <w:rPr>
          <w:rtl w:val="true"/>
        </w:rPr>
        <w:t xml:space="preserve">, </w:t>
      </w:r>
      <w:r>
        <w:rPr>
          <w:rtl w:val="true"/>
        </w:rPr>
        <w:t>אין די בכך כדי להשיג את האינטרס הציבורי המובהק בענישה מרתיעה והולמת בעבירות סמים אל מול שיקולי השיקום</w:t>
      </w:r>
      <w:r>
        <w:rPr>
          <w:rtl w:val="true"/>
        </w:rPr>
        <w:t xml:space="preserve">, </w:t>
      </w:r>
      <w:r>
        <w:rPr>
          <w:rtl w:val="true"/>
        </w:rPr>
        <w:t>על דרך של חריגה ממתחם העונש ההולם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 גם דברי נציגת שירות המבחן במהלך הדיון</w:t>
      </w:r>
      <w:r>
        <w:rPr>
          <w:rtl w:val="true"/>
        </w:rPr>
        <w:t xml:space="preserve">, </w:t>
      </w:r>
      <w:r>
        <w:rPr>
          <w:rtl w:val="true"/>
        </w:rPr>
        <w:t>שציינה כי ייתכן שעמדת השירות במקרה זה הרחיקה לכת</w:t>
      </w:r>
      <w:r>
        <w:rPr>
          <w:rtl w:val="true"/>
        </w:rPr>
        <w:t xml:space="preserve">, </w:t>
      </w:r>
      <w:r>
        <w:rPr>
          <w:rtl w:val="true"/>
        </w:rPr>
        <w:t>מצביעים על הקושי בקביעה ביחס לשיקומו של המערער בעת הזו</w:t>
      </w:r>
      <w:r>
        <w:rPr>
          <w:rtl w:val="true"/>
        </w:rPr>
        <w:t xml:space="preserve">.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תסקיר שירות המבחן הינו כלי עזר שאותו נדרש בית המשפט לבחון </w:t>
      </w:r>
      <w:r>
        <w:rPr>
          <w:rtl w:val="true"/>
        </w:rPr>
        <w:t>"</w:t>
      </w:r>
      <w:r>
        <w:rPr>
          <w:rtl w:val="true"/>
        </w:rPr>
        <w:t>בעין שיפוטית</w:t>
      </w:r>
      <w:r>
        <w:rPr>
          <w:rtl w:val="true"/>
        </w:rPr>
        <w:t xml:space="preserve">" </w:t>
      </w:r>
      <w:r>
        <w:rPr>
          <w:rtl w:val="true"/>
        </w:rPr>
        <w:t xml:space="preserve">ואין בו משום המלצה מחייבת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31.5.2018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קרנדל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משגם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שיקומי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tl w:val="true"/>
        </w:rPr>
        <w:t xml:space="preserve">).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כמותו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לאספקה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", </w:t>
      </w:r>
      <w:r>
        <w:rPr>
          <w:rtl w:val="true"/>
        </w:rPr>
        <w:t>המקימה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שהמלצתו של שירות המבחן לא התקבלה</w:t>
      </w:r>
      <w:r>
        <w:rPr>
          <w:rtl w:val="true"/>
        </w:rPr>
        <w:t xml:space="preserve">, </w:t>
      </w:r>
      <w:r>
        <w:rPr>
          <w:rtl w:val="true"/>
        </w:rPr>
        <w:t>ובצדק כאמור</w:t>
      </w:r>
      <w:r>
        <w:rPr>
          <w:rtl w:val="true"/>
        </w:rPr>
        <w:t xml:space="preserve">, </w:t>
      </w:r>
      <w:r>
        <w:rPr>
          <w:rtl w:val="true"/>
        </w:rPr>
        <w:t>הרי שניתן לה משקל בקביעת עונשו של המערער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שהועמד 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אף בא בגדרו של מתחם העונש שעליו עמדה ההגנה עצמה בטיעוניה בבית המשפט קמא וכן בפנינו</w:t>
      </w:r>
      <w:r>
        <w:rPr>
          <w:rtl w:val="true"/>
        </w:rPr>
        <w:t xml:space="preserve">, </w:t>
      </w:r>
      <w:r>
        <w:rPr>
          <w:rtl w:val="true"/>
        </w:rPr>
        <w:t>הגם שבגבולו העליון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ניתן להתרשם מדמותו החיובית של המערער ומעשייתו לטובת הקהילה</w:t>
      </w:r>
      <w:r>
        <w:rPr>
          <w:rtl w:val="true"/>
        </w:rPr>
        <w:t xml:space="preserve">, </w:t>
      </w:r>
      <w:r>
        <w:rPr>
          <w:rtl w:val="true"/>
        </w:rPr>
        <w:t>מנסיבות חייו</w:t>
      </w:r>
      <w:r>
        <w:rPr>
          <w:rtl w:val="true"/>
        </w:rPr>
        <w:t xml:space="preserve">, </w:t>
      </w:r>
      <w:r>
        <w:rPr>
          <w:rtl w:val="true"/>
        </w:rPr>
        <w:t>מהעדר עבר פלילי</w:t>
      </w:r>
      <w:r>
        <w:rPr>
          <w:rtl w:val="true"/>
        </w:rPr>
        <w:t xml:space="preserve">, </w:t>
      </w:r>
      <w:r>
        <w:rPr>
          <w:rtl w:val="true"/>
        </w:rPr>
        <w:t>ממצבו הרפואי והנפשי</w:t>
      </w:r>
      <w:r>
        <w:rPr>
          <w:rtl w:val="true"/>
        </w:rPr>
        <w:t xml:space="preserve">, </w:t>
      </w:r>
      <w:r>
        <w:rPr>
          <w:rtl w:val="true"/>
        </w:rPr>
        <w:t>מהשלכת העונש עליו ועל בת זוגו</w:t>
      </w:r>
      <w:r>
        <w:rPr>
          <w:rtl w:val="true"/>
        </w:rPr>
        <w:t xml:space="preserve">, </w:t>
      </w:r>
      <w:r>
        <w:rPr>
          <w:rtl w:val="true"/>
        </w:rPr>
        <w:t>מקיום התנאים המגבילים שהושתו עליו במהלך ההליך לאורך תקופה ממושכת</w:t>
      </w:r>
      <w:r>
        <w:rPr>
          <w:rtl w:val="true"/>
        </w:rPr>
        <w:t xml:space="preserve">, </w:t>
      </w:r>
      <w:r>
        <w:rPr>
          <w:rtl w:val="true"/>
        </w:rPr>
        <w:t>וכן מחרטתו ומתחושות הצער והבושה האוחזות בו</w:t>
      </w:r>
      <w:r>
        <w:rPr>
          <w:rtl w:val="true"/>
        </w:rPr>
        <w:t xml:space="preserve">, </w:t>
      </w:r>
      <w:r>
        <w:rPr>
          <w:rtl w:val="true"/>
        </w:rPr>
        <w:t>שיש בהן כדי להעיד על הבנת הפסול שבמעשים ועל חריגותם בנוף חייו</w:t>
      </w:r>
      <w:r>
        <w:rPr>
          <w:rtl w:val="true"/>
        </w:rPr>
        <w:t xml:space="preserve">. </w:t>
      </w:r>
      <w:r>
        <w:rPr>
          <w:rtl w:val="true"/>
        </w:rPr>
        <w:t>נסיבות אלו כולן</w:t>
      </w:r>
      <w:r>
        <w:rPr>
          <w:rtl w:val="true"/>
        </w:rPr>
        <w:t xml:space="preserve">, </w:t>
      </w:r>
      <w:r>
        <w:rPr>
          <w:rtl w:val="true"/>
        </w:rPr>
        <w:t>צוינו בגזר הדין</w:t>
      </w:r>
      <w:r>
        <w:rPr>
          <w:rtl w:val="true"/>
        </w:rPr>
        <w:t xml:space="preserve">, </w:t>
      </w:r>
      <w:r>
        <w:rPr>
          <w:rtl w:val="true"/>
        </w:rPr>
        <w:t>ואין לומר כי לא קיבלו משקל הולם</w:t>
      </w:r>
      <w:r>
        <w:rPr>
          <w:rtl w:val="true"/>
        </w:rPr>
        <w:t xml:space="preserve">, </w:t>
      </w:r>
      <w:r>
        <w:rPr>
          <w:rtl w:val="true"/>
        </w:rPr>
        <w:t>באשר העבירה שעליה נותן המערער את הדין חמורה</w:t>
      </w:r>
      <w:r>
        <w:rPr>
          <w:rtl w:val="true"/>
        </w:rPr>
        <w:t xml:space="preserve">, </w:t>
      </w:r>
      <w:r>
        <w:rPr>
          <w:rtl w:val="true"/>
        </w:rPr>
        <w:t>בשל סוג הסם וכמותו</w:t>
      </w:r>
      <w:r>
        <w:rPr>
          <w:rtl w:val="true"/>
        </w:rPr>
        <w:t xml:space="preserve">, </w:t>
      </w:r>
      <w:r>
        <w:rPr>
          <w:rtl w:val="true"/>
        </w:rPr>
        <w:t xml:space="preserve">ובמקרים מסוג זה משקלן של הנסיבות האישיות נסוג אל מול האינטרס הציבורי במלחמה בנגע הסמים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6886/17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מרסל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</w:t>
      </w:r>
      <w:r>
        <w:rPr>
          <w:rFonts w:ascii="Miriam" w:hAnsi="Miriam" w:cs="Miriam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24.4.2018</w:t>
      </w:r>
      <w:r>
        <w:rPr>
          <w:rtl w:val="true"/>
        </w:rPr>
        <w:t xml:space="preserve">)). </w:t>
      </w:r>
      <w:r>
        <w:rPr>
          <w:rtl w:val="true"/>
        </w:rPr>
        <w:t>והדברים נכונים גם במקרה זה לאור סוג הסם</w:t>
      </w:r>
      <w:r>
        <w:rPr>
          <w:rtl w:val="true"/>
        </w:rPr>
        <w:t xml:space="preserve">, </w:t>
      </w:r>
      <w:r>
        <w:rPr>
          <w:rtl w:val="true"/>
        </w:rPr>
        <w:t>כמותו הגדולה והודאתו של המערער כי הוא נועד להספקה לאחרים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הסכמת המשיבה</w:t>
      </w:r>
      <w:r>
        <w:rPr>
          <w:rtl w:val="true"/>
        </w:rPr>
        <w:t xml:space="preserve">, </w:t>
      </w:r>
      <w:r>
        <w:rPr>
          <w:rtl w:val="true"/>
        </w:rPr>
        <w:t>אנו מורים על ביטול הכרזתו של המערער כסוחר סמים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החלטנו לדחות את הערעור ולהותיר את העונש על כנו</w:t>
      </w:r>
      <w:r>
        <w:rPr>
          <w:rtl w:val="true"/>
        </w:rPr>
        <w:t xml:space="preserve">. </w:t>
      </w:r>
      <w:r>
        <w:rPr>
          <w:rtl w:val="true"/>
        </w:rPr>
        <w:t xml:space="preserve">כאמור בהחלטה מיום </w:t>
      </w:r>
      <w:r>
        <w:rPr/>
        <w:t>15.2.2021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יתייצב לריצוי עונשו בימ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ניצן ביום </w:t>
      </w:r>
      <w:r>
        <w:rPr>
          <w:rFonts w:cs="Century" w:ascii="Century" w:hAnsi="Century"/>
        </w:rPr>
        <w:t>5.4.2021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השעה </w:t>
      </w:r>
      <w:r>
        <w:rPr>
          <w:rFonts w:cs="Century" w:ascii="Century" w:hAnsi="Century"/>
        </w:rPr>
        <w:t>10:00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</w:t>
      </w:r>
      <w:r>
        <w:rPr>
          <w:rtl w:val="true"/>
        </w:rPr>
        <w:t>שברשותו תעודת זהות</w:t>
      </w:r>
      <w:r>
        <w:rPr>
          <w:rtl w:val="true"/>
        </w:rPr>
        <w:t xml:space="preserve">. </w:t>
      </w:r>
      <w:r>
        <w:rPr>
          <w:rtl w:val="true"/>
        </w:rPr>
        <w:t>על המערער לתאם את הכניסה למאסר 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 xml:space="preserve">טלפונים </w:t>
      </w:r>
      <w:r>
        <w:rPr/>
        <w:t>08-9787377</w:t>
      </w:r>
      <w:r>
        <w:rPr>
          <w:rtl w:val="true"/>
        </w:rPr>
        <w:t xml:space="preserve">,         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31.3.2021</w:t>
      </w:r>
      <w:r>
        <w:rPr>
          <w:rtl w:val="true"/>
        </w:rPr>
        <w:t xml:space="preserve">). </w:t>
      </w:r>
      <w:bookmarkEnd w:id="15"/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color w:val="FFFFFF"/>
          <w:sz w:val="2"/>
          <w:szCs w:val="2"/>
        </w:rPr>
      </w:pPr>
      <w:r>
        <w:rPr>
          <w:rFonts w:cs="Arial TUR;Arial" w:ascii="Arial TUR;Arial" w:hAnsi="Arial TUR;Arial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21009710</w:t>
      </w:r>
      <w:r>
        <w:rPr>
          <w:sz w:val="16"/>
          <w:rtl w:val="true"/>
        </w:rPr>
        <w:t>_</w:t>
      </w:r>
      <w:r>
        <w:rPr>
          <w:sz w:val="16"/>
        </w:rPr>
        <w:t>Q04.docx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54678313-971/21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971/21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עמנואל אמאצ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0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0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04587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/40d.b" TargetMode="External"/><Relationship Id="rId9" Type="http://schemas.openxmlformats.org/officeDocument/2006/relationships/hyperlink" Target="http://www.nevo.co.il/law/70301/40d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d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d.b" TargetMode="External"/><Relationship Id="rId14" Type="http://schemas.openxmlformats.org/officeDocument/2006/relationships/hyperlink" Target="http://www.nevo.co.il/case/25204587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case/22938500" TargetMode="External"/><Relationship Id="rId19" Type="http://schemas.openxmlformats.org/officeDocument/2006/relationships/hyperlink" Target="http://www.nevo.co.il/case/24140838" TargetMode="External"/><Relationship Id="rId20" Type="http://schemas.openxmlformats.org/officeDocument/2006/relationships/hyperlink" Target="http://www.nevo.co.il/case/18753213" TargetMode="External"/><Relationship Id="rId21" Type="http://schemas.openxmlformats.org/officeDocument/2006/relationships/hyperlink" Target="http://www.nevo.co.il/case/23751286" TargetMode="External"/><Relationship Id="rId22" Type="http://schemas.openxmlformats.org/officeDocument/2006/relationships/hyperlink" Target="http://www.nevo.co.il/law/70301/40d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3750488" TargetMode="External"/><Relationship Id="rId25" Type="http://schemas.openxmlformats.org/officeDocument/2006/relationships/hyperlink" Target="http://www.nevo.co.il/law/70301/40d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d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2961884" TargetMode="External"/><Relationship Id="rId30" Type="http://schemas.openxmlformats.org/officeDocument/2006/relationships/hyperlink" Target="http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2021-04-04T08:54:00Z</dcterms:created>
  <dc:creator>h4</dc:creator>
  <dc:description/>
  <cp:keywords/>
  <dc:language>en-IL</dc:language>
  <cp:lastModifiedBy>orly</cp:lastModifiedBy>
  <cp:lastPrinted>2021-03-31T14:07:00Z</cp:lastPrinted>
  <dcterms:modified xsi:type="dcterms:W3CDTF">2021-04-04T08:54:00Z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עמנואל אמאצ'י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25204587:2;22938500;24140838;18753213;23751286;23750488;22961884</vt:lpwstr>
  </property>
  <property fmtid="{D5CDD505-2E9C-101B-9397-08002B2CF9AE}" pid="9" name="CITY">
    <vt:lpwstr/>
  </property>
  <property fmtid="{D5CDD505-2E9C-101B-9397-08002B2CF9AE}" pid="10" name="DATE">
    <vt:lpwstr>20210331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קרא;א' שטיין;א' חיות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70301/040d.a:2;040d.b</vt:lpwstr>
  </property>
  <property fmtid="{D5CDD505-2E9C-101B-9397-08002B2CF9AE}" pid="16" name="LAWYER">
    <vt:lpwstr>אופיר ביתן;ברכה וייס;אלון ארז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דיון פלילי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ערעור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1446;1446;1446;1446;504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מתחם הענישה</vt:lpwstr>
  </property>
  <property fmtid="{D5CDD505-2E9C-101B-9397-08002B2CF9AE}" pid="52" name="NOSE33">
    <vt:lpwstr>שיקום</vt:lpwstr>
  </property>
  <property fmtid="{D5CDD505-2E9C-101B-9397-08002B2CF9AE}" pid="53" name="NOSE34">
    <vt:lpwstr>הבניית שיקול הדעת השיפוטי בענישה</vt:lpwstr>
  </property>
  <property fmtid="{D5CDD505-2E9C-101B-9397-08002B2CF9AE}" pid="54" name="NOSE35">
    <vt:lpwstr>אי-התערבות במידת העונש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8991;14985;17420;15573;17039</vt:lpwstr>
  </property>
  <property fmtid="{D5CDD505-2E9C-101B-9397-08002B2CF9AE}" pid="60" name="PADIDATE">
    <vt:lpwstr>20210404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971</vt:lpwstr>
  </property>
  <property fmtid="{D5CDD505-2E9C-101B-9397-08002B2CF9AE}" pid="66" name="PROCYEAR">
    <vt:lpwstr>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410120210331</vt:lpwstr>
  </property>
  <property fmtid="{D5CDD505-2E9C-101B-9397-08002B2CF9AE}" pid="70" name="TYPE_N_DATE">
    <vt:lpwstr>41020210331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