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9741/16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אסלן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.,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1.12.16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21304-10-14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ט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23.5.2018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גולברי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</w:t>
      </w:r>
    </w:p>
    <w:p>
      <w:pPr>
        <w:pStyle w:val="Ruller31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יובל מרין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מבט פמיניסטי על דיני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97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יח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1957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ערעור על הרשעת המערער בביצוע עבירות של אינוס ומעשה סדום בקטינה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להתערבות בממצאי עובדה ומהימנות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לפיהם המתלוננת לא הסכימה לקיום יחסי מין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אין זה מקרה חריג המצדיק התערבות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עמידה על מדיניות הענישה המחמירה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סתירות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במסגרתם הורשע המערער בעבירות של אינוס 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ומעשה סדום בקטינה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ונגזר עליו עונש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תנאי ותשלום פיצויים למתלוננת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הנדל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נוטה להתערב בממצאי עובדה ומהימנות של הערכאה הדיונית 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מכיוון שהיא חסרה את היכולת להתרשם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בלתי 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מהעדים ומהראיות שהוצגו בפני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של כלל אי ההתערבות נכון ביתר שאת לגבי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פגם בקביעותיו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בדבר סתירות בעדות המתלוננת הפוגמות במהימנותה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הסתירות הנטענות הן בעניינים לא מהותיים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 משליכים כלל על השאלה העיקרית שניצבה לפתחו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– האם הסכימה המתלוננת לקיים יחסי מין עם המערער 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החיזוקים הקיימים לעדותה של המתלוננת מבססים את הרשעת המערער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חיזוקים שהם בבחינת 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די בעדות המתלוננת כעדות יחידה להרשעת המערער במיוחס לו בכפוף לחובת ההנמקה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ניסיונו של המערער לקעקע את אמינות המתלוננת על ידי הפניית זרקור לעבר עברה המיני ויתר מעשיה באותו 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 ואחרי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ושאלת היות המתלוננת שיכורה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רלבנטיות לעניין שאלת ההסכמה לקיום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בחן את עיקרי גרסת המתלוננת כי המערער קיים עמה יחסי מין מלאים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הסכמתה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ומצא מספר חיזוקים לגרסה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מצבה הנפשי הנסער של המתלוננת מיד לאחר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הודעות ששלחה המתלוננת בעת האירוע לחבריה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השינוי לרעה שחל במצבה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התנצלות המערער על התנהלותו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 כי המערער לא נתן הסבר מניח את הדעת למוטיבציה של המתלוננת להגיש נגדו תלונת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שלא הייתה בין השניים כל היכרות מוקדמת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טעות במצב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הביעה מידית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שאינו משתמע לשני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חוסר הסכמתה לקיום יחסי מין מלאים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לפי גרסת המערער הוא הבחין במצוקתה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חוסר הסכמה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חדל 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להתערבות בהכרעת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ובראשן החמורות שבהן – העבירות של אינוס ושל מעשי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בין העבירות החמורות והמכוערות המנויות בחוק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הן פוצעות את הקורבנות בגוף ובנפש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הולם אותן עונש מאסר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קבעה הפסיקה מדיניות ענישה מחמירה ביותר בעבירות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נתן דעתו לכלל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התעלם מגילו הצעיר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מעברו הפלילי הנקי ומיתר 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מקרה חריג המצדיק התערבות בגזר הדין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19.7.2016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1.12.2016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יפרח</w:t>
      </w:r>
      <w:r>
        <w:rPr>
          <w:rtl w:val="true"/>
        </w:rPr>
        <w:t xml:space="preserve">)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21304-10-14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ascii="Century" w:hAnsi="Century" w:cs="Century"/>
          <w:rtl w:val="true"/>
        </w:rPr>
        <w:t xml:space="preserve"> מתחת לגיל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27.9.2014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01:40</w:t>
      </w:r>
      <w:r>
        <w:rPr>
          <w:rtl w:val="true"/>
        </w:rPr>
        <w:t xml:space="preserve"> </w:t>
      </w:r>
      <w:r>
        <w:rPr>
          <w:rtl w:val="true"/>
        </w:rPr>
        <w:t xml:space="preserve">לערך הגיע המערער לתחנת דלק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הדלק</w:t>
      </w:r>
      <w:r>
        <w:rPr>
          <w:rtl w:val="true"/>
        </w:rPr>
        <w:t xml:space="preserve">) </w:t>
      </w:r>
      <w:r>
        <w:rPr>
          <w:rtl w:val="true"/>
        </w:rPr>
        <w:t>עם רכבו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יפ מסוג </w:t>
      </w:r>
      <w:r>
        <w:rPr>
          <w:rtl w:val="true"/>
        </w:rPr>
        <w:t>"</w:t>
      </w:r>
      <w:r>
        <w:rPr>
          <w:rtl w:val="true"/>
        </w:rPr>
        <w:t>יונדאי</w:t>
      </w:r>
      <w:r>
        <w:rPr>
          <w:rtl w:val="true"/>
        </w:rPr>
        <w:t xml:space="preserve">", </w:t>
      </w:r>
      <w:r>
        <w:rPr>
          <w:rtl w:val="true"/>
        </w:rPr>
        <w:t>שם פגש את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נערה כבת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באותו מועד</w:t>
      </w:r>
      <w:r>
        <w:rPr>
          <w:rtl w:val="true"/>
        </w:rPr>
        <w:t xml:space="preserve">, </w:t>
      </w:r>
      <w:r>
        <w:rPr>
          <w:rtl w:val="true"/>
        </w:rPr>
        <w:t>עמה לא הייתה לו היכרות מוקדמת</w:t>
      </w:r>
      <w:r>
        <w:rPr>
          <w:rtl w:val="true"/>
        </w:rPr>
        <w:t xml:space="preserve">. </w:t>
      </w:r>
      <w:r>
        <w:rPr>
          <w:rtl w:val="true"/>
        </w:rPr>
        <w:t>המתלוננת בילתה עם חבריה בחנות הנוחות הצמודה לתחנת הדלק</w:t>
      </w:r>
      <w:r>
        <w:rPr>
          <w:rtl w:val="true"/>
        </w:rPr>
        <w:t xml:space="preserve">. </w:t>
      </w:r>
      <w:r>
        <w:rPr>
          <w:rtl w:val="true"/>
        </w:rPr>
        <w:t>בעקבות שיחה בין המערער לבין בחור בשם עמית</w:t>
      </w:r>
      <w:r>
        <w:rPr>
          <w:rtl w:val="true"/>
        </w:rPr>
        <w:t xml:space="preserve">, </w:t>
      </w:r>
      <w:r>
        <w:rPr>
          <w:rtl w:val="true"/>
        </w:rPr>
        <w:t>אחד מהחברים איתם בילתה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במהלכה סיפר עמית למערער כי המתלוננת </w:t>
      </w:r>
      <w:r>
        <w:rPr>
          <w:rtl w:val="true"/>
        </w:rPr>
        <w:t>"</w:t>
      </w:r>
      <w:r>
        <w:rPr>
          <w:rtl w:val="true"/>
        </w:rPr>
        <w:t>נותנת</w:t>
      </w:r>
      <w:r>
        <w:rPr>
          <w:rtl w:val="true"/>
        </w:rPr>
        <w:t xml:space="preserve">", </w:t>
      </w:r>
      <w:r>
        <w:rPr>
          <w:rtl w:val="true"/>
        </w:rPr>
        <w:t>הציע לה המערער לנהוג ברכבו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שהייתה נתונה באותה עת תחת השפעת אלכוהול</w:t>
      </w:r>
      <w:r>
        <w:rPr>
          <w:rtl w:val="true"/>
        </w:rPr>
        <w:t xml:space="preserve">, </w:t>
      </w:r>
      <w:r>
        <w:rPr>
          <w:rtl w:val="true"/>
        </w:rPr>
        <w:t>נכנסה אל הרכב והשניים נסעו מרחק קצר ועצרו בסמוך לאתר בנייה בקרבת מקום</w:t>
      </w:r>
      <w:r>
        <w:rPr>
          <w:rtl w:val="true"/>
        </w:rPr>
        <w:t xml:space="preserve">. </w:t>
      </w:r>
      <w:r>
        <w:rPr>
          <w:rtl w:val="true"/>
        </w:rPr>
        <w:t>לאחר שעזבו השניים את תחנת הדלק</w:t>
      </w:r>
      <w:r>
        <w:rPr>
          <w:rtl w:val="true"/>
        </w:rPr>
        <w:t xml:space="preserve">, </w:t>
      </w:r>
      <w:r>
        <w:rPr>
          <w:rtl w:val="true"/>
        </w:rPr>
        <w:t>חבריה של המתלוננת ניסו להתקשר אליה מספר רב של פעמים אך המערער אמר לה שלא לענות לטלפון שברשותה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בשלב זה החל המערער לנשק את המערערת ואף שלח ידיו לעבר תחתוניה</w:t>
      </w:r>
      <w:r>
        <w:rPr>
          <w:rtl w:val="true"/>
        </w:rPr>
        <w:t xml:space="preserve">. </w:t>
      </w:r>
      <w:r>
        <w:rPr>
          <w:rtl w:val="true"/>
        </w:rPr>
        <w:t>המתלוננת ביקשה מהמערער לחדול ממעשיו</w:t>
      </w:r>
      <w:r>
        <w:rPr>
          <w:rtl w:val="true"/>
        </w:rPr>
        <w:t xml:space="preserve">, </w:t>
      </w:r>
      <w:r>
        <w:rPr>
          <w:rtl w:val="true"/>
        </w:rPr>
        <w:t>אך זה אמר לה לעבור למושב האחורי</w:t>
      </w:r>
      <w:r>
        <w:rPr>
          <w:rtl w:val="true"/>
        </w:rPr>
        <w:t xml:space="preserve">. </w:t>
      </w:r>
      <w:r>
        <w:rPr>
          <w:rtl w:val="true"/>
        </w:rPr>
        <w:t>היא נענתה לבקשתו ואף ביצעה בו מין אוראלי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בשל פחד מהמערער</w:t>
      </w:r>
      <w:r>
        <w:rPr>
          <w:rtl w:val="true"/>
        </w:rPr>
        <w:t xml:space="preserve">. </w:t>
      </w:r>
      <w:r>
        <w:rPr>
          <w:rtl w:val="true"/>
        </w:rPr>
        <w:t>בשלב זה הסיר המערער את תחתוני המתלוננת</w:t>
      </w:r>
      <w:r>
        <w:rPr>
          <w:rtl w:val="true"/>
        </w:rPr>
        <w:t xml:space="preserve">, </w:t>
      </w:r>
      <w:r>
        <w:rPr>
          <w:rtl w:val="true"/>
        </w:rPr>
        <w:t>הושיבה עליו והחדיר את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המתלוננת ביקשה מהמערער שיפסיק</w:t>
      </w:r>
      <w:r>
        <w:rPr>
          <w:rtl w:val="true"/>
        </w:rPr>
        <w:t xml:space="preserve">, </w:t>
      </w:r>
      <w:r>
        <w:rPr>
          <w:rtl w:val="true"/>
        </w:rPr>
        <w:t>אמרה לו שכואב לה</w:t>
      </w:r>
      <w:r>
        <w:rPr>
          <w:rtl w:val="true"/>
        </w:rPr>
        <w:t xml:space="preserve">, </w:t>
      </w:r>
      <w:r>
        <w:rPr>
          <w:rtl w:val="true"/>
        </w:rPr>
        <w:t>שהיא בתולה ושהוא ללא קונדום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חדל ממעשיו והחל בנסיעה לחנות נוחות בתחנת הדלק </w:t>
      </w:r>
      <w:r>
        <w:rPr>
          <w:rtl w:val="true"/>
        </w:rPr>
        <w:t>"</w:t>
      </w:r>
      <w:r>
        <w:rPr>
          <w:rtl w:val="true"/>
        </w:rPr>
        <w:t>סונול</w:t>
      </w:r>
      <w:r>
        <w:rPr>
          <w:rtl w:val="true"/>
        </w:rPr>
        <w:t xml:space="preserve">" </w:t>
      </w:r>
      <w:r>
        <w:rPr>
          <w:rtl w:val="true"/>
        </w:rPr>
        <w:t>בקרבת מקום</w:t>
      </w:r>
      <w:r>
        <w:rPr>
          <w:rtl w:val="true"/>
        </w:rPr>
        <w:t xml:space="preserve">, </w:t>
      </w:r>
      <w:r>
        <w:rPr>
          <w:rtl w:val="true"/>
        </w:rPr>
        <w:t>על מנת לקנות קונדום</w:t>
      </w:r>
      <w:r>
        <w:rPr>
          <w:rtl w:val="true"/>
        </w:rPr>
        <w:t xml:space="preserve">. </w:t>
      </w:r>
      <w:r>
        <w:rPr>
          <w:rtl w:val="true"/>
        </w:rPr>
        <w:t>אותה עת נותרה המתלוננת שרועה במושב האחורי של הרכב</w:t>
      </w:r>
      <w:r>
        <w:rPr>
          <w:rtl w:val="true"/>
        </w:rPr>
        <w:t xml:space="preserve">. </w:t>
      </w:r>
      <w:r>
        <w:rPr>
          <w:rtl w:val="true"/>
        </w:rPr>
        <w:t>בעוד המערער יצא לקנות קונדומים</w:t>
      </w:r>
      <w:r>
        <w:rPr>
          <w:rtl w:val="true"/>
        </w:rPr>
        <w:t xml:space="preserve">, </w:t>
      </w:r>
      <w:r>
        <w:rPr>
          <w:rtl w:val="true"/>
        </w:rPr>
        <w:t>המתלוננת החלה לשלוח הודעות טקסט בקבוצת ווטס</w:t>
      </w:r>
      <w:r>
        <w:rPr>
          <w:rtl w:val="true"/>
        </w:rPr>
        <w:t>-</w:t>
      </w:r>
      <w:r>
        <w:rPr>
          <w:rtl w:val="true"/>
        </w:rPr>
        <w:t>אפ של חבריה בהן כתבה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 "</w:t>
      </w:r>
      <w:r>
        <w:rPr>
          <w:rtl w:val="true"/>
        </w:rPr>
        <w:t>ילד אחד לקח אותי באוטו</w:t>
      </w:r>
      <w:r>
        <w:rPr>
          <w:rtl w:val="true"/>
        </w:rPr>
        <w:t>", "</w:t>
      </w:r>
      <w:r>
        <w:rPr>
          <w:rtl w:val="true"/>
        </w:rPr>
        <w:t>הוא מנסה ל</w:t>
      </w:r>
      <w:r>
        <w:rPr>
          <w:rtl w:val="true"/>
        </w:rPr>
        <w:t>'</w:t>
      </w:r>
      <w:r>
        <w:rPr>
          <w:rtl w:val="true"/>
        </w:rPr>
        <w:t>זיין אותי</w:t>
      </w:r>
      <w:r>
        <w:rPr>
          <w:rtl w:val="true"/>
        </w:rPr>
        <w:t>'", "</w:t>
      </w:r>
      <w:r>
        <w:rPr>
          <w:rtl w:val="true"/>
        </w:rPr>
        <w:t>הוא מכריח אות</w:t>
      </w:r>
      <w:r>
        <w:rPr>
          <w:rtl w:val="true"/>
        </w:rPr>
        <w:t xml:space="preserve">. </w:t>
      </w:r>
      <w:r>
        <w:rPr>
          <w:rtl w:val="true"/>
        </w:rPr>
        <w:t>לנתק את הטלפון</w:t>
      </w:r>
      <w:r>
        <w:rPr>
          <w:rtl w:val="true"/>
        </w:rPr>
        <w:t>", "</w:t>
      </w:r>
      <w:r>
        <w:rPr>
          <w:rtl w:val="true"/>
        </w:rPr>
        <w:t>הוא מנסה לאנוסס אותי</w:t>
      </w:r>
      <w:r>
        <w:rPr>
          <w:rtl w:val="true"/>
        </w:rPr>
        <w:t>", "</w:t>
      </w:r>
      <w:r>
        <w:rPr>
          <w:rtl w:val="true"/>
        </w:rPr>
        <w:t>אני מתחננתתתת</w:t>
      </w:r>
      <w:r>
        <w:rPr>
          <w:rtl w:val="true"/>
        </w:rPr>
        <w:t>", "</w:t>
      </w:r>
      <w:r>
        <w:rPr>
          <w:rtl w:val="true"/>
        </w:rPr>
        <w:t>תעזרו לי</w:t>
      </w:r>
      <w:r>
        <w:rPr>
          <w:rtl w:val="true"/>
        </w:rPr>
        <w:t xml:space="preserve">", </w:t>
      </w:r>
      <w:r>
        <w:rPr>
          <w:rtl w:val="true"/>
        </w:rPr>
        <w:t>אני בוכה</w:t>
      </w:r>
      <w:r>
        <w:rPr>
          <w:rtl w:val="true"/>
        </w:rPr>
        <w:t>", "</w:t>
      </w:r>
      <w:r>
        <w:rPr>
          <w:rtl w:val="true"/>
        </w:rPr>
        <w:t>הוא לקח אותי</w:t>
      </w:r>
      <w:r>
        <w:rPr>
          <w:rtl w:val="true"/>
        </w:rPr>
        <w:t>", "</w:t>
      </w:r>
      <w:r>
        <w:rPr>
          <w:rtl w:val="true"/>
        </w:rPr>
        <w:t>תעזרו לי</w:t>
      </w:r>
      <w:r>
        <w:rPr>
          <w:rtl w:val="true"/>
        </w:rPr>
        <w:t>" (</w:t>
      </w:r>
      <w:r>
        <w:rPr>
          <w:rtl w:val="true"/>
        </w:rPr>
        <w:t xml:space="preserve">השגיאות במקור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לאחר מספר דקות שב המערער לרכב</w:t>
      </w:r>
      <w:r>
        <w:rPr>
          <w:rtl w:val="true"/>
        </w:rPr>
        <w:t xml:space="preserve">, </w:t>
      </w:r>
      <w:r>
        <w:rPr>
          <w:rtl w:val="true"/>
        </w:rPr>
        <w:t>ואז החדיר את איבר מינו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  <w:r>
        <w:rPr>
          <w:rtl w:val="true"/>
        </w:rPr>
        <w:t>למרות התנגדותה של המתלוננת</w:t>
      </w:r>
      <w:r>
        <w:rPr>
          <w:rtl w:val="true"/>
        </w:rPr>
        <w:t xml:space="preserve">, </w:t>
      </w:r>
      <w:r>
        <w:rPr>
          <w:rtl w:val="true"/>
        </w:rPr>
        <w:t>לא חדל המערער ממעשיו והחדיר את איבר מינו גם לפי הטבעת שלה תוך שהיא צועקת ובוכה שכואב לה</w:t>
      </w:r>
      <w:r>
        <w:rPr>
          <w:rtl w:val="true"/>
        </w:rPr>
        <w:t xml:space="preserve">. </w:t>
      </w:r>
      <w:r>
        <w:rPr>
          <w:rtl w:val="true"/>
        </w:rPr>
        <w:t>רק בשלב זה חדל המערער ממעשיו ואחד מחבריו שהגיע למקום הסיע את המתלוננת חזרה לתחנת הדלק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כפר בביצוע המעשים אשר יוחסו לו</w:t>
      </w:r>
      <w:r>
        <w:rPr>
          <w:rtl w:val="true"/>
        </w:rPr>
        <w:t xml:space="preserve">. </w:t>
      </w:r>
      <w:r>
        <w:rPr>
          <w:rtl w:val="true"/>
        </w:rPr>
        <w:t>הוא לא הכחיש את מרבית המסכת העובדתית שתוארה לעיל</w:t>
      </w:r>
      <w:r>
        <w:rPr>
          <w:rtl w:val="true"/>
        </w:rPr>
        <w:t xml:space="preserve">, </w:t>
      </w:r>
      <w:r>
        <w:rPr>
          <w:rtl w:val="true"/>
        </w:rPr>
        <w:t>אך לטענתו יחסי המין שקיים עם המתלוננת היו בהסכמה והיא אף הייתה הגורם היוזם לאורך כל הדרך</w:t>
      </w:r>
      <w:r>
        <w:rPr>
          <w:rtl w:val="true"/>
        </w:rPr>
        <w:t xml:space="preserve">. </w:t>
      </w:r>
      <w:r>
        <w:rPr>
          <w:rtl w:val="true"/>
        </w:rPr>
        <w:t>המערער אף לא הכחיש כי המתלוננת ביקשה ממנו לחדול ובכתה במהלך המפגש ביניהם</w:t>
      </w:r>
      <w:r>
        <w:rPr>
          <w:rtl w:val="true"/>
        </w:rPr>
        <w:t xml:space="preserve">, </w:t>
      </w:r>
      <w:r>
        <w:rPr>
          <w:rtl w:val="true"/>
        </w:rPr>
        <w:t>אך לטענתו הפסיק את מעשיו ברגע שהיא ביקשה זאת 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בהכרעת דין מקיפה שהתבססה על עדותה של המתלוננת</w:t>
      </w:r>
      <w:r>
        <w:rPr>
          <w:rtl w:val="true"/>
        </w:rPr>
        <w:t xml:space="preserve">, </w:t>
      </w:r>
      <w:r>
        <w:rPr>
          <w:rtl w:val="true"/>
        </w:rPr>
        <w:t>עדויות נוספות התומכות בגרסתה וראיות תומכות נוספות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פה אחד את המערער בביצוע המעשים שיוחסו לו בכתב 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ביכר את גרסתה של המתלוננת על פני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ומצא כי היא </w:t>
      </w:r>
      <w:r>
        <w:rPr>
          <w:rtl w:val="true"/>
        </w:rPr>
        <w:t>"</w:t>
      </w:r>
      <w:r>
        <w:rPr>
          <w:rtl w:val="true"/>
        </w:rPr>
        <w:t>מסרה בבית המשפט עדות סדורה שנמסרה באופן מעורר אמון</w:t>
      </w:r>
      <w:r>
        <w:rPr>
          <w:rtl w:val="true"/>
        </w:rPr>
        <w:t xml:space="preserve">. </w:t>
      </w:r>
      <w:r>
        <w:rPr>
          <w:rtl w:val="true"/>
        </w:rPr>
        <w:t>דברי המתלוננת בבית המשפט היו קוהרנטיים ועקביים</w:t>
      </w:r>
      <w:r>
        <w:rPr>
          <w:rtl w:val="true"/>
        </w:rPr>
        <w:t xml:space="preserve">. </w:t>
      </w:r>
      <w:r>
        <w:rPr>
          <w:rtl w:val="true"/>
        </w:rPr>
        <w:t xml:space="preserve">למרות שהמתלוננת נחקרה בחקירת שתי וערב לא קלה </w:t>
      </w:r>
      <w:r>
        <w:rPr>
          <w:rtl w:val="true"/>
        </w:rPr>
        <w:t xml:space="preserve">... </w:t>
      </w:r>
      <w:r>
        <w:rPr>
          <w:rtl w:val="true"/>
        </w:rPr>
        <w:t>היא לא שינתה את תשובותיה והייתה איתנה בדעתה</w:t>
      </w:r>
      <w:r>
        <w:rPr>
          <w:rtl w:val="true"/>
        </w:rPr>
        <w:t>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נקבע כי בניגוד לטענת ההגנה</w:t>
      </w:r>
      <w:r>
        <w:rPr>
          <w:rtl w:val="true"/>
        </w:rPr>
        <w:t xml:space="preserve">, </w:t>
      </w:r>
      <w:r>
        <w:rPr>
          <w:rtl w:val="true"/>
        </w:rPr>
        <w:t xml:space="preserve">לפיה גרסת המתלוננת </w:t>
      </w:r>
      <w:r>
        <w:rPr>
          <w:rtl w:val="true"/>
        </w:rPr>
        <w:t>"</w:t>
      </w:r>
      <w:r>
        <w:rPr>
          <w:rtl w:val="true"/>
        </w:rPr>
        <w:t>ידעה שינויים ותפניות</w:t>
      </w:r>
      <w:r>
        <w:rPr>
          <w:rtl w:val="true"/>
        </w:rPr>
        <w:t xml:space="preserve">", </w:t>
      </w:r>
      <w:r>
        <w:rPr>
          <w:rtl w:val="true"/>
        </w:rPr>
        <w:t>אין בהבדלים מסויימים הקיימים בין ההודעות שמסרה במשטרה לבין גרסתה בבית המשפט כדי לשנות ממהות סיפורה ולקעקע את מהימנות גרסתה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נוכח הראיות אשר הצביעו כי המתלוננת הייתה תחת השפעת אלכוהול בזמן האירוע</w:t>
      </w:r>
      <w:r>
        <w:rPr>
          <w:rtl w:val="true"/>
        </w:rPr>
        <w:t xml:space="preserve">. </w:t>
      </w:r>
      <w:r>
        <w:rPr>
          <w:rtl w:val="true"/>
        </w:rPr>
        <w:t>בית המשפט ציין כי התרשמותו ממהימנותה של המתלוננת נבעה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מכך שלא ניסתה להפריז ולהקצין את מעשי המערער ודיברה בגלוי על מעשיה באותו ערב</w:t>
      </w:r>
      <w:r>
        <w:rPr>
          <w:rtl w:val="true"/>
        </w:rPr>
        <w:t xml:space="preserve">, </w:t>
      </w:r>
      <w:r>
        <w:rPr>
          <w:rtl w:val="true"/>
        </w:rPr>
        <w:t>אף כאשר הדברים עלולים היו להציגה באור שלילי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התייחס לעובדה שאינה שנויה במחלוקת</w:t>
      </w:r>
      <w:r>
        <w:rPr>
          <w:rtl w:val="true"/>
        </w:rPr>
        <w:t xml:space="preserve">, </w:t>
      </w:r>
      <w:r>
        <w:rPr>
          <w:rtl w:val="true"/>
        </w:rPr>
        <w:t>לפיה לאחר האירוע המתלוננת קיימה יחסי מין מלאים עם חברהּ 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.. </w:t>
      </w:r>
      <w:r>
        <w:rPr>
          <w:rtl w:val="true"/>
        </w:rPr>
        <w:t>במסגרת זו שלל בית המשפט את טענת ההגנה כי העובדה שהמתלוננת הסתירה עובדה זו ואף ביקשה מנ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ומחברה נוספת שלה בשם הדר</w:t>
      </w:r>
      <w:r>
        <w:rPr>
          <w:rtl w:val="true"/>
        </w:rPr>
        <w:t xml:space="preserve">, </w:t>
      </w:r>
      <w:r>
        <w:rPr>
          <w:rtl w:val="true"/>
        </w:rPr>
        <w:t>לשמור זאת בסוד</w:t>
      </w:r>
      <w:r>
        <w:rPr>
          <w:rtl w:val="true"/>
        </w:rPr>
        <w:t xml:space="preserve">, </w:t>
      </w:r>
      <w:r>
        <w:rPr>
          <w:rtl w:val="true"/>
        </w:rPr>
        <w:t>מלמדת על חוסר מהימנותה</w:t>
      </w:r>
      <w:r>
        <w:rPr>
          <w:rtl w:val="true"/>
        </w:rPr>
        <w:t xml:space="preserve">. </w:t>
      </w:r>
      <w:r>
        <w:rPr>
          <w:rtl w:val="true"/>
        </w:rPr>
        <w:t>בית המשפט קיבל את טענת המתלוננת כי חשבה תחילה שהמידע אינו רלוונטי ולא הבינה את חשיבותו הראייתית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אין להתעלם מן העובדה שהמתלוננת חשפה את יחסיה עם 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מיוזמתה</w:t>
      </w:r>
      <w:r>
        <w:rPr>
          <w:rtl w:val="true"/>
        </w:rPr>
        <w:t xml:space="preserve">, </w:t>
      </w:r>
      <w:r>
        <w:rPr>
          <w:rtl w:val="true"/>
        </w:rPr>
        <w:t>תחילה בפני אמהּ ולאחר מכן בפני המשטרה</w:t>
      </w:r>
      <w:r>
        <w:rPr>
          <w:rtl w:val="true"/>
        </w:rPr>
        <w:t xml:space="preserve">. </w:t>
      </w: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בית המשפט קבע כי יש לקבל את גרסת המתלוננת ולדחות את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שנמצאה </w:t>
      </w:r>
      <w:r>
        <w:rPr>
          <w:rtl w:val="true"/>
        </w:rPr>
        <w:t>"</w:t>
      </w:r>
      <w:r>
        <w:rPr>
          <w:rtl w:val="true"/>
        </w:rPr>
        <w:t>לא הגיונית</w:t>
      </w:r>
      <w:r>
        <w:rPr>
          <w:rtl w:val="true"/>
        </w:rPr>
        <w:t xml:space="preserve">, </w:t>
      </w:r>
      <w:r>
        <w:rPr>
          <w:rtl w:val="true"/>
        </w:rPr>
        <w:t>לא עקבית ולא אמינה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מצא מספר חיזוקים לתמיכה בגרסת המתלוננת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הודעות הטקסט אשר פורטו לעיל ונשלחו בזמן אמת לחבריה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התנהלות המתלוננת בנוכחות המערער לאחר סיום המפגש בין השניים</w:t>
      </w:r>
      <w:r>
        <w:rPr>
          <w:rtl w:val="true"/>
        </w:rPr>
        <w:t xml:space="preserve">. </w:t>
      </w:r>
      <w:r>
        <w:rPr>
          <w:rtl w:val="true"/>
        </w:rPr>
        <w:t>בהקשר זה ציין בית המשפט שאין מחלוקת בין הצדדים כי המתלוננת החלה לבכות</w:t>
      </w:r>
      <w:r>
        <w:rPr>
          <w:rtl w:val="true"/>
        </w:rPr>
        <w:t xml:space="preserve">, </w:t>
      </w:r>
      <w:r>
        <w:rPr>
          <w:rtl w:val="true"/>
        </w:rPr>
        <w:t>עוד בהיותם ברכב</w:t>
      </w:r>
      <w:r>
        <w:rPr>
          <w:rtl w:val="true"/>
        </w:rPr>
        <w:t xml:space="preserve">. </w:t>
      </w:r>
      <w:r>
        <w:rPr>
          <w:rtl w:val="true"/>
        </w:rPr>
        <w:t>עוד צוין כי המתלוננת דיווחה לחבריה מיד עם צאתה מהרכב על כך שנאנסה</w:t>
      </w:r>
      <w:r>
        <w:rPr>
          <w:rtl w:val="true"/>
        </w:rPr>
        <w:t xml:space="preserve">, </w:t>
      </w:r>
      <w:r>
        <w:rPr>
          <w:rtl w:val="true"/>
        </w:rPr>
        <w:t>תוך שהיא נסערת ובוכה</w:t>
      </w:r>
      <w:r>
        <w:rPr>
          <w:rtl w:val="true"/>
        </w:rPr>
        <w:t xml:space="preserve">. </w:t>
      </w:r>
      <w:r>
        <w:rPr>
          <w:rtl w:val="true"/>
        </w:rPr>
        <w:t>על סערת הרגשות בה הייתה מצויה לאחר האירוע העידו רבים מהעדים במשפט</w:t>
      </w:r>
      <w:r>
        <w:rPr>
          <w:rtl w:val="true"/>
        </w:rPr>
        <w:t xml:space="preserve">, </w:t>
      </w:r>
      <w:r>
        <w:rPr>
          <w:rtl w:val="true"/>
        </w:rPr>
        <w:t>אף אלו שתמכו בעדותם בגרסת המערער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בית המשפט מצא במצבה הנפשי של המתלוננת לאחר האירוע חיזוק לגרסתה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טטיאנה מושבה</w:t>
      </w:r>
      <w:r>
        <w:rPr>
          <w:rtl w:val="true"/>
        </w:rPr>
        <w:t xml:space="preserve">, </w:t>
      </w:r>
      <w:r>
        <w:rPr>
          <w:rtl w:val="true"/>
        </w:rPr>
        <w:t>פסיכיאטרית שטיפלה במתלוננת לאחר האירוע</w:t>
      </w:r>
      <w:r>
        <w:rPr>
          <w:rtl w:val="true"/>
        </w:rPr>
        <w:t xml:space="preserve">, </w:t>
      </w:r>
      <w:r>
        <w:rPr>
          <w:rtl w:val="true"/>
        </w:rPr>
        <w:t>הגישה חוות דעת במסגרתה העריכה כי המתלוננת נמצאת במצב של פוסט טראומה וסובלת מסימנים של חרדה</w:t>
      </w:r>
      <w:r>
        <w:rPr>
          <w:rtl w:val="true"/>
        </w:rPr>
        <w:t xml:space="preserve">, </w:t>
      </w:r>
      <w:r>
        <w:rPr>
          <w:rtl w:val="true"/>
        </w:rPr>
        <w:t>מצב רוח ירוד וזיכרונות טראומתיים</w:t>
      </w:r>
      <w:r>
        <w:rPr>
          <w:rtl w:val="true"/>
        </w:rPr>
        <w:t xml:space="preserve">. </w:t>
      </w:r>
      <w:r>
        <w:rPr>
          <w:rtl w:val="true"/>
        </w:rPr>
        <w:t>גם גב</w:t>
      </w:r>
      <w:r>
        <w:rPr>
          <w:rtl w:val="true"/>
        </w:rPr>
        <w:t xml:space="preserve">' </w:t>
      </w:r>
      <w:r>
        <w:rPr>
          <w:rtl w:val="true"/>
        </w:rPr>
        <w:t>ענבר הרפז</w:t>
      </w:r>
      <w:r>
        <w:rPr>
          <w:rtl w:val="true"/>
        </w:rPr>
        <w:t xml:space="preserve">, </w:t>
      </w:r>
      <w:r>
        <w:rPr>
          <w:rtl w:val="true"/>
        </w:rPr>
        <w:t>אשר טיפלה במתלוננת עוד לפני האירוע במסגרת קידום נוער</w:t>
      </w:r>
      <w:r>
        <w:rPr>
          <w:rtl w:val="true"/>
        </w:rPr>
        <w:t xml:space="preserve">, </w:t>
      </w:r>
      <w:r>
        <w:rPr>
          <w:rtl w:val="true"/>
        </w:rPr>
        <w:t>העידה שמאז האירוע חל שינוי לרעה במצבה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התנהגותה הפכה </w:t>
      </w:r>
      <w:r>
        <w:rPr>
          <w:rtl w:val="true"/>
        </w:rPr>
        <w:t>"</w:t>
      </w:r>
      <w:r>
        <w:rPr>
          <w:rtl w:val="true"/>
        </w:rPr>
        <w:t>המנעותית</w:t>
      </w:r>
      <w:r>
        <w:rPr>
          <w:rtl w:val="true"/>
        </w:rPr>
        <w:t xml:space="preserve">", </w:t>
      </w:r>
      <w:r>
        <w:rPr>
          <w:rtl w:val="true"/>
        </w:rPr>
        <w:t>חרדה מציפה אותה בכל מיני מצבים והמעגל החברתי שלה הצטמצם מאוד</w:t>
      </w:r>
      <w:r>
        <w:rPr>
          <w:rtl w:val="true"/>
        </w:rPr>
        <w:t xml:space="preserve">. </w:t>
      </w:r>
      <w:r>
        <w:rPr>
          <w:rtl w:val="true"/>
        </w:rPr>
        <w:t>יצוין כי ההגנה ניסתה לערער על קביעות אלה</w:t>
      </w:r>
      <w:r>
        <w:rPr>
          <w:rtl w:val="true"/>
        </w:rPr>
        <w:t xml:space="preserve">, </w:t>
      </w:r>
      <w:r>
        <w:rPr>
          <w:rtl w:val="true"/>
        </w:rPr>
        <w:t>אך בית המשפט דחה קו הגנה זה ומצא כי התנהגותה המתוארת משקפת פוסט טראומה בה לקתה המתלוננת לאחר האירוע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בית המשפט מצא כי התנהגות המערער לאחר האירוע יכולה אף היא להוות חיזוק או סיוע לעדות המתלוננת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ציין בית המשפט את העובדה שלאחר האירוע לא החזיר המערער את המתלוננת לתחנת הדלק</w:t>
      </w:r>
      <w:r>
        <w:rPr>
          <w:rtl w:val="true"/>
        </w:rPr>
        <w:t xml:space="preserve">, </w:t>
      </w:r>
      <w:r>
        <w:rPr>
          <w:rtl w:val="true"/>
        </w:rPr>
        <w:t>אלא נתן לאחד מחבריו לנהוג ברכב ולהחזירה</w:t>
      </w:r>
      <w:r>
        <w:rPr>
          <w:rtl w:val="true"/>
        </w:rPr>
        <w:t xml:space="preserve">, </w:t>
      </w:r>
      <w:r>
        <w:rPr>
          <w:rtl w:val="true"/>
        </w:rPr>
        <w:t>ואת העובדה שהמערער התנצל לאחר האירוע בפני המתלוננת ובפני אביה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בית המשפט גם בחן ודחה את טענת ההגנה כי יש לזכות את המערער מכוח הסייג של </w:t>
      </w:r>
      <w:r>
        <w:rPr>
          <w:rtl w:val="true"/>
        </w:rPr>
        <w:t>"</w:t>
      </w:r>
      <w:r>
        <w:rPr>
          <w:rtl w:val="true"/>
        </w:rPr>
        <w:t>טעות במצב דברים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יח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נקבע כי משעה שהתקבלה גרסת המתלוננת לגבי אופן התנהלות העניינים ולגבי תגובתה בכל אחד מן השלבים של האירוע</w:t>
      </w:r>
      <w:r>
        <w:rPr>
          <w:rtl w:val="true"/>
        </w:rPr>
        <w:t xml:space="preserve">, </w:t>
      </w:r>
      <w:r>
        <w:rPr>
          <w:rtl w:val="true"/>
        </w:rPr>
        <w:t>לא ניתן לקבל את הטענה כי יכלה להיווצר אצל המערער טעות בתום לב שהיא מעוניינת בקיום יחסי מין עימו</w:t>
      </w:r>
      <w:r>
        <w:rPr>
          <w:rtl w:val="true"/>
        </w:rPr>
        <w:t xml:space="preserve">. </w:t>
      </w:r>
      <w:r>
        <w:rPr>
          <w:rtl w:val="true"/>
        </w:rPr>
        <w:t>מה גם שטענה זו לא עולה בקנה אחד עם גרסת המערער 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>כי בית המשפט התייחס בהכרעת דינו גם לשאלה האם המתלוננת הייתה שתויה בעת האירוע וכן לאירועים שהתרחשו בדירה ברמת גן עם חבריה קודם לאירוע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לאחר שנדרש לטענות באי</w:t>
      </w:r>
      <w:r>
        <w:rPr>
          <w:rtl w:val="true"/>
        </w:rPr>
        <w:t>-</w:t>
      </w:r>
      <w:r>
        <w:rPr>
          <w:rtl w:val="true"/>
        </w:rPr>
        <w:t>כוח הצדדים לעונש ולמכלול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הענישה ההולם נע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מכאן פנה בית המשפט לקבוע את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והשית עליו מאסר בפועל למשך ארבע וחצי שנים</w:t>
      </w:r>
      <w:r>
        <w:rPr>
          <w:rtl w:val="true"/>
        </w:rPr>
        <w:t xml:space="preserve">, </w:t>
      </w:r>
      <w:r>
        <w:rPr>
          <w:rtl w:val="true"/>
        </w:rPr>
        <w:t>מאסר על</w:t>
      </w:r>
      <w:r>
        <w:rPr>
          <w:rtl w:val="true"/>
        </w:rPr>
        <w:t>-</w:t>
      </w:r>
      <w:r>
        <w:rPr>
          <w:rtl w:val="true"/>
        </w:rPr>
        <w:t xml:space="preserve">תנאי ותשלום פיצויים למתלוננת בסך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בכתב ערעור מפורט תוקף המערער את הכרעת דינו של בית המשפט המחוזי לכל אורך החזית</w:t>
      </w:r>
      <w:r>
        <w:rPr>
          <w:rtl w:val="true"/>
        </w:rPr>
        <w:t xml:space="preserve">. </w:t>
      </w: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נגד קביעותיו של בית המשפט המחוזי בעניין שכרותה של המתלוננת בעת האירוע</w:t>
      </w:r>
      <w:r>
        <w:rPr>
          <w:rtl w:val="true"/>
        </w:rPr>
        <w:t xml:space="preserve">; </w:t>
      </w:r>
      <w:r>
        <w:rPr>
          <w:rtl w:val="true"/>
        </w:rPr>
        <w:t>התנגדותה הפיזית של המתלוננת למעשי המערער</w:t>
      </w:r>
      <w:r>
        <w:rPr>
          <w:rtl w:val="true"/>
        </w:rPr>
        <w:t xml:space="preserve">; </w:t>
      </w:r>
      <w:r>
        <w:rPr>
          <w:rtl w:val="true"/>
        </w:rPr>
        <w:t>היוזמה של המערער לקניית הקונדומים</w:t>
      </w:r>
      <w:r>
        <w:rPr>
          <w:rtl w:val="true"/>
        </w:rPr>
        <w:t xml:space="preserve">; </w:t>
      </w:r>
      <w:r>
        <w:rPr>
          <w:rtl w:val="true"/>
        </w:rPr>
        <w:t>משמעות ההודעות ששלחה המתלוננת לחבריה בזמן האירוע</w:t>
      </w:r>
      <w:r>
        <w:rPr>
          <w:rtl w:val="true"/>
        </w:rPr>
        <w:t xml:space="preserve">; </w:t>
      </w:r>
      <w:r>
        <w:rPr>
          <w:rtl w:val="true"/>
        </w:rPr>
        <w:t>היעדר הסכמתה של המתלוננת לקיים יחסי מין אנאליים</w:t>
      </w:r>
      <w:r>
        <w:rPr>
          <w:rtl w:val="true"/>
        </w:rPr>
        <w:t xml:space="preserve">; </w:t>
      </w:r>
      <w:r>
        <w:rPr>
          <w:rtl w:val="true"/>
        </w:rPr>
        <w:t>מצבה הנפשי של המתלוננת לאחר האירוע</w:t>
      </w:r>
      <w:r>
        <w:rPr>
          <w:rtl w:val="true"/>
        </w:rPr>
        <w:t xml:space="preserve">. </w:t>
      </w:r>
      <w:r>
        <w:rPr>
          <w:rtl w:val="true"/>
        </w:rPr>
        <w:t>עוד טוען המערער כי שגה בית המשפט המחוזי באמצו את גרסת המתלוננת</w:t>
      </w:r>
      <w:r>
        <w:rPr>
          <w:rtl w:val="true"/>
        </w:rPr>
        <w:t xml:space="preserve">, </w:t>
      </w:r>
      <w:r>
        <w:rPr>
          <w:rtl w:val="true"/>
        </w:rPr>
        <w:t>אשר אינה עומדת במבחני הסבירות</w:t>
      </w:r>
      <w:r>
        <w:rPr>
          <w:rtl w:val="true"/>
        </w:rPr>
        <w:t xml:space="preserve">, </w:t>
      </w:r>
      <w:r>
        <w:rPr>
          <w:rtl w:val="true"/>
        </w:rPr>
        <w:t>ההיגיון והשכל הישר</w:t>
      </w:r>
      <w:r>
        <w:rPr>
          <w:rtl w:val="true"/>
        </w:rPr>
        <w:t xml:space="preserve">, </w:t>
      </w:r>
      <w:r>
        <w:rPr>
          <w:rtl w:val="true"/>
        </w:rPr>
        <w:t>וקיימות בה סתירות רבות שאליהן לא התייחס בית המשפט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היה על בית המשפט לבחון את שאלת הסכמתה של המתלוננת לאור התנהגותה לאורך כל הערב בו התרחש האירוע</w:t>
      </w:r>
      <w:r>
        <w:rPr>
          <w:rtl w:val="true"/>
        </w:rPr>
        <w:t xml:space="preserve">. </w:t>
      </w:r>
      <w:r>
        <w:rPr>
          <w:rtl w:val="true"/>
        </w:rPr>
        <w:t>בנוסף טוען המערער למחדלי חקירה של המשטרה</w:t>
      </w:r>
      <w:r>
        <w:rPr>
          <w:rtl w:val="true"/>
        </w:rPr>
        <w:t xml:space="preserve">, </w:t>
      </w:r>
      <w:r>
        <w:rPr>
          <w:rtl w:val="true"/>
        </w:rPr>
        <w:t>אשר לא ביררה פרטים נוספים לגבי מה שאירע בדירה ברמת גן בתחילת הערב</w:t>
      </w:r>
      <w:r>
        <w:rPr>
          <w:rtl w:val="true"/>
        </w:rPr>
        <w:t xml:space="preserve">. </w:t>
      </w:r>
      <w:r>
        <w:rPr>
          <w:rtl w:val="true"/>
        </w:rPr>
        <w:t>לחלופין ובשולי הדברים נטען כי בשל התנהגותה של המתלוננת במהלך האירוע</w:t>
      </w:r>
      <w:r>
        <w:rPr>
          <w:rtl w:val="true"/>
        </w:rPr>
        <w:t xml:space="preserve">, </w:t>
      </w:r>
      <w:r>
        <w:rPr>
          <w:rtl w:val="true"/>
        </w:rPr>
        <w:t>סבר המערער לתומו כי היא מעוניינת לקיים עמו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ועל כן מתקיים הסייג לאחריות פלילית למעשיו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 במצב דברים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>המערער סבור כי מתחם הענישה שנקבע מחמיר מדי וחורג ממדיניות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 ניתן משקל מספיק לעובדה שהמעשים התבצעו ללא תכנון</w:t>
      </w:r>
      <w:r>
        <w:rPr>
          <w:rtl w:val="true"/>
        </w:rPr>
        <w:t xml:space="preserve">, </w:t>
      </w:r>
      <w:r>
        <w:rPr>
          <w:rtl w:val="true"/>
        </w:rPr>
        <w:t>ללא אלימות וללא איומים</w:t>
      </w:r>
      <w:r>
        <w:rPr>
          <w:rtl w:val="true"/>
        </w:rPr>
        <w:t xml:space="preserve">. </w:t>
      </w:r>
      <w:r>
        <w:rPr>
          <w:rtl w:val="true"/>
        </w:rPr>
        <w:t>עוד טוען המערער כי גם בתוך מתחם העונש היה על בית המשפט להתחשב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כגון גילו</w:t>
      </w:r>
      <w:r>
        <w:rPr>
          <w:rtl w:val="true"/>
        </w:rPr>
        <w:t xml:space="preserve">, </w:t>
      </w:r>
      <w:r>
        <w:rPr>
          <w:rtl w:val="true"/>
        </w:rPr>
        <w:t>היעדרו של עבר פלילי והאמור בתסקיר שירות 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שלפנינו המשיבה סמכה את ידיה על פסק דינו של בית המשפט המחוזי וטענה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נטען כי מרבית הערעור נסוב על ממצאי עובדה ומהימנות של בית המשפט המחוזי ואין מקום להתערב בקביעות אלה</w:t>
      </w:r>
      <w:r>
        <w:rPr>
          <w:rtl w:val="true"/>
        </w:rPr>
        <w:t xml:space="preserve">. </w:t>
      </w:r>
      <w:r>
        <w:rPr>
          <w:rtl w:val="true"/>
        </w:rPr>
        <w:t>עוד עמדה המשיבה על הראיות המחזקות הרבות לגרסתה של המתלוננת</w:t>
      </w:r>
      <w:r>
        <w:rPr>
          <w:rtl w:val="true"/>
        </w:rPr>
        <w:t xml:space="preserve">. </w:t>
      </w:r>
      <w:r>
        <w:rPr>
          <w:rtl w:val="true"/>
        </w:rPr>
        <w:t>כן החזיקה המשיבה אחר גזר דינו של בית המשפט המחוזי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הלכה היא כי ערכאת הערעור אינה נוטה להתערב בממצאי עובדה ומהימנות של הערכאה הדיונית אלא במקרים חריגים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יומטוביאן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645-643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זאת מכיוון שערכאת הערעור חסרה את היכולת להתרשם</w:t>
      </w:r>
      <w:r>
        <w:rPr>
          <w:rtl w:val="true"/>
        </w:rPr>
        <w:t xml:space="preserve">, </w:t>
      </w:r>
      <w:r>
        <w:rPr>
          <w:rtl w:val="true"/>
        </w:rPr>
        <w:t>באופן בלתי אמצעי</w:t>
      </w:r>
      <w:r>
        <w:rPr>
          <w:rtl w:val="true"/>
        </w:rPr>
        <w:t xml:space="preserve">, </w:t>
      </w:r>
      <w:r>
        <w:rPr>
          <w:rtl w:val="true"/>
        </w:rPr>
        <w:t>מהעדים ומהראיות שהוצגו בפני הערכאה הדיונית</w:t>
      </w:r>
      <w:r>
        <w:rPr>
          <w:rtl w:val="true"/>
        </w:rPr>
        <w:t xml:space="preserve">. </w:t>
      </w:r>
      <w:r>
        <w:rPr>
          <w:rtl w:val="true"/>
        </w:rPr>
        <w:t>כוחו של כלל אי ההתערבות נכון ביתר שאת לגבי 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10.7.2013</w:t>
      </w:r>
      <w:r>
        <w:rPr>
          <w:rtl w:val="true"/>
        </w:rPr>
        <w:t>):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הגיונו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,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אלה מתרחשות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בצנעה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ובנוכחותם של התוקף וקורבנו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במרבית המקרים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הערכאה הדיונית להכריע בין גרסאותיהם הסותרות של המעורבים באירוע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לעיתים קרובות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נתמכות בראיות אובייקטיביות כלשהן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אופייה הייחודי של עבירות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והטראומה הרבה שהיא מסבה לקורבנה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משפיעים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אופן מתן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על החשיבות שבהתרשמותו הישירה של בית המשפט מן העדויות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במקרים אלו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מעצם טיבה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עוסקת העדות בנושא שהוא טראומטי ואינטימי כאחד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מתעורר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קושי במתן עדות ברורה ורהוטה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אופן הדיבור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שפת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 אותם גורמים שאינם שייכים ישירות לעולם התוכן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מקבלים משקל חשוב עוד יותר</w:t>
      </w:r>
      <w:r>
        <w:rPr>
          <w:rFonts w:cs="Century" w:ascii="Century" w:hAnsi="Century"/>
          <w:rtl w:val="true"/>
        </w:rPr>
        <w:t>" 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10163/08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חשיבות יתרה להתרשמותה הבלתי אמצעית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מהעדויות שנשמעו בפניה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2035/16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14.9.2017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21.12.2017</w:t>
      </w:r>
      <w:r>
        <w:rPr>
          <w:rFonts w:cs="Century" w:ascii="Century" w:hAnsi="Century"/>
          <w:rtl w:val="true"/>
        </w:rPr>
        <w:t>))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 שבחנתי את עדות המתלוננת</w:t>
      </w:r>
      <w:r>
        <w:rPr>
          <w:rtl w:val="true"/>
        </w:rPr>
        <w:t xml:space="preserve">, </w:t>
      </w:r>
      <w:r>
        <w:rPr>
          <w:rtl w:val="true"/>
        </w:rPr>
        <w:t>את עדות המערער ואת הראיות הנוספות</w:t>
      </w:r>
      <w:r>
        <w:rPr>
          <w:rtl w:val="true"/>
        </w:rPr>
        <w:t xml:space="preserve">, </w:t>
      </w:r>
      <w:r>
        <w:rPr>
          <w:rtl w:val="true"/>
        </w:rPr>
        <w:t>לא מצאתי פגם בקביעותיו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המערער ניסה להצביע על סתירות בעדותה של המתלוננת הפוגמות במהימנותה</w:t>
      </w:r>
      <w:r>
        <w:rPr>
          <w:rtl w:val="true"/>
        </w:rPr>
        <w:t xml:space="preserve">, </w:t>
      </w:r>
      <w:r>
        <w:rPr>
          <w:rtl w:val="true"/>
        </w:rPr>
        <w:t>אך לא עלה בידיו לעשות כן</w:t>
      </w:r>
      <w:r>
        <w:rPr>
          <w:rtl w:val="true"/>
        </w:rPr>
        <w:t xml:space="preserve">. </w:t>
      </w:r>
      <w:r>
        <w:rPr>
          <w:rtl w:val="true"/>
        </w:rPr>
        <w:t>כפי שנקבע לא אחת על ידי בית משפט זה</w:t>
      </w:r>
      <w:r>
        <w:rPr>
          <w:rtl w:val="true"/>
        </w:rPr>
        <w:t xml:space="preserve">, </w:t>
      </w:r>
      <w:r>
        <w:rPr>
          <w:rtl w:val="true"/>
        </w:rPr>
        <w:t>יש לבחון את אמינות גרסתו של נפגע עבירת המין בכללותה</w:t>
      </w:r>
      <w:r>
        <w:rPr>
          <w:rtl w:val="true"/>
        </w:rPr>
        <w:t xml:space="preserve">, </w:t>
      </w:r>
      <w:r>
        <w:rPr>
          <w:rtl w:val="true"/>
        </w:rPr>
        <w:t xml:space="preserve">תוך ניסיון לאתר את </w:t>
      </w:r>
      <w:r>
        <w:rPr>
          <w:rtl w:val="true"/>
        </w:rPr>
        <w:t>"</w:t>
      </w:r>
      <w:r>
        <w:rPr>
          <w:rtl w:val="true"/>
        </w:rPr>
        <w:t>גרעין האמת</w:t>
      </w:r>
      <w:r>
        <w:rPr>
          <w:rtl w:val="true"/>
        </w:rPr>
        <w:t xml:space="preserve">", </w:t>
      </w:r>
      <w:r>
        <w:rPr>
          <w:rtl w:val="true"/>
        </w:rPr>
        <w:t>ולעיתים אף ניתן להסתפק ב</w:t>
      </w:r>
      <w:r>
        <w:rPr>
          <w:rtl w:val="true"/>
        </w:rPr>
        <w:t>"</w:t>
      </w:r>
      <w:r>
        <w:rPr>
          <w:rtl w:val="true"/>
        </w:rPr>
        <w:t>גרעין הקשה</w:t>
      </w:r>
      <w:r>
        <w:rPr>
          <w:rtl w:val="true"/>
        </w:rPr>
        <w:t xml:space="preserve">" </w:t>
      </w:r>
      <w:r>
        <w:rPr>
          <w:rtl w:val="true"/>
        </w:rPr>
        <w:t xml:space="preserve">של הגרסה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 xml:space="preserve">)). </w:t>
      </w:r>
      <w:r>
        <w:rPr>
          <w:rtl w:val="true"/>
        </w:rPr>
        <w:t>במקרה דנא אף אינני נדרש להלכה זו משעה שהגרסה שמסרה המתלוננת לכל אורך הדרך הייתה מלאה</w:t>
      </w:r>
      <w:r>
        <w:rPr>
          <w:rtl w:val="true"/>
        </w:rPr>
        <w:t xml:space="preserve">, </w:t>
      </w:r>
      <w:r>
        <w:rPr>
          <w:rtl w:val="true"/>
        </w:rPr>
        <w:t>עקבית וקוהרנטית</w:t>
      </w:r>
      <w:r>
        <w:rPr>
          <w:rtl w:val="true"/>
        </w:rPr>
        <w:t xml:space="preserve">. </w:t>
      </w:r>
      <w:r>
        <w:rPr>
          <w:rtl w:val="true"/>
        </w:rPr>
        <w:t>הסתירות או חוסר הדיוקים עליהם הצביע המערער הם בעניינים לא מהותיים</w:t>
      </w:r>
      <w:r>
        <w:rPr>
          <w:rtl w:val="true"/>
        </w:rPr>
        <w:t xml:space="preserve">, </w:t>
      </w:r>
      <w:r>
        <w:rPr>
          <w:rtl w:val="true"/>
        </w:rPr>
        <w:t xml:space="preserve">שאינם משליכים כלל על השאלה העיקרית שניצבה לפתחו של בית המשפט </w:t>
      </w:r>
      <w:r>
        <w:rPr>
          <w:rtl w:val="true"/>
        </w:rPr>
        <w:t>–</w:t>
      </w:r>
      <w:r>
        <w:rPr>
          <w:rtl w:val="true"/>
        </w:rPr>
        <w:t xml:space="preserve"> האם הסכימה המתלוננת לקיים יחסי מין עם המערער אם לאו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אעיר בתחילה כי בהליך לפנינו</w:t>
      </w:r>
      <w:r>
        <w:rPr>
          <w:rtl w:val="true"/>
        </w:rPr>
        <w:t xml:space="preserve">, </w:t>
      </w:r>
      <w:r>
        <w:rPr>
          <w:rtl w:val="true"/>
        </w:rPr>
        <w:t>בדומה להליך בבית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ניסה לקעקע את אמינותה של המתלוננת על ידי הפניית זרקור לעבר עברה המיני ויתר מעשיה באותו ערב</w:t>
      </w:r>
      <w:r>
        <w:rPr>
          <w:rtl w:val="true"/>
        </w:rPr>
        <w:t xml:space="preserve">, </w:t>
      </w:r>
      <w:r>
        <w:rPr>
          <w:rtl w:val="true"/>
        </w:rPr>
        <w:t>לפני ואחרי האירוע</w:t>
      </w:r>
      <w:r>
        <w:rPr>
          <w:rtl w:val="true"/>
        </w:rPr>
        <w:t xml:space="preserve">. </w:t>
      </w:r>
      <w:r>
        <w:rPr>
          <w:rtl w:val="true"/>
        </w:rPr>
        <w:t>נטען כי היה מקום ליתן משקל לכך שהמתלוננת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ביצעה באדם נוסף מין אוראלי בדירה ברמת גן לפני האירוע וקיימה יחסי מין עם 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ובלשון באי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ולכך אשיב כי ניתן גם ניתן</w:t>
      </w:r>
      <w:r>
        <w:rPr>
          <w:rtl w:val="true"/>
        </w:rPr>
        <w:t xml:space="preserve">, </w:t>
      </w:r>
      <w:r>
        <w:rPr>
          <w:rtl w:val="true"/>
        </w:rPr>
        <w:t>והחוק והפסיקה אף מורים לנו לעשות כן</w:t>
      </w:r>
      <w:r>
        <w:rPr>
          <w:rtl w:val="true"/>
        </w:rPr>
        <w:t xml:space="preserve">, </w:t>
      </w:r>
      <w:r>
        <w:rPr>
          <w:rtl w:val="true"/>
        </w:rPr>
        <w:t>משעה שהשאלה היחידה הצריכה לענייננו היא האם המתלוננת הסכימה לקיום יחסי מין עם המערער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7426/14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(</w:t>
      </w:r>
      <w:r>
        <w:rPr/>
        <w:t>14.3.2016</w:t>
      </w:r>
      <w:r>
        <w:rPr>
          <w:rtl w:val="true"/>
        </w:rPr>
        <w:t>):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מתירנות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מתירנים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הדברים אף באים לידי ביטוי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הקובע כי בית המשפט לא ירשה חקירה בדבר עבר מיני של נפגע עבירת מין</w:t>
      </w:r>
      <w:r>
        <w:rPr>
          <w:rtl w:val="true"/>
        </w:rPr>
        <w:t>, "</w:t>
      </w:r>
      <w:r>
        <w:rPr>
          <w:rtl w:val="true"/>
        </w:rPr>
        <w:t>אלא אם ראה</w:t>
      </w:r>
      <w:r>
        <w:rPr>
          <w:rtl w:val="true"/>
        </w:rPr>
        <w:t xml:space="preserve">, </w:t>
      </w:r>
      <w:r>
        <w:rPr>
          <w:rtl w:val="true"/>
        </w:rPr>
        <w:t>מטעמים שיירשמו</w:t>
      </w:r>
      <w:r>
        <w:rPr>
          <w:rtl w:val="true"/>
        </w:rPr>
        <w:t xml:space="preserve">, </w:t>
      </w:r>
      <w:r>
        <w:rPr>
          <w:rtl w:val="true"/>
        </w:rPr>
        <w:t>כי איסור החקירה עלול לגרום לנאשם עיוות דין</w:t>
      </w:r>
      <w:r>
        <w:rPr>
          <w:rtl w:val="true"/>
        </w:rPr>
        <w:t>" 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 נפגעי עבירה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). </w:t>
      </w:r>
      <w:r>
        <w:rPr>
          <w:rtl w:val="true"/>
        </w:rPr>
        <w:t>את הניסיון לקשור</w:t>
      </w:r>
      <w:r>
        <w:rPr>
          <w:rtl w:val="true"/>
        </w:rPr>
        <w:t xml:space="preserve">, </w:t>
      </w:r>
      <w:r>
        <w:rPr>
          <w:rtl w:val="true"/>
        </w:rPr>
        <w:t>אף במרומז</w:t>
      </w:r>
      <w:r>
        <w:rPr>
          <w:rtl w:val="true"/>
        </w:rPr>
        <w:t xml:space="preserve">, </w:t>
      </w:r>
      <w:r>
        <w:rPr>
          <w:rtl w:val="true"/>
        </w:rPr>
        <w:t>בין עברה המיני של המתלוננת לבין שאלת הסכמתה לקיומם של יחסי המין</w:t>
      </w:r>
      <w:r>
        <w:rPr>
          <w:rtl w:val="true"/>
        </w:rPr>
        <w:t xml:space="preserve">, </w:t>
      </w:r>
      <w:r>
        <w:rPr>
          <w:rtl w:val="true"/>
        </w:rPr>
        <w:t xml:space="preserve">יש לדחות מכל וכל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יובל </w:t>
      </w:r>
      <w:hyperlink r:id="rId36">
        <w:r>
          <w:rPr>
            <w:rStyle w:val="Hyperlink"/>
            <w:color w:val="0000FF"/>
            <w:u w:val="single"/>
            <w:rtl w:val="true"/>
          </w:rPr>
          <w:t>מרין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מבט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פמיניסטי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הראיות</w:t>
      </w:r>
      <w:r>
        <w:rPr>
          <w:rtl w:val="true"/>
        </w:rPr>
        <w:t xml:space="preserve">: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אמת</w:t>
      </w:r>
      <w:r>
        <w:rPr>
          <w:rtl w:val="true"/>
        </w:rPr>
        <w:t xml:space="preserve">' </w:t>
      </w:r>
      <w:r>
        <w:rPr>
          <w:rtl w:val="true"/>
        </w:rPr>
        <w:t>הממוגדרת והשתקת הקול השונה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טז </w:t>
      </w:r>
      <w:r>
        <w:rPr/>
        <w:t>97</w:t>
      </w:r>
      <w:r>
        <w:rPr>
          <w:rtl w:val="true"/>
        </w:rPr>
        <w:t xml:space="preserve">, </w:t>
      </w:r>
      <w:r>
        <w:rPr/>
        <w:t>120-114</w:t>
      </w:r>
      <w:r>
        <w:rPr>
          <w:rtl w:val="true"/>
        </w:rPr>
        <w:t xml:space="preserve"> (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)). </w:t>
      </w:r>
      <w:r>
        <w:rPr>
          <w:rtl w:val="true"/>
        </w:rPr>
        <w:t>מוטב אפוא כי טענות אלו לא היו מועלות כלל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בעדותה לפני בית המשפט המחוזי תיארה המתלוננת כיצד לאחר שביצעה במערער מין אוראלי</w:t>
      </w:r>
      <w:r>
        <w:rPr>
          <w:rtl w:val="true"/>
        </w:rPr>
        <w:t xml:space="preserve">, </w:t>
      </w:r>
      <w:r>
        <w:rPr>
          <w:rtl w:val="true"/>
        </w:rPr>
        <w:t>הוא קיים עמה יחסי מין מלאים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>: "</w:t>
      </w:r>
      <w:r>
        <w:rPr>
          <w:rtl w:val="true"/>
        </w:rPr>
        <w:t>הייתי יושבת לידו</w:t>
      </w:r>
      <w:r>
        <w:rPr>
          <w:rtl w:val="true"/>
        </w:rPr>
        <w:t xml:space="preserve">, </w:t>
      </w:r>
      <w:r>
        <w:rPr>
          <w:rtl w:val="true"/>
        </w:rPr>
        <w:t>בהתחלה הוא העלה לי את השמלה ואחרי זה שם אותי עליו</w:t>
      </w:r>
      <w:r>
        <w:rPr>
          <w:rtl w:val="true"/>
        </w:rPr>
        <w:t xml:space="preserve">, </w:t>
      </w:r>
      <w:r>
        <w:rPr>
          <w:rtl w:val="true"/>
        </w:rPr>
        <w:t>לא זוכרת במדויק</w:t>
      </w:r>
      <w:r>
        <w:rPr>
          <w:rtl w:val="true"/>
        </w:rPr>
        <w:t xml:space="preserve">, </w:t>
      </w:r>
      <w:r>
        <w:rPr>
          <w:rtl w:val="true"/>
        </w:rPr>
        <w:t>משהו כזה</w:t>
      </w:r>
      <w:r>
        <w:rPr>
          <w:rtl w:val="true"/>
        </w:rPr>
        <w:t xml:space="preserve">. </w:t>
      </w:r>
      <w:r>
        <w:rPr>
          <w:rtl w:val="true"/>
        </w:rPr>
        <w:t>אחרי זה הוריד לי את התחתונים לגמרי</w:t>
      </w:r>
      <w:r>
        <w:rPr>
          <w:rtl w:val="true"/>
        </w:rPr>
        <w:t xml:space="preserve">, </w:t>
      </w:r>
      <w:r>
        <w:rPr>
          <w:rtl w:val="true"/>
        </w:rPr>
        <w:t>אמרתי לו להפסיק</w:t>
      </w:r>
      <w:r>
        <w:rPr>
          <w:rtl w:val="true"/>
        </w:rPr>
        <w:t xml:space="preserve">, </w:t>
      </w:r>
      <w:r>
        <w:rPr>
          <w:rtl w:val="true"/>
        </w:rPr>
        <w:t>מה הוא עושה</w:t>
      </w:r>
      <w:r>
        <w:rPr>
          <w:rtl w:val="true"/>
        </w:rPr>
        <w:t xml:space="preserve">, </w:t>
      </w:r>
      <w:r>
        <w:rPr>
          <w:rtl w:val="true"/>
        </w:rPr>
        <w:t>הוא אמר לי לא לדאוג ושאני אהנה</w:t>
      </w:r>
      <w:r>
        <w:rPr>
          <w:rtl w:val="true"/>
        </w:rPr>
        <w:t xml:space="preserve">. </w:t>
      </w:r>
      <w:r>
        <w:rPr>
          <w:rtl w:val="true"/>
        </w:rPr>
        <w:t>אחרי זה הוא חדר אלי</w:t>
      </w:r>
      <w:r>
        <w:rPr>
          <w:rtl w:val="true"/>
        </w:rPr>
        <w:t xml:space="preserve">, </w:t>
      </w:r>
      <w:r>
        <w:rPr>
          <w:rtl w:val="true"/>
        </w:rPr>
        <w:t>כאב לי וביקשתי שיפסיק</w:t>
      </w:r>
      <w:r>
        <w:rPr>
          <w:rtl w:val="true"/>
        </w:rPr>
        <w:t xml:space="preserve">, </w:t>
      </w:r>
      <w:r>
        <w:rPr>
          <w:rtl w:val="true"/>
        </w:rPr>
        <w:t xml:space="preserve">שיעצור כי כואב לי </w:t>
      </w:r>
      <w:r>
        <w:rPr>
          <w:rtl w:val="true"/>
        </w:rPr>
        <w:t xml:space="preserve">... </w:t>
      </w:r>
      <w:r>
        <w:rPr>
          <w:rtl w:val="true"/>
        </w:rPr>
        <w:t xml:space="preserve">הוא המשיך להגיד שאני יהנה </w:t>
      </w:r>
      <w:r>
        <w:rPr>
          <w:rtl w:val="true"/>
        </w:rPr>
        <w:t>(</w:t>
      </w:r>
      <w:r>
        <w:rPr>
          <w:rtl w:val="true"/>
        </w:rPr>
        <w:t xml:space="preserve">כך במקור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 </w:t>
      </w:r>
      <w:r>
        <w:rPr>
          <w:rtl w:val="true"/>
        </w:rPr>
        <w:t>וזה כלום וזה בסדר ואמרתי שזה עדיין כואב לי ואחרי זה הוא יצא מהאוטו והפסיק</w:t>
      </w:r>
      <w:r>
        <w:rPr>
          <w:rtl w:val="true"/>
        </w:rPr>
        <w:t>"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13-23</w:t>
      </w:r>
      <w:r>
        <w:rPr>
          <w:rtl w:val="true"/>
        </w:rPr>
        <w:t xml:space="preserve">). </w:t>
      </w:r>
      <w:r>
        <w:rPr>
          <w:rtl w:val="true"/>
        </w:rPr>
        <w:t xml:space="preserve">בשלב זה קנה המערער קונדומים והמתלוננת מתארת כי כאשר חזר לרכב </w:t>
      </w:r>
      <w:r>
        <w:rPr>
          <w:rtl w:val="true"/>
        </w:rPr>
        <w:t>"</w:t>
      </w:r>
      <w:r>
        <w:rPr>
          <w:rtl w:val="true"/>
        </w:rPr>
        <w:t>הוא עצר ובא למושב האחורי איפה שאני שכובה והעלה לי את השמלה שוב והפעם זה היה עם קונדום</w:t>
      </w:r>
      <w:r>
        <w:rPr>
          <w:rtl w:val="true"/>
        </w:rPr>
        <w:t xml:space="preserve">, </w:t>
      </w:r>
      <w:r>
        <w:rPr>
          <w:rtl w:val="true"/>
        </w:rPr>
        <w:t>אחרי זה הוא חדר אליי וניסיתי לסגור את הרגליים בכיתי לו שכואב לי וגם צעקתי לו שיפסיק ואחרי זה הלכתי קצת הצידה</w:t>
      </w:r>
      <w:r>
        <w:rPr>
          <w:rtl w:val="true"/>
        </w:rPr>
        <w:t xml:space="preserve">, </w:t>
      </w:r>
      <w:r>
        <w:rPr>
          <w:rtl w:val="true"/>
        </w:rPr>
        <w:t>ניסיתי לזוז ממנו ואז הוא גם חדר אליי אחורנית בישבן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25-17</w:t>
      </w:r>
      <w:r>
        <w:rPr>
          <w:rtl w:val="true"/>
        </w:rPr>
        <w:t xml:space="preserve">). </w:t>
      </w:r>
      <w:r>
        <w:rPr>
          <w:rtl w:val="true"/>
        </w:rPr>
        <w:t>גם בחקירתה הנגדית</w:t>
      </w:r>
      <w:r>
        <w:rPr>
          <w:rtl w:val="true"/>
        </w:rPr>
        <w:t xml:space="preserve">, </w:t>
      </w:r>
      <w:r>
        <w:rPr>
          <w:rtl w:val="true"/>
        </w:rPr>
        <w:t>כאשר הסניגור טען כי לגרסת המתלוננת המערער הפסיק כאשר ביקשה</w:t>
      </w:r>
      <w:r>
        <w:rPr>
          <w:rtl w:val="true"/>
        </w:rPr>
        <w:t xml:space="preserve">, </w:t>
      </w:r>
      <w:r>
        <w:rPr>
          <w:rtl w:val="true"/>
        </w:rPr>
        <w:t xml:space="preserve">ענתה המתלוננת כי </w:t>
      </w:r>
      <w:r>
        <w:rPr>
          <w:rtl w:val="true"/>
        </w:rPr>
        <w:t>"</w:t>
      </w:r>
      <w:r>
        <w:rPr>
          <w:rtl w:val="true"/>
        </w:rPr>
        <w:t>הוא לא הפסיק</w:t>
      </w:r>
      <w:r>
        <w:rPr>
          <w:rtl w:val="true"/>
        </w:rPr>
        <w:t xml:space="preserve">. </w:t>
      </w:r>
      <w:r>
        <w:rPr>
          <w:rtl w:val="true"/>
        </w:rPr>
        <w:t>שאני אמרתי לו שכואב לי ויפסיק הוא לא הפסיק</w:t>
      </w:r>
      <w:r>
        <w:rPr>
          <w:rtl w:val="true"/>
        </w:rPr>
        <w:t xml:space="preserve">. </w:t>
      </w:r>
      <w:r>
        <w:rPr>
          <w:rtl w:val="true"/>
        </w:rPr>
        <w:t xml:space="preserve">הוא הפסיק מרצונו ולא מרצוני </w:t>
      </w:r>
      <w:r>
        <w:rPr>
          <w:rtl w:val="true"/>
        </w:rPr>
        <w:t xml:space="preserve">... </w:t>
      </w:r>
      <w:r>
        <w:rPr>
          <w:rtl w:val="true"/>
        </w:rPr>
        <w:t>רק אחרי שצעקתי לו ממש והתנגדתי אבל כשביקשתי שיפסיק הוא לא הפסיק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12-10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השמלה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'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.] </w:t>
      </w:r>
      <w:r>
        <w:rPr>
          <w:rtl w:val="true"/>
        </w:rPr>
        <w:t>תופת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2.10.2014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5.10.2014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והתנשקנו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ציחקקתי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מספר חיזוקים לגרסה זו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 עוררין באשר למצבה הנפשי של המתלוננת מייד לאחר האירוע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תיארה הדר</w:t>
      </w:r>
      <w:r>
        <w:rPr>
          <w:rtl w:val="true"/>
        </w:rPr>
        <w:t xml:space="preserve">, </w:t>
      </w:r>
      <w:r>
        <w:rPr>
          <w:rtl w:val="true"/>
        </w:rPr>
        <w:t>חברתה של המתלוננת</w:t>
      </w:r>
      <w:r>
        <w:rPr>
          <w:rtl w:val="true"/>
        </w:rPr>
        <w:t xml:space="preserve">, </w:t>
      </w:r>
      <w:r>
        <w:rPr>
          <w:rtl w:val="true"/>
        </w:rPr>
        <w:t>את מצבה לאחר האירוע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הדר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לפז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הצחקתי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בפאניקה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19-12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תיאור דומה חזרו עדים נוספים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 xml:space="preserve">מצב נפשי </w:t>
      </w:r>
      <w:r>
        <w:rPr>
          <w:rtl w:val="true"/>
        </w:rPr>
        <w:t>–</w:t>
      </w:r>
      <w:r>
        <w:rPr>
          <w:rtl w:val="true"/>
        </w:rPr>
        <w:t xml:space="preserve"> נחשב מאז ומעולם כחיזוק ואפילו סיוע </w:t>
      </w:r>
      <w:r>
        <w:rPr>
          <w:rtl w:val="true"/>
        </w:rPr>
        <w:t xml:space="preserve">... </w:t>
      </w:r>
      <w:r>
        <w:rPr>
          <w:rtl w:val="true"/>
        </w:rPr>
        <w:t>שהרי כמוהו כממצא פיזי בגופה של המתלוננת</w:t>
      </w:r>
      <w:r>
        <w:rPr>
          <w:rtl w:val="true"/>
        </w:rPr>
        <w:t xml:space="preserve">, </w:t>
      </w:r>
      <w:r>
        <w:rPr>
          <w:rtl w:val="true"/>
        </w:rPr>
        <w:t>המעיד על מה שעברה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רחמילוב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חיזוק נוסף נמצא בהודעות ששלחה המתלוננת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cs="Century"/>
          <w:sz w:val="22"/>
          <w:sz w:val="22"/>
          <w:rtl w:val="true"/>
        </w:rPr>
        <w:t xml:space="preserve"> לחבריה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הודעות אלה משקפות את הלך רוחה של המתלוננת בזמן אמת ואת חוסר הסכמתה לקיים יחסי מין עם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ומחזקות ביתר שאת את גרסתה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ניסה לטעון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שטען לפני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ההודעות נשלחו בשל רצונה של המתלוננת למשוך תשומת לב ולמנוע התפשטות שמועות לגביה לפיהן קיימה יחסי מין עם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טען המערער כי </w:t>
      </w:r>
      <w:r>
        <w:rPr>
          <w:rtl w:val="true"/>
        </w:rPr>
        <w:t xml:space="preserve">המתלוננת </w:t>
      </w:r>
      <w:r>
        <w:rPr>
          <w:rtl w:val="true"/>
        </w:rPr>
        <w:t>"</w:t>
      </w:r>
      <w:r>
        <w:rPr>
          <w:rtl w:val="true"/>
        </w:rPr>
        <w:t>לא פעלה בהיגיון</w:t>
      </w:r>
      <w:r>
        <w:rPr>
          <w:rtl w:val="true"/>
        </w:rPr>
        <w:t xml:space="preserve">", </w:t>
      </w:r>
      <w:r>
        <w:rPr>
          <w:rtl w:val="true"/>
        </w:rPr>
        <w:t>שכן בחרה לשלוח הודעות בקבוצת וואטס</w:t>
      </w:r>
      <w:r>
        <w:rPr>
          <w:rtl w:val="true"/>
        </w:rPr>
        <w:t>-</w:t>
      </w:r>
      <w:r>
        <w:rPr>
          <w:rtl w:val="true"/>
        </w:rPr>
        <w:t>אפ ולא התקשרה למי מחבריה או למשטרה</w:t>
      </w:r>
      <w:r>
        <w:rPr>
          <w:rtl w:val="true"/>
        </w:rPr>
        <w:t xml:space="preserve">, </w:t>
      </w:r>
      <w:r>
        <w:rPr>
          <w:rtl w:val="true"/>
        </w:rPr>
        <w:t>או ניסתה לצאת מן הרכב</w:t>
      </w:r>
      <w:r>
        <w:rPr>
          <w:rtl w:val="true"/>
        </w:rPr>
        <w:t xml:space="preserve">, </w:t>
      </w:r>
      <w:r>
        <w:rPr>
          <w:rtl w:val="true"/>
        </w:rPr>
        <w:t>שעה שהמערער קנה קונדומים בתחנת הדלק</w:t>
      </w:r>
      <w:r>
        <w:rPr>
          <w:rtl w:val="true"/>
        </w:rPr>
        <w:t xml:space="preserve">. </w:t>
      </w:r>
      <w:r>
        <w:rPr>
          <w:rtl w:val="true"/>
        </w:rPr>
        <w:t>טענות אלה אין להלום</w:t>
      </w:r>
      <w:r>
        <w:rPr>
          <w:rtl w:val="true"/>
        </w:rPr>
        <w:t xml:space="preserve">. </w:t>
      </w:r>
      <w:r>
        <w:rPr>
          <w:rtl w:val="true"/>
        </w:rPr>
        <w:t>בית משפט זה חזר ושנה בשורה של פסקי דין כי אין לבחון את התנהלותה ותגובותיה של נפגעת עבירת מין אך במבחן ההיגיון הצרוף</w:t>
      </w:r>
      <w:r>
        <w:rPr>
          <w:rtl w:val="true"/>
        </w:rPr>
        <w:t xml:space="preserve">, </w:t>
      </w:r>
      <w:r>
        <w:rPr>
          <w:rtl w:val="true"/>
        </w:rPr>
        <w:t>נוכח מגוון התגובות האנושיות האפשריות למצבי לחץ וטראומה</w:t>
      </w:r>
      <w:r>
        <w:rPr>
          <w:rtl w:val="true"/>
        </w:rPr>
        <w:t xml:space="preserve">. </w:t>
      </w:r>
      <w:r>
        <w:rPr>
          <w:rtl w:val="true"/>
        </w:rPr>
        <w:t>יפים לעניין זה דבריו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tl w:val="true"/>
        </w:rPr>
        <w:t xml:space="preserve"> (</w:t>
      </w:r>
      <w:r>
        <w:rPr/>
        <w:t>10.3.2011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המצופה</w:t>
      </w:r>
      <w:r>
        <w:rPr>
          <w:rtl w:val="true"/>
        </w:rPr>
        <w:t xml:space="preserve">' </w:t>
      </w:r>
      <w:r>
        <w:rPr>
          <w:rtl w:val="true"/>
        </w:rPr>
        <w:t>מקורבן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שמוכתבת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התבונה</w:t>
      </w:r>
      <w:r>
        <w:rPr>
          <w:rtl w:val="true"/>
        </w:rPr>
        <w:t xml:space="preserve">',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599/02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22.5.2003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די בדברים שהובאו עד כה על מנת להוות חיזוק מספיק </w:t>
      </w:r>
      <w:r>
        <w:rPr>
          <w:rtl w:val="true"/>
        </w:rPr>
        <w:t>(</w:t>
      </w:r>
      <w:r>
        <w:rPr>
          <w:rtl w:val="true"/>
        </w:rPr>
        <w:t>אף לו נדרש</w:t>
      </w:r>
      <w:r>
        <w:rPr>
          <w:rtl w:val="true"/>
        </w:rPr>
        <w:t xml:space="preserve">) </w:t>
      </w:r>
      <w:r>
        <w:rPr>
          <w:rtl w:val="true"/>
        </w:rPr>
        <w:t>לעדותה של המתלוננת</w:t>
      </w:r>
      <w:r>
        <w:rPr>
          <w:rtl w:val="true"/>
        </w:rPr>
        <w:t xml:space="preserve">, </w:t>
      </w:r>
      <w:r>
        <w:rPr>
          <w:rtl w:val="true"/>
        </w:rPr>
        <w:t>אך כאמור נמצאו חיזוקים נוספים לגרסתה</w:t>
      </w:r>
      <w:r>
        <w:rPr>
          <w:rtl w:val="true"/>
        </w:rPr>
        <w:t xml:space="preserve">, </w:t>
      </w:r>
      <w:r>
        <w:rPr>
          <w:rtl w:val="true"/>
        </w:rPr>
        <w:t>ובהם השינוי לרעה שחל במצבה הנפשי והתנהגותו של המערער לאחר האירוע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מספר ימים לאחר האירוע התקשר המערער למתלוננת אשר העבירה את הטלפון לאביה</w:t>
      </w:r>
      <w:r>
        <w:rPr>
          <w:rtl w:val="true"/>
        </w:rPr>
        <w:t xml:space="preserve">. </w:t>
      </w:r>
      <w:r>
        <w:rPr>
          <w:rtl w:val="true"/>
        </w:rPr>
        <w:t>במהלך השיחה עם האב אמנם הכחיש המערער כי פעל בניגוד לרצונה של המתלוננת</w:t>
      </w:r>
      <w:r>
        <w:rPr>
          <w:rtl w:val="true"/>
        </w:rPr>
        <w:t xml:space="preserve">, </w:t>
      </w:r>
      <w:r>
        <w:rPr>
          <w:rtl w:val="true"/>
        </w:rPr>
        <w:t>אך לכל אורך השיחה התנצל על התנהלותו</w:t>
      </w:r>
      <w:r>
        <w:rPr>
          <w:rtl w:val="true"/>
        </w:rPr>
        <w:t xml:space="preserve">. </w:t>
      </w:r>
      <w:r>
        <w:rPr>
          <w:rtl w:val="true"/>
        </w:rPr>
        <w:t>המערער גם התנצל לפני המתלוננת מייד לאחר האירוע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אם אכן הייתה התנהגותו ללא רבב והמתלוננת טופלת עליו האשמות שווא</w:t>
      </w:r>
      <w:r>
        <w:rPr>
          <w:rtl w:val="true"/>
        </w:rPr>
        <w:t xml:space="preserve">, </w:t>
      </w:r>
      <w:r>
        <w:rPr>
          <w:rtl w:val="true"/>
        </w:rPr>
        <w:t>מדוע ביקש סליחה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 אציין כי לא עלה בידי המערער ליתן הסבר מניח את הדעת למוטיבציה של המתלוננת להגיש נגדו תלונת שווא</w:t>
      </w:r>
      <w:r>
        <w:rPr>
          <w:rtl w:val="true"/>
        </w:rPr>
        <w:t xml:space="preserve">, </w:t>
      </w:r>
      <w:r>
        <w:rPr>
          <w:rtl w:val="true"/>
        </w:rPr>
        <w:t>שעה שלא הייתה בין השניים כל היכרות מוקדמת</w:t>
      </w:r>
      <w:r>
        <w:rPr>
          <w:rtl w:val="true"/>
        </w:rPr>
        <w:t xml:space="preserve">. </w:t>
      </w:r>
      <w:r>
        <w:rPr>
          <w:rtl w:val="true"/>
        </w:rPr>
        <w:t>המערער ניסה לטעון כי המתלוננת ביקשה להסתיר מחבריה את העובדה שקיימה עימו יחסי מין בהסכמה</w:t>
      </w:r>
      <w:r>
        <w:rPr>
          <w:rtl w:val="true"/>
        </w:rPr>
        <w:t xml:space="preserve">. </w:t>
      </w:r>
      <w:r>
        <w:rPr>
          <w:rtl w:val="true"/>
        </w:rPr>
        <w:t>מלבד העובדה שקשה להלום טענה זו</w:t>
      </w:r>
      <w:r>
        <w:rPr>
          <w:rtl w:val="true"/>
        </w:rPr>
        <w:t xml:space="preserve">, </w:t>
      </w:r>
      <w:r>
        <w:rPr>
          <w:rtl w:val="true"/>
        </w:rPr>
        <w:t>נוכח המחיר הכבד שמשלמות תדיר מתלוננות בעבירות מין</w:t>
      </w:r>
      <w:r>
        <w:rPr>
          <w:rtl w:val="true"/>
        </w:rPr>
        <w:t xml:space="preserve">, </w:t>
      </w:r>
      <w:r>
        <w:rPr>
          <w:rtl w:val="true"/>
        </w:rPr>
        <w:t>הרי שהיא גם אינה מתיישבת עם טענות המערער בנוגע לאופי המתלוננת ו</w:t>
      </w:r>
      <w:r>
        <w:rPr>
          <w:rtl w:val="true"/>
        </w:rPr>
        <w:t>"</w:t>
      </w:r>
      <w:r>
        <w:rPr>
          <w:rtl w:val="true"/>
        </w:rPr>
        <w:t>מתירנותה</w:t>
      </w:r>
      <w:r>
        <w:rPr>
          <w:rtl w:val="true"/>
        </w:rPr>
        <w:t xml:space="preserve">" </w:t>
      </w:r>
      <w:r>
        <w:rPr>
          <w:rtl w:val="true"/>
        </w:rPr>
        <w:t>המינית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לגרסת המערער המתלוננת הייתה הגורם היוזם לכל אורך האירוע</w:t>
      </w:r>
      <w:r>
        <w:rPr>
          <w:rtl w:val="true"/>
        </w:rPr>
        <w:t xml:space="preserve">, </w:t>
      </w:r>
      <w:r>
        <w:rPr>
          <w:rtl w:val="true"/>
        </w:rPr>
        <w:t>כפי שטען בעדותו</w:t>
      </w:r>
      <w:r>
        <w:rPr>
          <w:rtl w:val="true"/>
        </w:rPr>
        <w:t xml:space="preserve">, </w:t>
      </w:r>
      <w:r>
        <w:rPr>
          <w:rtl w:val="true"/>
        </w:rPr>
        <w:t xml:space="preserve">לפיה המתלוננת </w:t>
      </w:r>
      <w:r>
        <w:rPr>
          <w:rtl w:val="true"/>
        </w:rPr>
        <w:t>"...</w:t>
      </w:r>
      <w:r>
        <w:rPr>
          <w:rtl w:val="true"/>
        </w:rPr>
        <w:t>קמה והתיישבה עליי ואז היא אמרה לי שאתן לה סטירה ואמרתי לה מה פתאום</w:t>
      </w:r>
      <w:r>
        <w:rPr>
          <w:rtl w:val="true"/>
        </w:rPr>
        <w:t xml:space="preserve">, </w:t>
      </w:r>
      <w:r>
        <w:rPr>
          <w:rtl w:val="true"/>
        </w:rPr>
        <w:t>והיא שרטה אותי בחזה</w:t>
      </w:r>
      <w:r>
        <w:rPr>
          <w:rtl w:val="true"/>
        </w:rPr>
        <w:t xml:space="preserve">. </w:t>
      </w:r>
      <w:r>
        <w:rPr>
          <w:rtl w:val="true"/>
        </w:rPr>
        <w:t xml:space="preserve">ואז היא ירדה על שתיים </w:t>
      </w:r>
      <w:r>
        <w:rPr>
          <w:rtl w:val="true"/>
        </w:rPr>
        <w:t xml:space="preserve">... </w:t>
      </w:r>
      <w:r>
        <w:rPr>
          <w:rtl w:val="true"/>
        </w:rPr>
        <w:t>והיא ירדה לי</w:t>
      </w:r>
      <w:r>
        <w:rPr>
          <w:rtl w:val="true"/>
        </w:rPr>
        <w:t xml:space="preserve">, </w:t>
      </w:r>
      <w:r>
        <w:rPr>
          <w:rtl w:val="true"/>
        </w:rPr>
        <w:t>מצצה לי</w:t>
      </w:r>
      <w:r>
        <w:rPr>
          <w:rtl w:val="true"/>
        </w:rPr>
        <w:t xml:space="preserve">. </w:t>
      </w:r>
      <w:r>
        <w:rPr>
          <w:rtl w:val="true"/>
        </w:rPr>
        <w:t xml:space="preserve">ואז היא קמה ואמרה לי תזיין אותי ואמרתי לה שאין לה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.] </w:t>
      </w:r>
      <w:r>
        <w:rPr>
          <w:rtl w:val="true"/>
        </w:rPr>
        <w:t>פה קונדומים ואמרה לי שלא צריך קונדום</w:t>
      </w:r>
      <w:r>
        <w:rPr>
          <w:rtl w:val="true"/>
        </w:rPr>
        <w:t xml:space="preserve">, </w:t>
      </w:r>
      <w:r>
        <w:rPr>
          <w:rtl w:val="true"/>
        </w:rPr>
        <w:t>ואמרתי לה שבלי קונדום אני לא עושה את זה</w:t>
      </w:r>
      <w:r>
        <w:rPr>
          <w:rtl w:val="true"/>
        </w:rPr>
        <w:t>"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23-18</w:t>
      </w:r>
      <w:r>
        <w:rPr>
          <w:rtl w:val="true"/>
        </w:rPr>
        <w:t xml:space="preserve">). </w:t>
      </w:r>
      <w:r>
        <w:rPr>
          <w:rtl w:val="true"/>
        </w:rPr>
        <w:t>כאשר עומת בחקירתו הנגדית עם הניגוד בין להיטותה הנטענת של המתלוננת לבין ההודעות ששלחה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</w:t>
      </w:r>
      <w:r>
        <w:rPr>
          <w:rtl w:val="true"/>
        </w:rPr>
        <w:t>"</w:t>
      </w:r>
      <w:r>
        <w:rPr>
          <w:rtl w:val="true"/>
        </w:rPr>
        <w:t xml:space="preserve">בנסיעה לסו גוד </w:t>
      </w:r>
      <w:r>
        <w:rPr>
          <w:rtl w:val="true"/>
        </w:rPr>
        <w:t>[</w:t>
      </w:r>
      <w:r>
        <w:rPr>
          <w:rtl w:val="true"/>
        </w:rPr>
        <w:t xml:space="preserve">חנות הנוחות בתחנת הדלק אליה נסע המערער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אז ראיתי את שני החברים שלי</w:t>
      </w:r>
      <w:r>
        <w:rPr>
          <w:rtl w:val="true"/>
        </w:rPr>
        <w:t xml:space="preserve">. </w:t>
      </w:r>
      <w:r>
        <w:rPr>
          <w:rtl w:val="true"/>
        </w:rPr>
        <w:t>עצרתי שם</w:t>
      </w:r>
      <w:r>
        <w:rPr>
          <w:rtl w:val="true"/>
        </w:rPr>
        <w:t xml:space="preserve">. </w:t>
      </w:r>
      <w:r>
        <w:rPr>
          <w:rtl w:val="true"/>
        </w:rPr>
        <w:t>אמרתי להם שאני נוסע לקנות קונדומים</w:t>
      </w:r>
      <w:r>
        <w:rPr>
          <w:rtl w:val="true"/>
        </w:rPr>
        <w:t xml:space="preserve">. </w:t>
      </w:r>
      <w:r>
        <w:rPr>
          <w:rtl w:val="true"/>
        </w:rPr>
        <w:t>היא הייתה באוטו</w:t>
      </w:r>
      <w:r>
        <w:rPr>
          <w:rtl w:val="true"/>
        </w:rPr>
        <w:t xml:space="preserve">, </w:t>
      </w:r>
      <w:r>
        <w:rPr>
          <w:rtl w:val="true"/>
        </w:rPr>
        <w:t>היא שמעה שאני אומר לאנשים</w:t>
      </w:r>
      <w:r>
        <w:rPr>
          <w:rtl w:val="true"/>
        </w:rPr>
        <w:t xml:space="preserve">. </w:t>
      </w:r>
      <w:r>
        <w:rPr>
          <w:rtl w:val="true"/>
        </w:rPr>
        <w:t>וכנראה מזה</w:t>
      </w:r>
      <w:r>
        <w:rPr>
          <w:rtl w:val="true"/>
        </w:rPr>
        <w:t xml:space="preserve">, </w:t>
      </w:r>
      <w:r>
        <w:rPr>
          <w:rtl w:val="true"/>
        </w:rPr>
        <w:t xml:space="preserve">אז היא לא רצתה שיגידו </w:t>
      </w:r>
      <w:r>
        <w:rPr>
          <w:rtl w:val="true"/>
        </w:rPr>
        <w:t>'</w:t>
      </w:r>
      <w:r>
        <w:rPr>
          <w:rtl w:val="true"/>
        </w:rPr>
        <w:t>עשיתי דברים</w:t>
      </w:r>
      <w:r>
        <w:rPr>
          <w:rtl w:val="true"/>
        </w:rPr>
        <w:t xml:space="preserve">', </w:t>
      </w:r>
      <w:r>
        <w:rPr>
          <w:rtl w:val="true"/>
        </w:rPr>
        <w:t xml:space="preserve">אז הכי קל להגיד </w:t>
      </w:r>
      <w:r>
        <w:rPr>
          <w:rtl w:val="true"/>
        </w:rPr>
        <w:t>'</w:t>
      </w:r>
      <w:r>
        <w:rPr>
          <w:rtl w:val="true"/>
        </w:rPr>
        <w:t>הוא אונס אותי</w:t>
      </w:r>
      <w:r>
        <w:rPr>
          <w:rtl w:val="true"/>
        </w:rPr>
        <w:t>'"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31-28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אלא שגרסה זו נדחתה על 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אין בה כדי ליישב את הפער עליו הצביעה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ההגנה לא זימנה את חבריו של המערער להעיד בבית המשפט בתואנות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גרסה זו לא נתמכה בעדויות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מסוים אף העלה המערער הסבר חלופי להודעות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היא רצתה לגרום לעמית לקנא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הסברים אלה אינם משכנעים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 מצאתי ממש גם בטענת המערער בדבר </w:t>
      </w:r>
      <w:r>
        <w:rPr>
          <w:rtl w:val="true"/>
        </w:rPr>
        <w:t>"</w:t>
      </w:r>
      <w:r>
        <w:rPr>
          <w:rtl w:val="true"/>
        </w:rPr>
        <w:t>טעות במצב דברים</w:t>
      </w:r>
      <w:r>
        <w:rPr>
          <w:rtl w:val="true"/>
        </w:rPr>
        <w:t xml:space="preserve">". </w:t>
      </w:r>
      <w:r>
        <w:rPr>
          <w:rtl w:val="true"/>
        </w:rPr>
        <w:t>אף שהדברים לא נכתבו במישרין</w:t>
      </w:r>
      <w:r>
        <w:rPr>
          <w:rtl w:val="true"/>
        </w:rPr>
        <w:t xml:space="preserve">, </w:t>
      </w:r>
      <w:r>
        <w:rPr>
          <w:rtl w:val="true"/>
        </w:rPr>
        <w:t>עולה כי המערער טוען שנוכח הסכמתה של המתלוננת שיחדיר אצבעות לאיבר מינה ולמין אוראלי</w:t>
      </w:r>
      <w:r>
        <w:rPr>
          <w:rtl w:val="true"/>
        </w:rPr>
        <w:t xml:space="preserve">, </w:t>
      </w:r>
      <w:r>
        <w:rPr>
          <w:rtl w:val="true"/>
        </w:rPr>
        <w:t>הוא טעה בדבר הסכמתה לקיים עמו יחסי מין מלאים</w:t>
      </w:r>
      <w:r>
        <w:rPr>
          <w:rtl w:val="true"/>
        </w:rPr>
        <w:t xml:space="preserve">. </w:t>
      </w:r>
      <w:r>
        <w:rPr>
          <w:rtl w:val="true"/>
        </w:rPr>
        <w:t>טענה זו יש לדחות מכל וכל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פי עדות המתלוננת</w:t>
      </w:r>
      <w:r>
        <w:rPr>
          <w:rtl w:val="true"/>
        </w:rPr>
        <w:t xml:space="preserve">, </w:t>
      </w:r>
      <w:r>
        <w:rPr>
          <w:rtl w:val="true"/>
        </w:rPr>
        <w:t>היא הביעה מיידית</w:t>
      </w:r>
      <w:r>
        <w:rPr>
          <w:rtl w:val="true"/>
        </w:rPr>
        <w:t xml:space="preserve">, </w:t>
      </w:r>
      <w:r>
        <w:rPr>
          <w:rtl w:val="true"/>
        </w:rPr>
        <w:t>באופן שאינו משתמע לשני פנים</w:t>
      </w:r>
      <w:r>
        <w:rPr>
          <w:rtl w:val="true"/>
        </w:rPr>
        <w:t xml:space="preserve">, </w:t>
      </w:r>
      <w:r>
        <w:rPr>
          <w:rtl w:val="true"/>
        </w:rPr>
        <w:t>את חוסר הסכמתה לקיום יחסי מין מלאים עם המערער</w:t>
      </w:r>
      <w:r>
        <w:rPr>
          <w:rtl w:val="true"/>
        </w:rPr>
        <w:t xml:space="preserve">. </w:t>
      </w:r>
      <w:r>
        <w:rPr>
          <w:rtl w:val="true"/>
        </w:rPr>
        <w:t>אף לפי גרסתו שלו הוא הבחין במצוקתה</w:t>
      </w:r>
      <w:r>
        <w:rPr>
          <w:rtl w:val="true"/>
        </w:rPr>
        <w:t xml:space="preserve">. </w:t>
      </w:r>
      <w:r>
        <w:rPr>
          <w:rtl w:val="true"/>
        </w:rPr>
        <w:t>למרות חוסר הסכמה זה</w:t>
      </w:r>
      <w:r>
        <w:rPr>
          <w:rtl w:val="true"/>
        </w:rPr>
        <w:t xml:space="preserve">, </w:t>
      </w:r>
      <w:r>
        <w:rPr>
          <w:rtl w:val="true"/>
        </w:rPr>
        <w:t>המערער לא חדל ממעשיו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על פי גרסת המתלוננת</w:t>
      </w:r>
      <w:r>
        <w:rPr>
          <w:rtl w:val="true"/>
        </w:rPr>
        <w:t xml:space="preserve">, </w:t>
      </w:r>
      <w:r>
        <w:rPr>
          <w:rtl w:val="true"/>
        </w:rPr>
        <w:t>שהתקבלה כאמור</w:t>
      </w:r>
      <w:r>
        <w:rPr>
          <w:rtl w:val="true"/>
        </w:rPr>
        <w:t xml:space="preserve">, </w:t>
      </w:r>
      <w:r>
        <w:rPr>
          <w:rtl w:val="true"/>
        </w:rPr>
        <w:t>המערער החדיר את איבר מינו לאיבר מינה הן לפני קניית הקונדומים והן לאחריה</w:t>
      </w:r>
      <w:r>
        <w:rPr>
          <w:rtl w:val="true"/>
        </w:rPr>
        <w:t xml:space="preserve">. </w:t>
      </w:r>
      <w:r>
        <w:rPr>
          <w:rtl w:val="true"/>
        </w:rPr>
        <w:t xml:space="preserve">האם ייתכן כי המערער לא הבחין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פעמיים</w:t>
      </w:r>
      <w:r>
        <w:rPr>
          <w:rFonts w:ascii="Century" w:hAnsi="Century" w:cs="Century"/>
          <w:sz w:val="22"/>
          <w:sz w:val="22"/>
          <w:rtl w:val="true"/>
        </w:rPr>
        <w:t xml:space="preserve"> בחוסר הסכמתה של המתלוננת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sz w:val="22"/>
          <w:sz w:val="22"/>
          <w:rtl w:val="true"/>
        </w:rPr>
        <w:t>התשובה לשאלה רטורית זו ברורה על פניה והיא מובילה לשלילת טענת המערער בדבר</w:t>
      </w:r>
      <w:r>
        <w:rPr>
          <w:rtl w:val="true"/>
        </w:rPr>
        <w:t xml:space="preserve"> טעות במצב דברים</w:t>
      </w:r>
      <w:r>
        <w:rPr>
          <w:rtl w:val="true"/>
        </w:rPr>
        <w:t xml:space="preserve">, </w:t>
      </w:r>
      <w:r>
        <w:rPr>
          <w:rtl w:val="true"/>
        </w:rPr>
        <w:t>בפרט כאשר הוא לא העלה טענה זו ולא הרים את נטל הראיות כדי לבססה</w:t>
      </w:r>
      <w:r>
        <w:rPr>
          <w:rtl w:val="true"/>
        </w:rPr>
        <w:t xml:space="preserve">, </w:t>
      </w:r>
      <w:r>
        <w:rPr>
          <w:rtl w:val="true"/>
        </w:rPr>
        <w:t xml:space="preserve">כפי שקבע בית המשפט המחוזי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גם אונס שתחילתו ברצון וסופו באונס </w:t>
      </w:r>
      <w:r>
        <w:rPr>
          <w:rtl w:val="true"/>
        </w:rPr>
        <w:t>–</w:t>
      </w:r>
      <w:r>
        <w:rPr>
          <w:rtl w:val="true"/>
        </w:rPr>
        <w:t xml:space="preserve"> דינו כאונס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ובכלל לעניין עבירת האינוס</w:t>
      </w:r>
      <w:r>
        <w:rPr>
          <w:rtl w:val="true"/>
        </w:rPr>
        <w:t xml:space="preserve">, </w:t>
      </w:r>
      <w:r>
        <w:rPr>
          <w:rtl w:val="true"/>
        </w:rPr>
        <w:t xml:space="preserve">יפים דבריו הנכוחים של השופט </w:t>
      </w:r>
      <w:r>
        <w:rPr>
          <w:rtl w:val="true"/>
        </w:rPr>
        <w:t>(</w:t>
      </w:r>
      <w:r>
        <w:rPr>
          <w:rtl w:val="true"/>
        </w:rPr>
        <w:t>כתארו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(</w:t>
      </w:r>
      <w:r>
        <w:rPr/>
        <w:t>7.2.2007</w:t>
      </w:r>
      <w:r>
        <w:rPr>
          <w:rtl w:val="true"/>
        </w:rPr>
        <w:t>)):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אמיתיים</w:t>
      </w:r>
      <w:r>
        <w:rPr>
          <w:rtl w:val="true"/>
        </w:rPr>
        <w:t xml:space="preserve">, </w:t>
      </w:r>
      <w:r>
        <w:rPr>
          <w:rtl w:val="true"/>
        </w:rPr>
        <w:t>ויחסי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, </w:t>
      </w:r>
      <w:r>
        <w:rPr>
          <w:rtl w:val="true"/>
        </w:rPr>
        <w:t>האוצרת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.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מהיחסים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שבלב</w:t>
      </w:r>
      <w:r>
        <w:rPr>
          <w:rtl w:val="true"/>
        </w:rPr>
        <w:t xml:space="preserve">,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ובגופו</w:t>
      </w:r>
      <w:r>
        <w:rPr>
          <w:rtl w:val="true"/>
        </w:rPr>
        <w:t xml:space="preserve">.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חששות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מוסריות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,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דינו להידחות גם כן</w:t>
      </w:r>
      <w:r>
        <w:rPr>
          <w:rtl w:val="true"/>
        </w:rPr>
        <w:t xml:space="preserve">. </w:t>
      </w:r>
      <w:r>
        <w:rPr>
          <w:rtl w:val="true"/>
        </w:rPr>
        <w:t>הלכה פסוקה היא כי אין זה מדרכה של ערכאת הערעור להתערב בגזר הדין של הערכאה הדיונית אלא במקרים חריגים</w:t>
      </w:r>
      <w:r>
        <w:rPr>
          <w:rtl w:val="true"/>
        </w:rPr>
        <w:t xml:space="preserve">, </w:t>
      </w:r>
      <w:r>
        <w:rPr>
          <w:rtl w:val="true"/>
        </w:rPr>
        <w:t>כאשר נפלה טעות מהותית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שנגזר חורג באופן קיצוני מרמת הענישה המקובלת במקרים דומים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6.6.2018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נמנה על אותם מקרים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כבר נאמר על ידי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עבירות המין</w:t>
      </w:r>
      <w:r>
        <w:rPr>
          <w:rtl w:val="true"/>
        </w:rPr>
        <w:t xml:space="preserve">, </w:t>
      </w:r>
      <w:r>
        <w:rPr>
          <w:rtl w:val="true"/>
        </w:rPr>
        <w:t xml:space="preserve">ובראשן החמורות שבהן </w:t>
      </w:r>
      <w:r>
        <w:rPr>
          <w:rtl w:val="true"/>
        </w:rPr>
        <w:t>–</w:t>
      </w:r>
      <w:r>
        <w:rPr>
          <w:rtl w:val="true"/>
        </w:rPr>
        <w:t xml:space="preserve"> העבירות של אינוס ושל מעשי סדום </w:t>
      </w:r>
      <w:r>
        <w:rPr>
          <w:rtl w:val="true"/>
        </w:rPr>
        <w:t>–</w:t>
      </w:r>
      <w:r>
        <w:rPr>
          <w:rtl w:val="true"/>
        </w:rPr>
        <w:t xml:space="preserve"> הן בין העבירות החמורות והמכוערות המנויות ב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הן פוצעות את הקורבנות בגוף ובנפש</w:t>
      </w:r>
      <w:r>
        <w:rPr>
          <w:rtl w:val="true"/>
        </w:rPr>
        <w:t xml:space="preserve">, </w:t>
      </w:r>
      <w:r>
        <w:rPr>
          <w:rtl w:val="true"/>
        </w:rPr>
        <w:t>ועל כן הולם אותן עונש מאסר ממושך</w:t>
      </w:r>
      <w:r>
        <w:rPr>
          <w:rtl w:val="true"/>
        </w:rPr>
        <w:t>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10.2.2014</w:t>
      </w:r>
      <w:r>
        <w:rPr>
          <w:rtl w:val="true"/>
        </w:rPr>
        <w:t xml:space="preserve">)).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זה מדיניות ענישה מחמירה ביותר בעבירות מסוג זה לאורך השנים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גרמסיון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23.6.2013</w:t>
      </w:r>
      <w:r>
        <w:rPr>
          <w:rtl w:val="true"/>
        </w:rPr>
        <w:t xml:space="preserve">)).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 של המערער טענו כי מתחם הענישה שנקבע על ידי בית המשפט המחוזי היה גבוה מדי</w:t>
      </w:r>
      <w:r>
        <w:rPr>
          <w:rtl w:val="true"/>
        </w:rPr>
        <w:t xml:space="preserve">, </w:t>
      </w:r>
      <w:r>
        <w:rPr>
          <w:rtl w:val="true"/>
        </w:rPr>
        <w:t>אך נמנעו מלהביא פסיקה שתתמוך בטענה זו</w:t>
      </w:r>
      <w:r>
        <w:rPr>
          <w:rtl w:val="true"/>
        </w:rPr>
        <w:t xml:space="preserve">. </w:t>
      </w: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עיון בגזר הדין מעלה כי בית המשפט המחוזי נתן דעתו לכלל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ולא התעלם מגילו הצעיר של המערער</w:t>
      </w:r>
      <w:r>
        <w:rPr>
          <w:rtl w:val="true"/>
        </w:rPr>
        <w:t xml:space="preserve">, </w:t>
      </w:r>
      <w:r>
        <w:rPr>
          <w:rtl w:val="true"/>
        </w:rPr>
        <w:t>מעברו הפלילי הנקי ומיתר נסיבותיו האישיות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כל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  <w:tab/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19.8.2018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19.7.2018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16097410</w:t>
      </w:r>
      <w:r>
        <w:rPr>
          <w:sz w:val="16"/>
          <w:rtl w:val="true"/>
        </w:rPr>
        <w:t>_</w:t>
      </w:r>
      <w:r>
        <w:rPr>
          <w:sz w:val="16"/>
        </w:rPr>
        <w:t>N08.doc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54678313-9741/16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4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9741/16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מור אסלן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93995" TargetMode="External"/><Relationship Id="rId3" Type="http://schemas.openxmlformats.org/officeDocument/2006/relationships/hyperlink" Target="http://www.nevo.co.il/safrut/book/1241" TargetMode="External"/><Relationship Id="rId4" Type="http://schemas.openxmlformats.org/officeDocument/2006/relationships/hyperlink" Target="http://www.nevo.co.il/safrut/book/124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jh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54a.b" TargetMode="External"/><Relationship Id="rId12" Type="http://schemas.openxmlformats.org/officeDocument/2006/relationships/hyperlink" Target="http://www.nevo.co.il/law/74883" TargetMode="External"/><Relationship Id="rId13" Type="http://schemas.openxmlformats.org/officeDocument/2006/relationships/hyperlink" Target="http://www.nevo.co.il/law/74883/2a" TargetMode="External"/><Relationship Id="rId14" Type="http://schemas.openxmlformats.org/officeDocument/2006/relationships/hyperlink" Target="http://www.nevo.co.il/law/71835" TargetMode="External"/><Relationship Id="rId15" Type="http://schemas.openxmlformats.org/officeDocument/2006/relationships/hyperlink" Target="http://www.nevo.co.il/law/71835/13" TargetMode="External"/><Relationship Id="rId16" Type="http://schemas.openxmlformats.org/officeDocument/2006/relationships/hyperlink" Target="http://www.nevo.co.il/case/18093995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4jh" TargetMode="External"/><Relationship Id="rId24" Type="http://schemas.openxmlformats.org/officeDocument/2006/relationships/hyperlink" Target="http://www.nevo.co.il/case/6151033" TargetMode="External"/><Relationship Id="rId25" Type="http://schemas.openxmlformats.org/officeDocument/2006/relationships/hyperlink" Target="http://www.nevo.co.il/case/6246489" TargetMode="External"/><Relationship Id="rId26" Type="http://schemas.openxmlformats.org/officeDocument/2006/relationships/hyperlink" Target="http://www.nevo.co.il/case/6243136" TargetMode="External"/><Relationship Id="rId27" Type="http://schemas.openxmlformats.org/officeDocument/2006/relationships/hyperlink" Target="http://www.nevo.co.il/case/21478802" TargetMode="External"/><Relationship Id="rId28" Type="http://schemas.openxmlformats.org/officeDocument/2006/relationships/hyperlink" Target="http://www.nevo.co.il/case/20923878" TargetMode="External"/><Relationship Id="rId29" Type="http://schemas.openxmlformats.org/officeDocument/2006/relationships/hyperlink" Target="http://www.nevo.co.il/case/20923878" TargetMode="External"/><Relationship Id="rId30" Type="http://schemas.openxmlformats.org/officeDocument/2006/relationships/hyperlink" Target="http://www.nevo.co.il/law/98569/54a.b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18699871" TargetMode="External"/><Relationship Id="rId33" Type="http://schemas.openxmlformats.org/officeDocument/2006/relationships/hyperlink" Target="http://www.nevo.co.il/law/74883/2a" TargetMode="External"/><Relationship Id="rId34" Type="http://schemas.openxmlformats.org/officeDocument/2006/relationships/hyperlink" Target="http://www.nevo.co.il/law/74883" TargetMode="External"/><Relationship Id="rId35" Type="http://schemas.openxmlformats.org/officeDocument/2006/relationships/hyperlink" Target="http://www.nevo.co.il/law/71835/13" TargetMode="External"/><Relationship Id="rId36" Type="http://schemas.openxmlformats.org/officeDocument/2006/relationships/hyperlink" Target="http://www.nevo.co.il/safrut/book/1241" TargetMode="External"/><Relationship Id="rId37" Type="http://schemas.openxmlformats.org/officeDocument/2006/relationships/hyperlink" Target="http://www.nevo.co.il/case/6153255" TargetMode="External"/><Relationship Id="rId38" Type="http://schemas.openxmlformats.org/officeDocument/2006/relationships/hyperlink" Target="http://www.nevo.co.il/case/694026" TargetMode="External"/><Relationship Id="rId39" Type="http://schemas.openxmlformats.org/officeDocument/2006/relationships/hyperlink" Target="http://www.nevo.co.il/case/6238635" TargetMode="External"/><Relationship Id="rId40" Type="http://schemas.openxmlformats.org/officeDocument/2006/relationships/hyperlink" Target="http://www.nevo.co.il/case/22791287" TargetMode="External"/><Relationship Id="rId41" Type="http://schemas.openxmlformats.org/officeDocument/2006/relationships/hyperlink" Target="http://www.nevo.co.il/case/23582746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1312605" TargetMode="External"/><Relationship Id="rId44" Type="http://schemas.openxmlformats.org/officeDocument/2006/relationships/hyperlink" Target="http://www.nevo.co.il/case/5573456" TargetMode="External"/><Relationship Id="rId45" Type="http://schemas.openxmlformats.org/officeDocument/2006/relationships/hyperlink" Target="https://supreme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2018-07-22T11:56:00Z</dcterms:created>
  <dc:creator> </dc:creator>
  <dc:description/>
  <cp:keywords/>
  <dc:language>en-IL</dc:language>
  <cp:lastModifiedBy>orly</cp:lastModifiedBy>
  <cp:lastPrinted>2018-07-17T07:51:00Z</cp:lastPrinted>
  <dcterms:modified xsi:type="dcterms:W3CDTF">2018-07-22T11:56:00Z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מור אסלן</vt:lpwstr>
  </property>
  <property fmtid="{D5CDD505-2E9C-101B-9397-08002B2CF9AE}" pid="3" name="APPELLEE">
    <vt:lpwstr>מדינת ישראל</vt:lpwstr>
  </property>
  <property fmtid="{D5CDD505-2E9C-101B-9397-08002B2CF9AE}" pid="4" name="BOOKLISTTMP1">
    <vt:lpwstr>1241</vt:lpwstr>
  </property>
  <property fmtid="{D5CDD505-2E9C-101B-9397-08002B2CF9AE}" pid="5" name="CASESLISTTMP1">
    <vt:lpwstr>18093995:2;6151033;6246489;6243136;21478802;20923878:2;18699871;6153255;694026;6238635;22791287;23582746;11312605;5573456</vt:lpwstr>
  </property>
  <property fmtid="{D5CDD505-2E9C-101B-9397-08002B2CF9AE}" pid="6" name="DATE">
    <vt:lpwstr>20180719</vt:lpwstr>
  </property>
  <property fmtid="{D5CDD505-2E9C-101B-9397-08002B2CF9AE}" pid="7" name="ISABSTRACT">
    <vt:lpwstr>Y</vt:lpwstr>
  </property>
  <property fmtid="{D5CDD505-2E9C-101B-9397-08002B2CF9AE}" pid="8" name="JUDGE">
    <vt:lpwstr>נ' הנדל;ד' מינץ;י' וילנר</vt:lpwstr>
  </property>
  <property fmtid="{D5CDD505-2E9C-101B-9397-08002B2CF9AE}" pid="9" name="LAWLISTTMP1">
    <vt:lpwstr>70301/345.b.1:2;345.a.1:2;347.b;34jh</vt:lpwstr>
  </property>
  <property fmtid="{D5CDD505-2E9C-101B-9397-08002B2CF9AE}" pid="10" name="LAWLISTTMP2">
    <vt:lpwstr>98569/054a.b</vt:lpwstr>
  </property>
  <property fmtid="{D5CDD505-2E9C-101B-9397-08002B2CF9AE}" pid="11" name="LAWLISTTMP3">
    <vt:lpwstr>74883/002a</vt:lpwstr>
  </property>
  <property fmtid="{D5CDD505-2E9C-101B-9397-08002B2CF9AE}" pid="12" name="LAWLISTTMP4">
    <vt:lpwstr>71835/013</vt:lpwstr>
  </property>
  <property fmtid="{D5CDD505-2E9C-101B-9397-08002B2CF9AE}" pid="13" name="LAWYER">
    <vt:lpwstr>ד#ר בת עמי ברוט;ששי גז;שירן גולברי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דיון פלילי</vt:lpwstr>
  </property>
  <property fmtid="{D5CDD505-2E9C-101B-9397-08002B2CF9AE}" pid="19" name="NOSE14">
    <vt:lpwstr>דיון פלילי</vt:lpwstr>
  </property>
  <property fmtid="{D5CDD505-2E9C-101B-9397-08002B2CF9AE}" pid="20" name="NOSE15">
    <vt:lpwstr>ראיות</vt:lpwstr>
  </property>
  <property fmtid="{D5CDD505-2E9C-101B-9397-08002B2CF9AE}" pid="21" name="NOSE16">
    <vt:lpwstr>ראיות</vt:lpwstr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77;77;18;18;89;89</vt:lpwstr>
  </property>
  <property fmtid="{D5CDD505-2E9C-101B-9397-08002B2CF9AE}" pid="26" name="NOSE21">
    <vt:lpwstr>ענישה</vt:lpwstr>
  </property>
  <property fmtid="{D5CDD505-2E9C-101B-9397-08002B2CF9AE}" pid="27" name="NOSE210">
    <vt:lpwstr/>
  </property>
  <property fmtid="{D5CDD505-2E9C-101B-9397-08002B2CF9AE}" pid="28" name="NOSE22">
    <vt:lpwstr>ענישה</vt:lpwstr>
  </property>
  <property fmtid="{D5CDD505-2E9C-101B-9397-08002B2CF9AE}" pid="29" name="NOSE23">
    <vt:lpwstr>ערעור</vt:lpwstr>
  </property>
  <property fmtid="{D5CDD505-2E9C-101B-9397-08002B2CF9AE}" pid="30" name="NOSE24">
    <vt:lpwstr>ערעור</vt:lpwstr>
  </property>
  <property fmtid="{D5CDD505-2E9C-101B-9397-08002B2CF9AE}" pid="31" name="NOSE25">
    <vt:lpwstr>מהימנות</vt:lpwstr>
  </property>
  <property fmtid="{D5CDD505-2E9C-101B-9397-08002B2CF9AE}" pid="32" name="NOSE26">
    <vt:lpwstr>מהימנות</vt:lpwstr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1446;1446;504;504;1635;1635</vt:lpwstr>
  </property>
  <property fmtid="{D5CDD505-2E9C-101B-9397-08002B2CF9AE}" pid="37" name="NOSE31">
    <vt:lpwstr>מדיניות ענישה: עבירות מין בקטינים</vt:lpwstr>
  </property>
  <property fmtid="{D5CDD505-2E9C-101B-9397-08002B2CF9AE}" pid="38" name="NOSE310">
    <vt:lpwstr/>
  </property>
  <property fmtid="{D5CDD505-2E9C-101B-9397-08002B2CF9AE}" pid="39" name="NOSE32">
    <vt:lpwstr>התערבות ערכאת הערעור</vt:lpwstr>
  </property>
  <property fmtid="{D5CDD505-2E9C-101B-9397-08002B2CF9AE}" pid="40" name="NOSE33">
    <vt:lpwstr>אי-התערבות בממצאים עובדתיים</vt:lpwstr>
  </property>
  <property fmtid="{D5CDD505-2E9C-101B-9397-08002B2CF9AE}" pid="41" name="NOSE34">
    <vt:lpwstr>אי-התערבות במידת העונש</vt:lpwstr>
  </property>
  <property fmtid="{D5CDD505-2E9C-101B-9397-08002B2CF9AE}" pid="42" name="NOSE35">
    <vt:lpwstr>סתירות</vt:lpwstr>
  </property>
  <property fmtid="{D5CDD505-2E9C-101B-9397-08002B2CF9AE}" pid="43" name="NOSE36">
    <vt:lpwstr>בחינתה על-ידי ערכאת הערעור</vt:lpwstr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16970;8978;3849;17039;16884;10196</vt:lpwstr>
  </property>
  <property fmtid="{D5CDD505-2E9C-101B-9397-08002B2CF9AE}" pid="48" name="PADIDATE">
    <vt:lpwstr>20180722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9741</vt:lpwstr>
  </property>
  <property fmtid="{D5CDD505-2E9C-101B-9397-08002B2CF9AE}" pid="52" name="PROCYEAR">
    <vt:lpwstr>16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410120180719</vt:lpwstr>
  </property>
  <property fmtid="{D5CDD505-2E9C-101B-9397-08002B2CF9AE}" pid="56" name="TYPE_N_DATE">
    <vt:lpwstr>41020180719</vt:lpwstr>
  </property>
  <property fmtid="{D5CDD505-2E9C-101B-9397-08002B2CF9AE}" pid="57" name="WORDNUMPAGES">
    <vt:lpwstr>16</vt:lpwstr>
  </property>
</Properties>
</file>