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9"/>
        <w:gridCol w:w="3122"/>
        <w:gridCol w:w="4389"/>
        <w:gridCol w:w="632"/>
        <w:gridCol w:w="138"/>
      </w:tblGrid>
      <w:tr>
        <w:trPr/>
        <w:tc>
          <w:tcPr>
            <w:tcW w:w="7650" w:type="dxa"/>
            <w:gridSpan w:val="3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770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39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9813/16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08.12.2016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5664-09-15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25.5.2017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רוט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>*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רוב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בחבורה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בקובעו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הזדמנות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Cs w:val="26"/>
          <w:rtl w:val="true"/>
        </w:rPr>
        <w:t>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שתאפשר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שידבק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בחבורה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Cs w:val="26"/>
        </w:rPr>
        <w:t>14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החולקת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סולברג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הנוער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שפיטה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טיפול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Cs w:val="26"/>
          <w:rtl w:val="true"/>
        </w:rPr>
        <w:t>המקנה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ולצוות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טיפול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להרשיעו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בשונה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מבגירים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שלגביהם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מיוחדות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ויוצאות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תצדקנה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העבריין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לפניהם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הנכונות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הרלוונטיות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למהות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החשיבות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המוגברת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לאלמנט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להמלצת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מהמלצת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שיקומי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כבדי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משקל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בקובעו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הדומיננטי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והמסלול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שהביע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והפנמת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שבהתנהגותו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מצטיירת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גיוסו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יבוטלו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לתועלת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חצי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6" w:name="ABSTRACT_END"/>
      <w:bookmarkStart w:id="7" w:name="LawTable_End"/>
      <w:bookmarkStart w:id="8" w:name="ABSTRACT_END"/>
      <w:bookmarkStart w:id="9" w:name="LawTable_End"/>
      <w:bookmarkEnd w:id="8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ברנט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8.12.2016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5664-09-14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ומשהגיעו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שפיטה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ויחייבו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האתיופי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אתיופיה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משיעורם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באוכלוסייה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וממחקרים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מתבגרים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27.8.2017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והחינוך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והמוטיבציה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תצדקנה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הנכונות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2669/00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691-690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3596/11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26.12.2011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bookmarkStart w:id="15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7993/10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bookmarkEnd w:id="15"/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22.07.2013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לאלמנט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>" 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49/09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768-767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7113/08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15.12.2008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מצטיירת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פתרונה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דיחוי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ישכיל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pacing w:val="0"/>
          <w:sz w:val="24"/>
          <w:szCs w:val="24"/>
          <w:u w:val="single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פתאום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ובשאיפתו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רותם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תמריץ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15.6.2017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hanging="4320" w:start="4320"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16098130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54678313-9813/16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9813/16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cs="David"/>
    </w:rPr>
  </w:style>
  <w:style w:type="character" w:styleId="Style15">
    <w:name w:val="נושא הערה תו"/>
    <w:basedOn w:val="DefaultParagraphFont"/>
    <w:qFormat/>
    <w:rPr>
      <w:rFonts w:cs="David"/>
      <w:b/>
      <w:bCs/>
    </w:rPr>
  </w:style>
  <w:style w:type="character" w:styleId="Style16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7">
    <w:name w:val="טקסט בלונים"/>
    <w:basedOn w:val="Normal"/>
    <w:qFormat/>
    <w:pPr/>
    <w:rPr/>
  </w:style>
  <w:style w:type="paragraph" w:styleId="Style18">
    <w:name w:val="טקסט הערה"/>
    <w:basedOn w:val="Normal"/>
    <w:qFormat/>
    <w:pPr/>
    <w:rPr/>
  </w:style>
  <w:style w:type="paragraph" w:styleId="Style19">
    <w:name w:val="נושא הערה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50302" TargetMode="External"/><Relationship Id="rId3" Type="http://schemas.openxmlformats.org/officeDocument/2006/relationships/hyperlink" Target="http://www.nevo.co.il/law/70348" TargetMode="External"/><Relationship Id="rId4" Type="http://schemas.openxmlformats.org/officeDocument/2006/relationships/hyperlink" Target="http://www.nevo.co.il/law/70348/21" TargetMode="External"/><Relationship Id="rId5" Type="http://schemas.openxmlformats.org/officeDocument/2006/relationships/hyperlink" Target="http://www.nevo.co.il/law/70348/24" TargetMode="External"/><Relationship Id="rId6" Type="http://schemas.openxmlformats.org/officeDocument/2006/relationships/hyperlink" Target="http://www.nevo.co.il/law/70348/24.b" TargetMode="External"/><Relationship Id="rId7" Type="http://schemas.openxmlformats.org/officeDocument/2006/relationships/hyperlink" Target="http://www.nevo.co.il/law/70348/26" TargetMode="External"/><Relationship Id="rId8" Type="http://schemas.openxmlformats.org/officeDocument/2006/relationships/hyperlink" Target="http://www.nevo.co.il/law/70348/21" TargetMode="External"/><Relationship Id="rId9" Type="http://schemas.openxmlformats.org/officeDocument/2006/relationships/hyperlink" Target="http://www.nevo.co.il/law/70348/26" TargetMode="External"/><Relationship Id="rId10" Type="http://schemas.openxmlformats.org/officeDocument/2006/relationships/hyperlink" Target="http://www.nevo.co.il/law/70348/24" TargetMode="External"/><Relationship Id="rId11" Type="http://schemas.openxmlformats.org/officeDocument/2006/relationships/hyperlink" Target="http://www.nevo.co.il/law/70348/26" TargetMode="External"/><Relationship Id="rId12" Type="http://schemas.openxmlformats.org/officeDocument/2006/relationships/hyperlink" Target="http://www.nevo.co.il/law/70348/24.b" TargetMode="External"/><Relationship Id="rId13" Type="http://schemas.openxmlformats.org/officeDocument/2006/relationships/hyperlink" Target="http://www.nevo.co.il/case/5849797" TargetMode="External"/><Relationship Id="rId14" Type="http://schemas.openxmlformats.org/officeDocument/2006/relationships/hyperlink" Target="http://www.nevo.co.il/case/6245059" TargetMode="External"/><Relationship Id="rId15" Type="http://schemas.openxmlformats.org/officeDocument/2006/relationships/hyperlink" Target="http://www.nevo.co.il/case/6248177" TargetMode="External"/><Relationship Id="rId16" Type="http://schemas.openxmlformats.org/officeDocument/2006/relationships/hyperlink" Target="http://www.nevo.co.il/case/2237972" TargetMode="External"/><Relationship Id="rId17" Type="http://schemas.openxmlformats.org/officeDocument/2006/relationships/hyperlink" Target="http://www.nevo.co.il/case/6247596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2017-06-18T08:30:00Z</dcterms:created>
  <dc:creator> </dc:creator>
  <dc:description/>
  <cp:keywords/>
  <dc:language>en-IL</dc:language>
  <cp:lastModifiedBy>orly</cp:lastModifiedBy>
  <dcterms:modified xsi:type="dcterms:W3CDTF">2017-06-18T08:30:00Z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ProcID=209&amp;PartA=5664&amp;PartB=09&amp;PartC=14</vt:lpwstr>
  </property>
  <property fmtid="{D5CDD505-2E9C-101B-9397-08002B2CF9AE}" pid="9" name="CASESLISTTMP1">
    <vt:lpwstr>20550302;5849797;6245059;6248177;2237972;6247596</vt:lpwstr>
  </property>
  <property fmtid="{D5CDD505-2E9C-101B-9397-08002B2CF9AE}" pid="10" name="CITY">
    <vt:lpwstr/>
  </property>
  <property fmtid="{D5CDD505-2E9C-101B-9397-08002B2CF9AE}" pid="11" name="DATE">
    <vt:lpwstr>20170615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חיות;נ' סולברג;ד' ברק ארז</vt:lpwstr>
  </property>
  <property fmtid="{D5CDD505-2E9C-101B-9397-08002B2CF9AE}" pid="15" name="LAWLISTTMP1">
    <vt:lpwstr>70348/021;026:2;024;024.b</vt:lpwstr>
  </property>
  <property fmtid="{D5CDD505-2E9C-101B-9397-08002B2CF9AE}" pid="16" name="LAWYER">
    <vt:lpwstr>קרן רוט;טלי סמואל;איתי בן נון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נוער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65;18;77;77;77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1296;465;1446;1446;1446</vt:lpwstr>
  </property>
  <property fmtid="{D5CDD505-2E9C-101B-9397-08002B2CF9AE}" pid="49" name="NOSE31">
    <vt:lpwstr>הרשעה</vt:lpwstr>
  </property>
  <property fmtid="{D5CDD505-2E9C-101B-9397-08002B2CF9AE}" pid="50" name="NOSE310">
    <vt:lpwstr/>
  </property>
  <property fmtid="{D5CDD505-2E9C-101B-9397-08002B2CF9AE}" pid="51" name="NOSE32">
    <vt:lpwstr>ביטולה</vt:lpwstr>
  </property>
  <property fmtid="{D5CDD505-2E9C-101B-9397-08002B2CF9AE}" pid="52" name="NOSE33">
    <vt:lpwstr>מדיניות ענישה: שיקום</vt:lpwstr>
  </property>
  <property fmtid="{D5CDD505-2E9C-101B-9397-08002B2CF9AE}" pid="53" name="NOSE34">
    <vt:lpwstr>מדיניות ענישה: נוער</vt:lpwstr>
  </property>
  <property fmtid="{D5CDD505-2E9C-101B-9397-08002B2CF9AE}" pid="54" name="NOSE35">
    <vt:lpwstr>דרכי ענישה: שירות לתועלת הציבור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7904;3631;14346;8983;8975</vt:lpwstr>
  </property>
  <property fmtid="{D5CDD505-2E9C-101B-9397-08002B2CF9AE}" pid="60" name="PADIDATE">
    <vt:lpwstr>20170618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9813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410120170615</vt:lpwstr>
  </property>
  <property fmtid="{D5CDD505-2E9C-101B-9397-08002B2CF9AE}" pid="70" name="TYPE_N_DATE">
    <vt:lpwstr>41020170615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