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990/21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נפגעי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31.12.2020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52343-02-19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באומגרט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21.09.2022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המערער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אהוד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בן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יהודה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bookmarkStart w:id="4" w:name="FirstLawyer"/>
            <w:bookmarkEnd w:id="4"/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המשיב</w:t>
            </w:r>
            <w:r>
              <w:rPr>
                <w:rFonts w:ascii="Century" w:hAnsi="Century" w:cs="FrankRuehl"/>
                <w:spacing w:val="10"/>
                <w:rtl w:val="true"/>
              </w:rPr>
              <w:t>ה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1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ד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שרית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משגב</w:t>
            </w:r>
          </w:p>
        </w:tc>
      </w:tr>
    </w:tbl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המשיבים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cs="FrankRuehl" w:ascii="Century" w:hAnsi="Century"/>
                <w:spacing w:val="10"/>
              </w:rPr>
              <w:t>2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מר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מוסא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מוסא</w:t>
            </w:r>
          </w:p>
        </w:tc>
      </w:tr>
    </w:tbl>
    <w:p>
      <w:pPr>
        <w:pStyle w:val="Normal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בשם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שירות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המבחן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לנוער</w:t>
            </w:r>
            <w:r>
              <w:rPr>
                <w:rFonts w:cs="FrankRuehl" w:ascii="Century" w:hAnsi="Century"/>
                <w:spacing w:val="10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>
                <w:rFonts w:ascii="Century" w:hAnsi="Century" w:cs="FrankRuehl"/>
                <w:spacing w:val="10"/>
              </w:rPr>
            </w:pPr>
            <w:r>
              <w:rPr>
                <w:rFonts w:ascii="Century" w:hAnsi="Century" w:cs="FrankRuehl"/>
                <w:spacing w:val="10"/>
                <w:rtl w:val="true"/>
              </w:rPr>
              <w:t>עו</w:t>
            </w:r>
            <w:r>
              <w:rPr>
                <w:rFonts w:cs="FrankRuehl" w:ascii="Century" w:hAnsi="Century"/>
                <w:spacing w:val="10"/>
                <w:rtl w:val="true"/>
              </w:rPr>
              <w:t>"</w:t>
            </w:r>
            <w:r>
              <w:rPr>
                <w:rFonts w:ascii="Century" w:hAnsi="Century" w:cs="FrankRuehl"/>
                <w:spacing w:val="10"/>
                <w:rtl w:val="true"/>
              </w:rPr>
              <w:t>ס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טלי</w:t>
            </w:r>
            <w:r>
              <w:rPr>
                <w:rFonts w:ascii="Century" w:hAnsi="Century" w:eastAsia="Century" w:cs="Century"/>
                <w:spacing w:val="10"/>
                <w:rtl w:val="true"/>
              </w:rPr>
              <w:t xml:space="preserve"> </w:t>
            </w:r>
            <w:r>
              <w:rPr>
                <w:rFonts w:ascii="Century" w:hAnsi="Century" w:cs="FrankRuehl"/>
                <w:spacing w:val="10"/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אורי שהם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;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אור שחרור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מופחתת או אחריות מופחתת בעבירת הרצח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ספר מנחם פינקלשטיין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ביטחון וספר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 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שרון אפק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עופר גרוסקופף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שחר ליפשיץ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אלעד שפיגלמן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443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End"/>
      <w:bookmarkStart w:id="6" w:name="Links_Kitvei_End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7" w:name="Links_Start"/>
      <w:bookmarkEnd w:id="7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ישגב נקדימון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הגנה מן הצדק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מהדורה </w:t>
        </w:r>
        <w:r>
          <w:rPr>
            <w:rStyle w:val="Hyperlink"/>
            <w:rFonts w:cs="FrankRuehl" w:ascii="FrankRuehl" w:hAnsi="FrankRuehl"/>
            <w:sz w:val="24"/>
            <w:u w:val="none"/>
          </w:rPr>
          <w:t>3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7">
        <w:r>
          <w:rPr>
            <w:rtl w:val="true"/>
          </w:rPr>
        </w:r>
      </w:hyperlink>
      <w:bookmarkStart w:id="8" w:name="LawTable"/>
      <w:bookmarkStart w:id="9" w:name="Links_End"/>
      <w:bookmarkStart w:id="10" w:name="LawTable"/>
      <w:bookmarkStart w:id="11" w:name="Links_End"/>
      <w:bookmarkEnd w:id="10"/>
      <w:bookmarkEnd w:id="11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97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107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111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113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121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311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כא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369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413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428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 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21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0">
        <w:r>
          <w:rPr>
            <w:rStyle w:val="Hyperlink"/>
            <w:rFonts w:cs="FrankRuehl" w:ascii="FrankRuehl" w:hAnsi="FrankRuehl"/>
            <w:sz w:val="24"/>
            <w:u w:val="none"/>
          </w:rPr>
          <w:t>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1995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bookmarkStart w:id="14" w:name="ABSTRACT_START"/>
      <w:bookmarkEnd w:id="14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נדחה ערעור על עונש מאסר בפועל בן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ופיצוי מירבי לנפגעי העבירה שהושתו על המערער בגין הרשעתו ברצח ובעבירות נוספות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שנדחו טענות המערער כי לא ניתן משקל מספק למעורבותו של מעורב נוסף בפרשה ולמחדלי החקירה בקביעת 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לא ניתן משקל מספק לנסיבות מקלות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לפי סעיף </w:t>
      </w:r>
      <w:r>
        <w:rPr>
          <w:rFonts w:cs="Times New Roman" w:ascii="Times New Roman" w:hAnsi="Times New Roman"/>
          <w:spacing w:val="0"/>
          <w:szCs w:val="26"/>
        </w:rPr>
        <w:t>41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העונשין העונש המקסימלי שניתן להשית עומד על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ונקבע כי חל סעיף </w:t>
      </w:r>
      <w:r>
        <w:rPr>
          <w:rFonts w:cs="Times New Roman" w:ascii="Times New Roman" w:hAnsi="Times New Roman"/>
          <w:spacing w:val="0"/>
          <w:szCs w:val="26"/>
        </w:rPr>
        <w:t>311</w:t>
      </w:r>
      <w:r>
        <w:rPr>
          <w:rFonts w:ascii="Times New Roman" w:hAnsi="Times New Roman" w:cs="Times New Roman"/>
          <w:spacing w:val="0"/>
          <w:szCs w:val="26"/>
          <w:rtl w:val="true"/>
        </w:rPr>
        <w:t>א לחוק שמעניק לבימ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שיקול דעת להטיל עונש קצוב בזמן עד 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נדחתה הטענה כי לא היה מקום לקבוע שהעונש ירוצה במצטבר לעונשים בתיק אחר ונקבע שאין מקום להתערב ברכיב הפיצוי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 מצטברים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מאסר עולם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בביצוע העבירות הבאות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רצח 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נשיאת נשק והובלתו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חטיפה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סחיטה באיומים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הדחה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וחבלה במזיד ברכב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המערער הושתו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שנתיים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ופיצוי לנפגעי העבירה בסך כולל של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ש״ח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מופנה נגד העונש בלבד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כבוב ובהסכמת השופטים ברון ושטיין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קבע כי אין זה מקרה המצדיק התערבות של ערכאת הערעור בשיקול הדעת המוענק לערכאה הדיונית בקביעת העונש ההולם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בגזר הדין לא נפלה כל טעות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 כי העונש שהושת על המערער סוטה באופן ניכר ממדיניות הענישה הראויה והמקובלת בעבירות בהן הוא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טענת המערער כי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שגה משלא העניק משקל מספק למעורבות של מעורב אחר בפרשה כמו גם למחדלי החקירה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שעה שגזר את דינו 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להתערב בקביעת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כי המערער הוא האחראי הבלעדי בביצוע מעשה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עליה לא הוגש 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ובנוסף אין זהות בין חלקם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מקומן הטבעי של טענות המערער אשר לקיומם של מחדלי חקירה הוא בשלב בירור אשמתו והמערער נמנע מלהעלות את טענותיו בדבר מחדלי חקירה עד לשלב הסיכומים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משלא הייתה כל השפעה ישירה של מחדלי החקירה הנטענים על עניינו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לקבל את טענתו להקלה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 ייתכנו מצבים בהם מחדלי חקירה בעניינו של שותף אחד לביצוע עבירה יביאו לתוצאה המפלה שותף אחר באופן שעשוי להצדיק הקלה בעונשו של האחרון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לזכותו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מטעמי הגנה מן הצדק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כך המצב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הקביעה באשר לחלקו של המעורב הנוסף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נסיבות ביצוע העבירה ונסיבותיו האישיות של המערער מצדיקות הקלה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יש להתחשב בכך שהוא היה קטין בעת שביצע את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תחת השפעת סם מסוכן ובכך שהוא ביצע את הרצח מתוך תחושת איום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 המערער מנוגדים לערכי יסוד מוסריים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משפטיים וחברתיים ולא נעשו בפזיזות או באימפולסיביות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מתוך תחושת חשש או איום מפני המנוח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נדרש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לגזור את דינו של קטין שהורשע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עליו לתת משקל מיוחד לשיקולי 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לתת גם את הדעת ליתר שיקולי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ובהם הרתעה וגמול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נסיבות ביצוע העבירות וחומרתן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תסקיר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בצדק נקבע כי אין לבכר את שיקולי השיקום בעניינו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דומה כי דרכו של המערער לשיקום עצמי עודנה ארוכה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ששיקולי השיקום טרם בשלו לצורך הקלה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 שהושת על המערער מידתי ביחס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הקל עמו מתוך תקווה לשיקומו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הטענה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שגה עת שגזר עליו </w:t>
      </w:r>
      <w:r>
        <w:rPr>
          <w:rFonts w:cs="Times New Roman" w:ascii="Times New Roman" w:hAnsi="Times New Roman"/>
          <w:spacing w:val="0"/>
          <w:sz w:val="24"/>
          <w:szCs w:val="26"/>
        </w:rPr>
        <w:t>25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מקום בו העונש המקסימלי שניתן להשית על מי שהורשע בעבירת הרצח 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שאינו עונש של מאסר עולם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הוא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טענה זו מיוסדת על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41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לחוק </w:t>
      </w:r>
      <w:r>
        <w:rPr>
          <w:rStyle w:val="default"/>
          <w:spacing w:val="0"/>
          <w:sz w:val="24"/>
          <w:sz w:val="24"/>
          <w:szCs w:val="26"/>
          <w:rtl w:val="true"/>
        </w:rPr>
        <w:t>לפיו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Cs w:val="26"/>
          <w:rtl w:val="true"/>
        </w:rPr>
        <w:t>"</w:t>
      </w:r>
      <w:r>
        <w:rPr>
          <w:rStyle w:val="default"/>
          <w:spacing w:val="0"/>
          <w:sz w:val="24"/>
          <w:sz w:val="24"/>
          <w:szCs w:val="26"/>
          <w:rtl w:val="true"/>
        </w:rPr>
        <w:t>עבירה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שדינה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מאסר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עולם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ולא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נקבע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שהוא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עונש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חובה</w:t>
      </w:r>
      <w:r>
        <w:rPr>
          <w:rStyle w:val="default"/>
          <w:rFonts w:cs="FrankRuehl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spacing w:val="0"/>
          <w:sz w:val="24"/>
          <w:sz w:val="24"/>
          <w:szCs w:val="26"/>
          <w:rtl w:val="true"/>
        </w:rPr>
        <w:t>תקופת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המאסר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שיטיל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בית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המשפט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לא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תעלה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על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עשרים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שנה</w:t>
      </w:r>
      <w:r>
        <w:rPr>
          <w:rStyle w:val="default"/>
          <w:rFonts w:cs="FrankRuehl"/>
          <w:spacing w:val="0"/>
          <w:sz w:val="24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311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 לחוק קובע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Style w:val="default"/>
          <w:rFonts w:cs="FrankRuehl"/>
          <w:spacing w:val="0"/>
          <w:sz w:val="24"/>
          <w:szCs w:val="26"/>
          <w:rtl w:val="true"/>
        </w:rPr>
        <w:t>"</w:t>
      </w:r>
      <w:r>
        <w:rPr>
          <w:rStyle w:val="default"/>
          <w:spacing w:val="0"/>
          <w:sz w:val="24"/>
          <w:sz w:val="24"/>
          <w:szCs w:val="26"/>
          <w:rtl w:val="true"/>
        </w:rPr>
        <w:t>על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אף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הוראות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סעיף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rFonts w:cs="FrankRuehl"/>
          <w:spacing w:val="0"/>
          <w:sz w:val="24"/>
          <w:szCs w:val="26"/>
        </w:rPr>
        <w:t>41</w:t>
      </w:r>
      <w:r>
        <w:rPr>
          <w:rStyle w:val="default"/>
          <w:rFonts w:cs="FrankRuehl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spacing w:val="0"/>
          <w:sz w:val="24"/>
          <w:sz w:val="24"/>
          <w:szCs w:val="26"/>
          <w:rtl w:val="true"/>
        </w:rPr>
        <w:t>בעבירה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לפי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סימן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זה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שדינה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מאסר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עולם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ולא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נקבע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שהוא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עונש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חובה</w:t>
      </w:r>
      <w:r>
        <w:rPr>
          <w:rStyle w:val="default"/>
          <w:rFonts w:cs="FrankRuehl"/>
          <w:spacing w:val="0"/>
          <w:sz w:val="24"/>
          <w:szCs w:val="26"/>
          <w:rtl w:val="true"/>
        </w:rPr>
        <w:t xml:space="preserve">, </w:t>
      </w:r>
      <w:r>
        <w:rPr>
          <w:rStyle w:val="default"/>
          <w:spacing w:val="0"/>
          <w:sz w:val="24"/>
          <w:sz w:val="24"/>
          <w:szCs w:val="26"/>
          <w:rtl w:val="true"/>
        </w:rPr>
        <w:t>רשאי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בית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המשפט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להטיל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מאסר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עולם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לתקופה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בלתי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קצובה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או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מאסר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לתקופה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שלא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תעלה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על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שלושים</w:t>
      </w:r>
      <w:r>
        <w:rPr>
          <w:rStyle w:val="default"/>
          <w:rFonts w:eastAsia="Arial TUR;Arial" w:cs="Arial TUR;Arial"/>
          <w:spacing w:val="0"/>
          <w:sz w:val="24"/>
          <w:sz w:val="24"/>
          <w:szCs w:val="26"/>
          <w:rtl w:val="true"/>
        </w:rPr>
        <w:t xml:space="preserve"> </w:t>
      </w:r>
      <w:r>
        <w:rPr>
          <w:rStyle w:val="default"/>
          <w:spacing w:val="0"/>
          <w:sz w:val="24"/>
          <w:sz w:val="24"/>
          <w:szCs w:val="26"/>
          <w:rtl w:val="true"/>
        </w:rPr>
        <w:t>שנים</w:t>
      </w:r>
      <w:r>
        <w:rPr>
          <w:rStyle w:val="default"/>
          <w:rFonts w:cs="FrankRuehl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מטרת סעיף </w:t>
      </w:r>
      <w:r>
        <w:rPr>
          <w:rFonts w:cs="Times New Roman" w:ascii="Times New Roman" w:hAnsi="Times New Roman"/>
          <w:spacing w:val="0"/>
          <w:sz w:val="24"/>
          <w:szCs w:val="26"/>
        </w:rPr>
        <w:t>311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 לחוק היא להחריג את התחולה של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41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מעבירות של גרימת 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שיקול דעת רחב בקביעת העונש בעבירות גרימת מוות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שלצידן נקבע עונש מאסר עולם שאינו עונש חובה והחוק קובע הסדר בעל שני מסלולים מקבילים לגזירת עונשו של מי שהורשע בעבירה כזו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הטלת עונש מאסר עולם שאינו קצוב בזמן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הטלת עונש מאסר קצוב בזמן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שאינו עולה על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סעיף </w:t>
      </w:r>
      <w:r>
        <w:rPr>
          <w:rFonts w:cs="Times New Roman" w:ascii="Times New Roman" w:hAnsi="Times New Roman"/>
          <w:spacing w:val="0"/>
          <w:sz w:val="24"/>
          <w:szCs w:val="26"/>
        </w:rPr>
        <w:t>41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אינו חל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וחלף זאת חל סעיף </w:t>
      </w:r>
      <w:r>
        <w:rPr>
          <w:rFonts w:cs="Times New Roman" w:ascii="Times New Roman" w:hAnsi="Times New Roman"/>
          <w:spacing w:val="0"/>
          <w:sz w:val="24"/>
          <w:szCs w:val="26"/>
        </w:rPr>
        <w:t>311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מעניק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שיקול דעת להטיל עונש קצוב בזמן עד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שעשה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לאופן ריצוי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השיקולים שינחו את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 הכרעה בדבר אופן ריצוי עונשי מאסר שהושתו על אדם בגין עבירות שונות 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 של זיקה בין העבירות בהן הורשע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הנוגעים למהות העבירה וחומרתה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הפגיעה והנזק שמעשי הנאשם יצרו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ושיקולים של גמול והרתעה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אלה תומכים במסקנה כי ראוי שהעונש שהושת על המערער ירוצה במצטבר לעונש שהושת עליו בתיק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מקום להתערב בפיצוי נפגעי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עצם היות המערער קטין בעת שביצע את העבירות בהן הוא הורשע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טעם המצדיק התערבות בפיצוי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מצוקה כלכלית של מי שהורשע בפלילים או של משפחתו אינה מהווה שיקול בעת קביעת פיצוי לנפגעי עבירה במסגרת הליך 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5" w:name="ABSTRACT_END"/>
      <w:bookmarkStart w:id="16" w:name="ABSTRACT_END"/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7" w:name="PsakDin"/>
            <w:bookmarkStart w:id="18" w:name="BeginProtocol"/>
            <w:bookmarkStart w:id="19" w:name="secretary"/>
            <w:bookmarkEnd w:id="17"/>
            <w:bookmarkEnd w:id="18"/>
            <w:bookmarkEnd w:id="19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ח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כבוב</w:t>
      </w:r>
      <w:r>
        <w:rPr>
          <w:rFonts w:cs="Miriam"/>
          <w:sz w:val="24"/>
          <w:szCs w:val="24"/>
          <w:u w:val="single"/>
          <w:rtl w:val="true"/>
        </w:rPr>
        <w:t>:</w:t>
      </w:r>
      <w:bookmarkStart w:id="21" w:name="Start_Write"/>
      <w:bookmarkEnd w:id="21"/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ערעור על גזר דינו של בית המשפט המחוזי בחיפה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כב׳ 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Fonts w:cs="Century" w:ascii="Century" w:hAnsi="Century"/>
          <w:sz w:val="22"/>
          <w:rtl w:val="true"/>
        </w:rPr>
        <w:t>,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ו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א׳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באומגרט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תפ״ח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52343-02-19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31.12.2020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הושתו על המערער העונשים הבאים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שנתיים מאסר על תנאי למשך שלוש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שמא יבצע עבירת אלימות מסוג פשע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לנפגעי העבירה בסך כולל של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ש״ח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שהורשע המערער בעבירת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4"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התשל״ז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ascii="Century" w:hAnsi="Century" w:cs="Century"/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ועבירות נוספות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והכל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פי המתואר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חודש ינואר 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סחט המערער מאדם בשם יובל לוי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שאיים עליו כי אם לא ישלם לו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ייפגע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בערב יום </w:t>
      </w:r>
      <w:r>
        <w:rPr>
          <w:rFonts w:cs="Century" w:ascii="Century" w:hAnsi="Century"/>
        </w:rPr>
        <w:t>27.01.2019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 המערער יחד עם אדם 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שזהותו אינה ידועה למשיבה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לביתו של יובל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משיובל סירב לפתוח את דלת 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עזבו השניים את המקום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שלח המערער ליובל הודעות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בהן דרש ממנו דמי סחיטה בסך </w:t>
      </w:r>
      <w:r>
        <w:rPr>
          <w:rFonts w:cs="Century" w:ascii="Century" w:hAnsi="Century"/>
        </w:rPr>
        <w:t>4,000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ש״ח או שרשרת שנהג לענוד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שבר המערער את שמשות רכבו של יובל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לאור המתואר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28.01.2019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פנה יובל אל אדם בשם אברהם זגורי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וסיפר לו על ניסיונות הסחיטה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זגורי השיב ליובל כי יטפל בעניין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ועדכן את חסיב מוסא ז״ל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על אודות האירועים שסיפר לו יובל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בהמשך 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לשעה </w:t>
      </w:r>
      <w:r>
        <w:rPr>
          <w:rFonts w:cs="Century" w:ascii="Century" w:hAnsi="Century"/>
        </w:rPr>
        <w:t>20:45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אספו זגורי והמנוח את יובל מביתו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ולאחר מכן התקשר המנוח אל המערער והשניים קבעו פגישה במרכז המסחרי בכניסה לקרית טבעון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המרכז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המסחרי</w:t>
      </w:r>
      <w:r>
        <w:rPr>
          <w:rFonts w:cs="Century" w:ascii="Century" w:hAnsi="Century"/>
          <w:rtl w:val="true"/>
        </w:rPr>
        <w:t>),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במטרה ליישב את ההדורים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בסמוך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נפגשו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אביהו מזרחי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מזרחי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אמיר דלאיכה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דלאיכה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ואדם נוסף יליד </w:t>
      </w:r>
      <w:r>
        <w:rPr>
          <w:rFonts w:cs="Century" w:ascii="Century" w:hAnsi="Century"/>
        </w:rPr>
        <w:t>17.06.2003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בביתו של מזרחי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סיפק מזרחי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לדלאיכה ולמ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סם מסוכן מסוג מריחואנה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על אף היות המערער ומ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קטינים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עלו כולם לרכבו של מזרחי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הסובארו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כאשר המערער לבוש בשכפ״ץ שמסר לו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עוטה כפפות ונושא עליו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מקלע מאולתר בקוטר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מ״מ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אותו הוא הסתיר בגופו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במהלך הנסיעה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הציג את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המקלע ליושבים ברכב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מכן הניחו מתחת למושב הנהג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בשעה </w:t>
      </w:r>
      <w:r>
        <w:rPr>
          <w:rFonts w:cs="Century" w:ascii="Century" w:hAnsi="Century"/>
        </w:rPr>
        <w:t>21:15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יובל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המנוח וזגורי למרכז המסחרי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כרבע שעה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הגיעו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דלאיכה ומ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>והחנו את הסובארו כמה עשרות מטרים מהראשונים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ודלאיכה יצאו מהסובארו והלכו לכיוון המרכז המסחרי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פגשו את יובל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זגורי והמנוח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התפתח עימות מילולי בין המערער ובין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במסגרתו אחז המנוח בחולצתו של המערער והשמיע נגדו איומים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שהשתחרר מאחיזתו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רץ אל עבר הסובארו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הוציא את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המקלע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והחל בירי לכיוון המרכז המסחרי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ירה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כדורים לעבר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ופגע בו 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פעמים מטווח קצר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יובל וזגורי נמלטו מהמקום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המנוח מת מפצעיו זמן קצר לאחר האירוע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נוכח הירי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מזרחי ומ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מיהרו לעזוב את מקום האירוע בסובארו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שהם מותירים את המערער ואת דלאיכה מאחור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ניגשו המערער ודלאיכה למונית שחנתה בסמוך למתחם המסחרי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וכשעלו עליה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הצמיד המערער את תת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המקלע לראשו של הנהג והורה לו שיסע ממקום האירוע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שנסעו כ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ירד המערער מהמונית ונמלט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הורה המערער למ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., </w:t>
      </w:r>
      <w:r>
        <w:rPr>
          <w:rFonts w:ascii="Century" w:hAnsi="Century" w:cs="Century"/>
          <w:rtl w:val="true"/>
        </w:rPr>
        <w:t xml:space="preserve">שאם יוזמן לחקירה במשטרה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אל לו למסור דבר על אודות האירוע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בשל המתואר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הואשם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הורשע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בביצוע העבירות הבאות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רצח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יסוד נפשי של כוונה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לפי </w:t>
      </w:r>
      <w:hyperlink r:id="rId3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300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נשיאת נשק והובלתו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חטיפה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369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3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428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הדחה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4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וחבלה במזיד ברכב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4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413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היות שהערעור דנא מופנה כולו נגד העונש שהוטל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נגד הרשעתו בדין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הדיון בחלק זה יוקדש לגזר דינו של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 לענייננו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הכחיש שביצע את העבירות שיוחסו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וטען שאלו בוצעו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מזרחי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בית המשפט המחוזי לא נתן אמון בגרסתו והעדיף את גרסתם של עדי הראייה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דחה בית המשפט את גרסתו ואת טענותיו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והרשיע אותו בכל המיוחס לו בכתב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במסגרת גזר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תחילה בית המשפט המחוזי לתסקיר שירות המבחן שהוגש בעניינו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פירט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אודות המשפחה ה״רב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בעייתית״ בה גדל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ניסיונו לשקם את עצמו בזמן שהותו בכלא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ליקויים בכושר האמפתי והאינטליגנציה האישית שלו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והעובדה שהוא אינו נוטל אחריות מלאה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התייחס בית המשפט המחוזי לתסקיר נפגעי העבירה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אשתו וחמשת ילדיו של המנוח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בו צוין הנזק שנגרם למשפחתו של המנוח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שלדבריה היווה את עמוד התווך של המשפחה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צוין שהמוות הפתאומי של המנוח הותיר את נפגעי העבירה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חסרי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אונים מול היעדר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המשמעות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וניפץ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אצלם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.] </w:t>
      </w:r>
      <w:r>
        <w:rPr>
          <w:rFonts w:ascii="Century" w:hAnsi="Century" w:cs="Century"/>
          <w:rtl w:val="true"/>
        </w:rPr>
        <w:t>אמונות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הנחות ותפיסות בסיסיות אודות חווית הביטחון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השליטה והאופטימיות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לבסוף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אחד מבניו של המנוח השתלב בטיפול עקב האירוע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בעוד שיתר נפגעי העבירה מתקשים להתפנות לטיפול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ומתמודדים עם מצוקתם במסגרת המשפחתית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לבחון את העונש המקסימלי אותו ניתן להשית על המערער בגין עבירת הרצח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בפתח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הדברים התייחס בית המשפט המחוזי לטענתו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</w:t>
      </w:r>
      <w:hyperlink r:id="rId42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בעבירת הרצח בה הורשע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שלגביה נקבע עונש של מאסר עולם שאינו עונש חובה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יש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כברירת מחדל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לקבוע עונש מקסימלי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למעט במקרים חמורים בהם יש להטיל עונש מחמיר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דחה 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משסבר כי הפרשנות המוצעת במסגרתה אינה עולה בקנה אחד עם לשונו ותכליתו של </w:t>
      </w:r>
      <w:hyperlink r:id="rId4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311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שזו עולה מדברי ההסבר להצעת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עבירות המתה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הצעת 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בסופו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התקבלה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בחוק העונשין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תיקון מס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2019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137</w:t>
      </w:r>
      <w:r>
        <w:rPr>
          <w:rFonts w:cs="Century" w:ascii="Century" w:hAnsi="Century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בגדר 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גם אם היה מקום לקבל את פרשנותו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 העונש המקסימלי שניתן להשית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שהמקרה שלו נופל בגדר אותם מקרים בהם יש מקום להטיל עונש של מאסר העולה על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שהרצח בוצע בנסיבות המתוארות מתוך כוונה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מתוך אדישות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המחוזי כי העונש המקסימלי אותו ניתן להשית על המערער הוא מאסר עולם או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חלף זאת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בית המשפט המחוזי לקבוע את עונשו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לראות בכלל העבירות שבכתב האישום כאירוע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 להשית על המערער עונש כולל בגין ביצוען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 לכך שהמערער היה קטין בתקופה הרלבנטית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ולמשקל שיש לתת לכך בהתאם לערך השיקום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הטיפול ושילובו בחברה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נוכח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חומרתה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הרצח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והנזק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הבלתי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הפיך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יוצרת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מקום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במכוון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המשמעות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היכולה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להילמד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לגילו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המבצע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כנסיבה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מקלה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בהכרח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מוגבלת</w:t>
      </w:r>
      <w:r>
        <w:rPr>
          <w:rFonts w:cs="Century" w:ascii="Century" w:hAnsi="Century"/>
          <w:rtl w:val="true"/>
        </w:rPr>
        <w:t xml:space="preserve">" ; </w:t>
      </w:r>
      <w:r>
        <w:rPr>
          <w:rFonts w:ascii="Century" w:hAnsi="Century" w:cs="Century"/>
          <w:rtl w:val="true"/>
        </w:rPr>
        <w:t>וכי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זו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נקודת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המוצא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לדיוננו</w:t>
      </w:r>
      <w:r>
        <w:rPr>
          <w:rFonts w:cs="Century" w:ascii="Century" w:hAnsi="Century"/>
          <w:rtl w:val="true"/>
        </w:rPr>
        <w:t>".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לאפשרות שיקומו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המחוזי התייחס לחומרת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לכך שהוא לא הביע חרטה מלאה על ביצועם ולכך שלא לקח עליהם אחריות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ואף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ניסה לטפול את ביצוע המעשה על זולתו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מזרחי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גם בדברו האחרון של המערער בפני בית המשפט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נשמעה חרטה או נטילת אחריות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השתתפות בצער או חמלה על נפגעי העבירה</w:t>
      </w:r>
      <w:r>
        <w:rPr>
          <w:rFonts w:cs="Century" w:ascii="Century" w:hAnsi="Century"/>
          <w:rtl w:val="true"/>
        </w:rPr>
        <w:t xml:space="preserve">...". </w:t>
      </w:r>
      <w:r>
        <w:rPr>
          <w:rFonts w:ascii="Century" w:hAnsi="Century" w:cs="Century"/>
          <w:rtl w:val="true"/>
        </w:rPr>
        <w:t>עוד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התייחס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לעברו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הפלילי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הכולל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הרשעה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במספר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פליליות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בגינן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הושת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ציין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</w:t>
      </w:r>
      <w:r>
        <w:rPr>
          <w:rFonts w:cs="Century" w:ascii="Century" w:hAnsi="Century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"[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>-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מועדפת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אידיאל</w:t>
      </w:r>
      <w:r>
        <w:rPr>
          <w:rtl w:val="true"/>
        </w:rPr>
        <w:t xml:space="preserve">, </w:t>
      </w:r>
      <w:r>
        <w:rPr>
          <w:rtl w:val="true"/>
        </w:rPr>
        <w:t>המגשים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המוכתמים</w:t>
      </w:r>
      <w:r>
        <w:rPr>
          <w:rtl w:val="true"/>
        </w:rPr>
        <w:t>. [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.</w:t>
      </w:r>
      <w:r>
        <w:rPr>
          <w:rtl w:val="true"/>
        </w:rPr>
        <w:t>כ</w:t>
      </w:r>
      <w:r>
        <w:rPr>
          <w:rtl w:val="true"/>
        </w:rPr>
        <w:t xml:space="preserve">.]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>-</w:t>
      </w:r>
      <w:r>
        <w:rPr>
          <w:rtl w:val="true"/>
        </w:rPr>
        <w:t>הפחדה</w:t>
      </w:r>
      <w:r>
        <w:rPr>
          <w:rtl w:val="true"/>
        </w:rPr>
        <w:t xml:space="preserve">,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שכנע</w:t>
      </w:r>
      <w:r>
        <w:rPr>
          <w:rtl w:val="true"/>
        </w:rPr>
        <w:t xml:space="preserve">'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דמי</w:t>
      </w:r>
      <w:r>
        <w:rPr>
          <w:rtl w:val="true"/>
        </w:rPr>
        <w:t>-</w:t>
      </w:r>
      <w:r>
        <w:rPr>
          <w:rtl w:val="true"/>
        </w:rPr>
        <w:t>החסות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כעבריין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הנסחט</w:t>
      </w:r>
      <w:r>
        <w:rPr>
          <w:rtl w:val="true"/>
        </w:rPr>
        <w:t>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לאור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לא נמצא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פתח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התקווה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השיקומי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בעניינו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התייחס בית המשפט המחוזי לטענתו של המערער בדבר קיומן של נסיבות מקלות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יש בהן כדי להצדיק הקלה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דחה את טענתו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להקל בעונשו נוכח אחריותו של המנוח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משום שנסיבות ביצוע העבירה אינן מצביעות על כך שהמערער ביצע את מעשה הירי מתוך תחושת איום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הן משום שטענתו לפיה המנוח הוא איש עולם הפשע אינה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עולה בקנה אחד עם הקביעות הברורות והחד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משמעית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כך במקור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.] </w:t>
      </w:r>
      <w:r>
        <w:rPr>
          <w:rFonts w:ascii="Century" w:hAnsi="Century" w:cs="Century"/>
          <w:rtl w:val="true"/>
        </w:rPr>
        <w:t xml:space="preserve">המצויות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בהכרעת הדין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.]".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דחה בית המשפט המחוזי את טענתו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קיומם של מחדלי חקירה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בגינם לא נחקר עד תום היקף מעורבותו של מזרחי בפרשה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מצדיק הקלה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אף שבית המשפט 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דעתו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הייתה נוחה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מהאופן שבו נוהלה החקירה בעניינו של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סבר הוא כי אין בכך כדי להצדיק הקלה בעונשו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מן הטעם שמכלול הראיות הצביע על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רק שמזרחי לא היה מעורב בביצוע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שהוא אף ניסה להניא את המערער מליטול את הנשק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הן מן הטעם שמחדלי החקירה לא הולידו ספק אשר לאשמתו של המערער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הוברר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באורח ברור וחד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משמעי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שהמערער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 xml:space="preserve">.] </w:t>
      </w:r>
      <w:r>
        <w:rPr>
          <w:rFonts w:ascii="Century" w:hAnsi="Century" w:cs="Century"/>
          <w:rtl w:val="true"/>
        </w:rPr>
        <w:t>היה זה שיזם את הסחיטה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יזם את המפגש עם המנוח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יזם את נטילת כלי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הנשק והשכפ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ץ לאזור המפגש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מוחלט לדבריו של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החליט ליטול את הנשק ולעשות בו שימוש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מנת לרצוח את המנוח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כן צוין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לו חפץ המערער בחקירת מעורבותו של מזרחי בפרשה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הייתה פתוחה לפניו הדרך לשתף פעולה עם רשויות החקירה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מילא פיו מים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אין לאפשר לו להיבנות ממחדלי החקירה לצורך הקלה בעונשו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בהתאם לכל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ובפרט נסיבות ביצוע העבירה וחומרתה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אין מקום להעניק משקל של בכורה לשיקולי שיקום מבין כלל שיקולים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להעניק בכורה זו לשיקולי ההלימה וההרתעה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גילו של המערער בעת שביצע את שהורשע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ומתוך תקווה כי הלה יעבור הליך טיפולי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שיקומי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העניק בית המשפט משקל של ממש לשיקולי שיקום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עליו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עונש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מאסר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בפועל</w:t>
      </w:r>
      <w:r>
        <w:rPr>
          <w:rFonts w:ascii="Century" w:hAnsi="Century" w:cs="Century"/>
          <w:rtl w:val="true"/>
        </w:rPr>
        <w:t xml:space="preserve"> שירוצו במצטבר לעונש שהושת עליו במסגרת תיק 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6163-09-20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לצד העונשים שצוינו לעיל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והתשובה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הערעור דנא נשען על חמישה אדנים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ניתן משקל מספק למעורבותו של מזרחי בפרשה ולמחדלי החקירה שנפלו 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בקביעת עונשו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ניתן משקל מספק לנסיבות מקלות עליהן עמד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בהתאם </w:t>
      </w:r>
      <w:hyperlink r:id="rId46">
        <w:r>
          <w:rPr>
            <w:rStyle w:val="Hyperlink"/>
            <w:rFonts w:ascii="Century" w:hAnsi="Century" w:cs="Century"/>
            <w:rtl w:val="true"/>
          </w:rPr>
          <w:t>לסעיף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העונש המקסימלי שניתן להשית על המערער עומד על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היה מקום לקבוע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עונשו ירוצה באופן מצטבר לעונשים מקבילים שהושתו עליו במסגרת 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6163-09-20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והחמישי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שבית המשפט המחוזי החמיר עמו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שקבע רכיב פיצוי בסך המירבי הניתן לפסוק לפי חוק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טוען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שגה בית המשפט המחוזי שעה שלא נתן משקל מספק לחלקו של מזרחי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העמדתו של מזרחי לדין כמבצע בצוותא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ולכל הפחות כשותף לביצוע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אכיפה מפלה הפוגעת בתחושת הצדק וההגינות באופן שמצדיק הקלה בעונשו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בפרט מקום בו מדובר במי שסיפק למערער סם מסוכן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סיפק לו את השכפ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ץ וניצל והוביל אותו לבצע את הרצח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עוד 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יש להתחשב במחדלי החקירה שנפלו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לגישתו מנעו את האפשרות לברר את היקף מעורבותו של מזרחי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משיג המערער על הדגש ששם בית המשפט המחוזי בהכרעת דינו על העובדה שהמערער ביצע את מעשה הירי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האחריות בעבירת הרצח אינה מוטלת אך על מבצעה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גם על מי שלקח חלק בתכנונה והוצאתה אל הפועל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אשר לנסיבות ביצוע העבירה ונסיבותיו האישיות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מזכיר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היה תחת השפעה של סם מסוכן בעת שביצע את הרצח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ומציין את הפער בין גילו שלו לבין גילו של המנוח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אשר היה מבוגר ממנו בכמה עשרות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מציין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הגיע למפגש במרכז המסחרי לבוש בשכפ״ץ מתוך חשש שייעשה נגדו שימוש בנשק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שבעת שהמנוח משך בחולצתו והשמיע נגדו 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חש מאוים וביצע את מעשיו ״כתגובה רגשית אמוציונאלית להתרחשות״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נסיבות אלו כמו גם פער הגילאים בינו ובין המנוח מצדיקים להקל בעונשו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טוען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לא נתן משקל מספק לנסיבות חייו האישיות כפי שאלו פורטו בהרחבה בתסקיר שירות המבחן ונסיבות נוספות לקולא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ובראשן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המסגרת המשפחתית הבעייתית בה גדל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עברו הכולל שימוש בסמים מסוכנים וניסיונות גניבה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וההליך השיקומי שהוא עובר בימים אלו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Century"/>
        </w:rPr>
      </w:pPr>
      <w:r>
        <w:rPr>
          <w:color w:val="000000"/>
          <w:rtl w:val="true"/>
        </w:rPr>
        <w:t>אשר לעונש המקסימלי שניתן להשית על המערער בגין עבירת הרצח בה הורשע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r>
        <w:rPr>
          <w:rFonts w:ascii="Century" w:hAnsi="Century" w:cs="Century"/>
          <w:rtl w:val="true"/>
        </w:rPr>
        <w:t xml:space="preserve">בהתאם להוראות </w:t>
      </w:r>
      <w:hyperlink r:id="rId4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להשית עליו כברירת מחדל עונש מאסר מקסימלי של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בתמיכה לעמדתו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מציין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תיקון </w:t>
      </w:r>
      <w:r>
        <w:rPr>
          <w:rFonts w:cs="Century" w:ascii="Century" w:hAnsi="Century"/>
        </w:rPr>
        <w:t>137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לא ביטל את </w:t>
      </w:r>
      <w:hyperlink r:id="rId5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כל פרשנות אחרת מזו אותה הוא מציע תאיין את הוראות </w:t>
      </w:r>
      <w:hyperlink r:id="rId5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לבסוף מציין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לפי </w:t>
      </w:r>
      <w:hyperlink r:id="rId5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</w:t>
        </w:r>
        <w:r>
          <w:rPr>
            <w:rStyle w:val="Hyperlink"/>
            <w:rFonts w:ascii="Century" w:hAnsi="Century" w:cs="Century"/>
            <w:rtl w:val="true"/>
          </w:rPr>
          <w:t>כא</w:t>
        </w:r>
      </w:hyperlink>
      <w:r>
        <w:rPr>
          <w:rFonts w:ascii="Century" w:hAnsi="Century" w:cs="Century"/>
          <w:rtl w:val="true"/>
        </w:rPr>
        <w:t xml:space="preserve"> לחוק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מקום בו קיימות מספר אפשרויות סבירות לפרשנות דין עונשי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יש לבכר את זו המקלה ביותר עם מי שאמור לשאת באחריות פלילית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ובמקרה זה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את הפרשנות אותה הוא מציע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לבסוף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משיג המערער על קביעת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עונשו ירוצה במצטבר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בחופף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לעונש שהושת עליו במסגרת תיק אחר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וכן על רכיב הפיצוי שנפסק לנפגעי 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אשר לאופן חישוב עונשו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נסיבותיו האישיות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גילו הצעיר ונסיבות ביצוע העבירה מצדיקים לקבוע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עונשו ירוצה בחופף לעונש שהושת עליו במסגרת </w:t>
      </w:r>
      <w:hyperlink r:id="rId53">
        <w:r>
          <w:rPr>
            <w:rStyle w:val="Hyperlink"/>
            <w:color w:val="0000FF"/>
            <w:u w:val="single"/>
            <w:rtl w:val="true"/>
          </w:rPr>
          <w:t>ענ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6163-09-20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אשר לרכיב הפיצוי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אין בידו לשלם את הסכום שנפסק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 שבפועל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משפחתו נדרשת לשאת בעול זה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בדיון שנערך לפנינו חזר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 על עיקר טיעוניו שבכתב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ובפרט על 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הצדק שנגרם מאי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הרשעתו של מזרחי בפרשת הרצח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 היה שותף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 חזר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 על כך שמזרחי סיפק למערער 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ץ ואת תת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המקלע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והשתמש בו כידו הארוכה לביצוע הרצח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 שב והזכיר את גילו הצעיר של המערער בתקופה הרלבנטית לכתב האישום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ואת תסקיר שירות המבחן שהוגש בעניינו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שם פורטו בהרחבה קורות חייו והמצוקה שבה גדל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לבסוף עתר 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המערער להפחתה מהפיצוי שנפסק לנפגעי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משום שאין ביכולתו של המערער לשלם סכום זה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 xml:space="preserve">המשיבה מצידה סמכה ידה על גזר דינו של בית המשפט המחוזי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הן על תוצאתו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 על נימוקיו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לעמדתה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מרבית טענותיו של המערער הן למעשה טענות נגד קביעות עובדתיות מובהקות של בית המשפט המחוזי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 לטענותיו הנוגעות למידת מעורבותו של מזרחי בפרשה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 טענה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קיים קושי בלאמץ את התזה אותה מציע 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לפיה מזרחי לקח חלק פעיל ומרכזי בתכנון הרצח והוצאתו אל הפועל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וזאת נוכח הקביעה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 לא קדם תכנון לאירוע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טענה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מחדלי החקירה עליהם משיג המערער אינם מצדיקים הקלה בעונשו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שכן אלו נוגעים לחקירת מעורבותו של מזרחי בפרשה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למעורבותו שלו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לבסוף טענה המשיבה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העונש שהושת על המערער אינו חורג ממדיניות הענישה המקובלת בעבירות דומות שבוצעו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קטינים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 שאין מקום שבית משפט זה יתערב כערכאת ערעור בעונש שהושת עליו</w:t>
      </w:r>
      <w:r>
        <w:rPr>
          <w:color w:val="000000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העדכני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לקראת הדיון בעניינו של המערער הוגש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ביום </w:t>
      </w:r>
      <w:r>
        <w:rPr>
          <w:color w:val="000000"/>
        </w:rPr>
        <w:t>15.09.2022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תסקיר עדכני מטעם שירות המבחן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התסקיר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העדכני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במסגרתו 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המערער מוסר בדיקות שתן נקיות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 כי לחובתו שלושה דוחות משמעת בשל אירועים שונים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למערער מסגרת תעסוקתית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 הוא מתפקד באופן תקין ולשביעות רצונם של צוות האגף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כי הוא השתלב במסגרת טיפולית ממנה נשר לאחר שני מפגשים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וכי הוא הביע רצון שוב להשתלב במסגרת טיפולית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בנושא של אלימות ושליטה בכעסים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כן 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ששירות המבחן התרשם מכך שהמערער מצליח ליצור שיח בוגר יותר משהצליח ליצור בעבר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 כי נמנע הוא מלהשיב לשאלות שהופנו אליו בנושא עבירות המשמעת שצבר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והתייחס באופן מצמצם ושטחי כשנשאל על מעשה הרצח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 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בשלב מסוים סירב המערער להמשיך להיפגש עם נציגת שירות 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מבלי שסיפק לכך הסבר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זאת ועוד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התייחס שירות המבחן לגורמי הסיכון בעניינו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וביניהם המצב הקשה של משפחתו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עברו של שימוש בסמים מסוכנים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המעשים בהם הוא הורשע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לקיחת אחריות חלקית מצדו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וקשיים בהעמקה וטיפול סביב 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שירות המבחן התייחס גם לגורמי הסיכוי בעניינו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וביניהם תפקודו החיובי במאסר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הודאתו במעשיו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מסוגלותו להבין את הצער והכאב שנגרמו למשפחתו ולמשפחת המנוח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והבעת רצון להשתלב במסגרת טיפולית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בסופו של 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שירות המבחן לא בא בהמלצה אשר לרכיב הערעור המופנה כלפי עונש המאסר שנגזר עליו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בכל הנוגע לרכיב הפיצוי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צוין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אין בידו של המערער או בידי משפחתו לשלם את חובו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רק הולך וגדל נוכח הריבית שהוא נושא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 זו צוינו ההשלכות שעשויות להיות לכך הן על המציאות היום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 xml:space="preserve">יומית שלו במאסר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עקב העיקול שהוטל על חשבונו ומניעת קנטינה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הן על סיכויו לקבל שחרור מוקדם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בדיון שנערך לפנינו חזרה נציגת שירות המבחן על עיקרי התסקיר העדכני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וכן על כך שלאור המפורט בו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אין לשירות המבחן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המלצה בנוגע לערעור שהוגש</w:t>
      </w:r>
      <w:r>
        <w:rPr>
          <w:color w:val="000000"/>
          <w:rtl w:val="true"/>
        </w:rPr>
        <w:t>".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לאחר שעיינתי בכתב הערעור על נספחיו ושמעתי את טיעוני באי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 הצדדים בעל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פה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שוכנעתי כי דין הערעור להידחות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וכך אציע לחבריי לעשות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כלל ידוע 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המקרים בהם ערכאת הערעור תתערב בשיקול הדעת המוענק לערכאה הדיונית בקביעת העונש ההולם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חריגים הם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 xml:space="preserve">ושמורים למצבים בהם העונש שהוטל סוטה באופן ניכר ממדיניות הענישה הראויה או כשנפלה טעות מהותית בגזר הדין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8923/14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קרפצ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12.04.2016</w:t>
      </w:r>
      <w:r>
        <w:rPr>
          <w:color w:val="000000"/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6934/21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17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30.06.2022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המקרה שלפנינו אינו בא בקהלם של מקרים חריגים אלה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גזר דינו של בית המשפט המחוזי מנומק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מפורט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ראיתי כי נפלה בו טעות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כל שכן טעות המצדיקה התערבות בעונש שהוטל על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 גזר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התייחס בית המשפט לטענות אותן מעלה המערער בערעור דנא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ונתן להן מענה מלא והולם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יתרה מכך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מעיון בפסיקת בית משפט 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לא מצאתי כי העונש שהושת על המערער סוטה באופן ניכר ממדיניות הענישה הראויה והמקובלת בעבירות בהן הוא הורשע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2741/14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06.10.2016</w:t>
      </w:r>
      <w:r>
        <w:rPr>
          <w:color w:val="000000"/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4379/02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ס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196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2006</w:t>
      </w:r>
      <w:r>
        <w:rPr>
          <w:color w:val="000000"/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9937/01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נח</w:t>
      </w:r>
      <w:r>
        <w:rPr>
          <w:color w:val="000000"/>
          <w:rtl w:val="true"/>
        </w:rPr>
        <w:t>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738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530/90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מו</w:t>
      </w:r>
      <w:r>
        <w:rPr>
          <w:color w:val="000000"/>
          <w:rtl w:val="true"/>
        </w:rPr>
        <w:t>(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648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1992</w:t>
      </w:r>
      <w:r>
        <w:rPr>
          <w:color w:val="000000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כך או 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דין טענות המערער לגופן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דחייה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אנמק עמדתי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 שאתייחס לטענות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כסדרן</w:t>
      </w:r>
      <w:r>
        <w:rPr>
          <w:color w:val="000000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רכיב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כזכור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טענותיו הראשונות של המערער מתייחסות למעורבותו של מזרחי בפרשה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לעמדתו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שגה בית המשפט המחוזי משלא העניק משקל מספק למעורבות של מזרחי בפרשה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 גם למחדלי החקירה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שעה שגזר את דינו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 בידי לקבל טענות אלו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 משני טעמים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בבסיס הטענות הללו ניצבות השגות נגד קביעות עובדתיות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ובראשן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שאין כל יסוד לסברה כי המערער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הופעל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מזרחי לצורך ביצוע העבירות בהן הוא הורשע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נקבע 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בית המשפט המחוזי באופן חד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משמעי שאינו משתמע לשני פנים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המערער הוא האחראי הבלעדי בביצוע מעשה הרצח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המדובר בקביעה בהכרעת דינו של בית 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עליה לא הוגש ערעור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ואין המערער רשאי להשיג עליה במסגרת ערעור על גזר הדין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יתרה מכך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וכידוע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לערכאה הדיונית יתרון מובנה בקביעת ממצאים עובדתיים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 התרשמותה הישירה והבלתי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אמצעית מהראיות והעדויות המובאות בפניה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כך שאין זו דרכה של ערכאת הערעור להתערב בקביעות כאמור </w:t>
      </w:r>
      <w:r>
        <w:rPr>
          <w:color w:val="000000"/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2647/21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27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21.08.2022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והאסמכתאות שם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מצאתי כל הצדקה להתערב בקביעות העובדתיות של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וממילא המערער לא הצביע על כל טעם לעשות כן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וכיוצא מזה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 לדחות את טענתו של המערער אשר למידת מעורבותו של מזרחי בפרשה</w:t>
      </w:r>
      <w:r>
        <w:rPr>
          <w:color w:val="000000"/>
          <w:rtl w:val="true"/>
        </w:rPr>
        <w:t>.</w:t>
      </w:r>
    </w:p>
    <w:p>
      <w:pPr>
        <w:pStyle w:val="Ruller42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בדיון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שהתקיים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לפנינו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העלה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בא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כוח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שמקורה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בעקרון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האחידות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צודק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שעל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הושתו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כשעל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מזרחי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הושת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שנה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וחצי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דחייה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ומאותם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נימוקים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מזרחי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שככל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הידוע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הורשע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ascii="Century" w:hAnsi="Century" w:cs="Century"/>
          <w:rtl w:val="true"/>
        </w:rPr>
        <w:t xml:space="preserve"> הדחת קטין לסמים מסוכנים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6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cs="Century" w:ascii="Century" w:hAnsi="Century"/>
            <w:rtl w:val="true"/>
          </w:rPr>
          <w:t xml:space="preserve">, </w:t>
        </w:r>
        <w:r>
          <w:rPr>
            <w:rStyle w:val="Hyperlink"/>
            <w:rFonts w:cs="Century" w:ascii="Century" w:hAnsi="Century"/>
          </w:rPr>
          <w:t>21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6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וסיוע לנשיאת נשק והובלתו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63">
        <w:r>
          <w:rPr>
            <w:rStyle w:val="Hyperlink"/>
            <w:rFonts w:ascii="Century" w:hAnsi="Century" w:cs="Century"/>
            <w:rtl w:val="true"/>
          </w:rPr>
          <w:t>סעיפים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hyperlink r:id="rId64">
        <w:r>
          <w:rPr>
            <w:rStyle w:val="Hyperlink"/>
            <w:rFonts w:cs="Century" w:ascii="Century" w:hAnsi="Century"/>
          </w:rPr>
          <w:t>31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>)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ובין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color w:val="000000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מקומן הטבעי של טענות המערער אשר לקיומם של מחדלי חקירה הוא בשלב בירור אשמתו </w:t>
      </w:r>
      <w:r>
        <w:rPr>
          <w:color w:val="000000"/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05.10.2011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ואילו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שציין בית המשפט המחוזי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המערער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מילא פיו מים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בעת חקירתו במשטרה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ומסר גרסה בבית המשפט שהתגלתה בהמשך כשקרית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נמנע הוא מלהעלות את טענותיו בדבר מחדלי חקירה עד לשלב הסיכומים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ובהתאם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לא התקיים דיון מעמיק בסוגיה זו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אמנם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מחדלי חקירה עשויים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בנסיבות מתאימות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להצדיק הקלה בעונש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אך זאת נעשה רק במקרים בהם נפגעו עקרונות הצדק וההגינות המשפטית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בפסקה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1361/10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זגורי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 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ה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02.06.2011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ואילו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 שצוין בגזר 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מחדלי החקירה הנטענים בענייננו נגעו לחקירת היקף מעורבותו של מזרחי בפרשה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 למעורבותו של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מחדלים אלה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חיצוניים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לעניינו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והם לא העלו ולו שמץ של ספק בדבר אשמתו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משלא הייתה כל השפעה ישירה של מחדלי החקירה הנטענים על עניינו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אין מקום לקבל את טענתו להקלה בעונשו</w:t>
      </w:r>
      <w:r>
        <w:rPr>
          <w:color w:val="000000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ויוער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הדעת נותנת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ברמה העקרונית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ייתכנו מצבים בהם מחדלי חקירה בעניינו של שותף אחד לביצוע עבירה יביאו לתוצאה המפלה שותף אחר באופן שעשוי להצדיק הקלה בעונשו של האחרון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לזכותו בדין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וזאת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מטעמים של הגנה מן הצדק </w:t>
      </w:r>
      <w:r>
        <w:rPr>
          <w:rFonts w:cs="Century" w:ascii="Century" w:hAnsi="Century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4855/02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נט</w:t>
      </w:r>
      <w:r>
        <w:rPr>
          <w:color w:val="000000"/>
          <w:rtl w:val="true"/>
        </w:rPr>
        <w:t>(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776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808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831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2005</w:t>
      </w:r>
      <w:r>
        <w:rPr>
          <w:color w:val="000000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5975/14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17-12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31.12.2015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ישגב נקדימון </w:t>
      </w:r>
      <w:hyperlink r:id="rId6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הגנה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מן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הצדק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431-430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 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2021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כך המצב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נוכח הקביעה הברורה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לחלקו של מזרחי בפרשה</w:t>
      </w:r>
      <w:r>
        <w:rPr>
          <w:rFonts w:cs="Century" w:ascii="Century" w:hAnsi="Century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לפי טענתו השנייה של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 נסיבות ביצוע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הן נסיבותיו האישיות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מצדיקות הקלה בעונשו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בפרט טוען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יש להתחשב בכך שהוא היה קטין בעת שביצע את העבירות בהן הורשע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היה תחת השפעת סם מסוכן בעת שביצע את מעשי הרצח והחטיפה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ובכך שהוא ביצע את הרצח מתוך תחושת איום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סבורני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ניתן מענה הולם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מנומק ומפורט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 בית המשפט המחוזי לטענות 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ובלאו הכי דעתי כדעתו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מעשיו של המערער מצמררים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הם עומדים בניגוד מוחלט לערכי יסוד מוסריים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משפטיים וחברתיים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תחילה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ניסה המערער בכוח הזרוע לכופף אחר לרצונו ולסחוט אותו עבור טובות הנאה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ולאחר מכן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נטל חייו של אחר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בן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אב ובעל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במעשה רצח קר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הנזק שנגרם לערכים חברתיים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ובראשם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קדושת החיים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ולמשפחתו של המנוח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אינו הפיך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מעשיו של המערער לא נעשו בפזיזות או באימפולסיביות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ולא מתוך תחושת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חשש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מפני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המנוח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הסתפק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בשימוש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בתת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המקלע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הפגת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לעבר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המנוח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פעמים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שפגע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פחות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-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קליעים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ואם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די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 –</w:t>
      </w:r>
      <w:r>
        <w:rPr>
          <w:color w:val="000000"/>
          <w:rtl w:val="true"/>
        </w:rPr>
        <w:t>לאחר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האירוע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ובמטרה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להתחמק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משורת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פרץ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מונית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שעמדה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בקרבת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הצמיד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המקלע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לראשו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הנהג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שיסע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הפרשה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הוצגה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בפנינו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אינה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מותירה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לספק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בטיב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ואחריותו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ומרכזיותו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באירועים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מושא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color w:val="000000"/>
          <w:rtl w:val="true"/>
        </w:rPr>
        <w:t xml:space="preserve">. 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נקודת המוצא היא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כאשר נדרש בית המשפט לגזור את דינו של קטין שהורשע בדין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עליו לתת משקל מיוחד לשיקולי שיקום </w:t>
      </w:r>
      <w:r>
        <w:rPr>
          <w:color w:val="000000"/>
          <w:rtl w:val="true"/>
        </w:rPr>
        <w:t>(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>-</w:t>
      </w:r>
      <w:r>
        <w:rPr>
          <w:color w:val="000000"/>
        </w:rPr>
        <w:t>1971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יחד עם 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סעיף זה אינו בגדר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נעשה ונשמע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ועל בית המשפט לתת גם את הדעת ליתר שיקולי הענישה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ובהם הרתעה וגמול </w:t>
      </w:r>
      <w:r>
        <w:rPr>
          <w:color w:val="000000"/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6490/11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01.08.2013</w:t>
      </w:r>
      <w:r>
        <w:rPr>
          <w:rtl w:val="true"/>
        </w:rPr>
        <w:t xml:space="preserve">)). </w:t>
      </w:r>
      <w:r>
        <w:rPr>
          <w:rtl w:val="true"/>
        </w:rPr>
        <w:t>לאור נסיבות ביצוע העבירות מושא כתב האישום וחומרתן</w:t>
      </w:r>
      <w:r>
        <w:rPr>
          <w:rtl w:val="true"/>
        </w:rPr>
        <w:t xml:space="preserve">, </w:t>
      </w:r>
      <w:r>
        <w:rPr>
          <w:rtl w:val="true"/>
        </w:rPr>
        <w:t>כמו גם תסקיר שירות המבחן שהוגש לבית המשפט המחוזי</w:t>
      </w:r>
      <w:r>
        <w:rPr>
          <w:rtl w:val="true"/>
        </w:rPr>
        <w:t xml:space="preserve">, </w:t>
      </w:r>
      <w:r>
        <w:rPr>
          <w:rtl w:val="true"/>
        </w:rPr>
        <w:t>סבורני שבצדק נקבע</w:t>
      </w:r>
      <w:r>
        <w:rPr>
          <w:rtl w:val="true"/>
        </w:rPr>
        <w:t xml:space="preserve">, </w:t>
      </w:r>
      <w:r>
        <w:rPr>
          <w:rtl w:val="true"/>
        </w:rPr>
        <w:t xml:space="preserve">כי אין לבכר את שיקולי השיקום בעניינו של המערער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השוו</w:t>
      </w:r>
      <w:r>
        <w:rPr>
          <w:color w:val="000000"/>
          <w:rtl w:val="true"/>
        </w:rPr>
        <w:t xml:space="preserve">: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2067/16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פסקה 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08.02.2018</w:t>
      </w:r>
      <w:r>
        <w:rPr>
          <w:color w:val="000000"/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אף התסקיר העדכני שהוגש לפנינו אינו משנה מסקנתי זו</w:t>
      </w:r>
      <w:r>
        <w:rPr>
          <w:color w:val="000000"/>
          <w:rtl w:val="true"/>
        </w:rPr>
        <w:t xml:space="preserve">. </w:t>
      </w:r>
      <w:r>
        <w:rPr>
          <w:rtl w:val="true"/>
        </w:rPr>
        <w:t>מתסקיר זה עולה</w:t>
      </w:r>
      <w:r>
        <w:rPr>
          <w:rtl w:val="true"/>
        </w:rPr>
        <w:t xml:space="preserve">, </w:t>
      </w:r>
      <w:r>
        <w:rPr>
          <w:rtl w:val="true"/>
        </w:rPr>
        <w:t>כי המערער ממשיך להחזיק בגישה מצמצמת ביחס למעשיו</w:t>
      </w:r>
      <w:r>
        <w:rPr>
          <w:rtl w:val="true"/>
        </w:rPr>
        <w:t xml:space="preserve">, </w:t>
      </w:r>
      <w:r>
        <w:rPr>
          <w:rtl w:val="true"/>
        </w:rPr>
        <w:t>וכי הוא אינו נוטל אחריות מלאה על ביצועם</w:t>
      </w:r>
      <w:r>
        <w:rPr>
          <w:rtl w:val="true"/>
        </w:rPr>
        <w:t xml:space="preserve">. </w:t>
      </w:r>
      <w:r>
        <w:rPr>
          <w:rtl w:val="true"/>
        </w:rPr>
        <w:t>עוד עולה</w:t>
      </w:r>
      <w:r>
        <w:rPr>
          <w:rtl w:val="true"/>
        </w:rPr>
        <w:t xml:space="preserve">, </w:t>
      </w:r>
      <w:r>
        <w:rPr>
          <w:rtl w:val="true"/>
        </w:rPr>
        <w:t>כי ניסיונות לשלבו במסגרות טיפוליות לא צלחו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המערער אף סירב להיפגש עם נציגת שירות 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מבלי שנתן הסבר לכך</w:t>
      </w:r>
      <w:r>
        <w:rPr>
          <w:rtl w:val="true"/>
        </w:rPr>
        <w:t xml:space="preserve">.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ניתן לזהות התנהלות הראויה לציון מצידו של המערער</w:t>
      </w:r>
      <w:r>
        <w:rPr>
          <w:rtl w:val="true"/>
        </w:rPr>
        <w:t xml:space="preserve">. </w:t>
      </w:r>
      <w:r>
        <w:rPr>
          <w:rtl w:val="true"/>
        </w:rPr>
        <w:t>במהלך מאסרו</w:t>
      </w:r>
      <w:r>
        <w:rPr>
          <w:rtl w:val="true"/>
        </w:rPr>
        <w:t xml:space="preserve">, </w:t>
      </w:r>
      <w:r>
        <w:rPr>
          <w:rtl w:val="true"/>
        </w:rPr>
        <w:t>מצא המערער מסגרת תעסוקתית</w:t>
      </w:r>
      <w:r>
        <w:rPr>
          <w:rtl w:val="true"/>
        </w:rPr>
        <w:t xml:space="preserve">, </w:t>
      </w:r>
      <w:r>
        <w:rPr>
          <w:rtl w:val="true"/>
        </w:rPr>
        <w:t xml:space="preserve">השלים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והוא אף הביע רצון להשתלב בלימודים אקדמיים</w:t>
      </w:r>
      <w:r>
        <w:rPr>
          <w:rtl w:val="true"/>
        </w:rPr>
        <w:t xml:space="preserve">. </w:t>
      </w:r>
      <w:r>
        <w:rPr>
          <w:rtl w:val="true"/>
        </w:rPr>
        <w:t xml:space="preserve">נכון הדבר </w:t>
      </w:r>
      <w:r>
        <w:rPr>
          <w:rtl w:val="true"/>
        </w:rPr>
        <w:t>–</w:t>
      </w:r>
      <w:r>
        <w:rPr>
          <w:rtl w:val="true"/>
        </w:rPr>
        <w:t xml:space="preserve"> בית משפט זה אינו בוחן כליות ולב</w:t>
      </w:r>
      <w:r>
        <w:rPr>
          <w:rtl w:val="true"/>
        </w:rPr>
        <w:t xml:space="preserve">; </w:t>
      </w:r>
      <w:r>
        <w:rPr>
          <w:rtl w:val="true"/>
        </w:rPr>
        <w:t>אך יחד עם זאת</w:t>
      </w:r>
      <w:r>
        <w:rPr>
          <w:rtl w:val="true"/>
        </w:rPr>
        <w:t xml:space="preserve">, </w:t>
      </w:r>
      <w:r>
        <w:rPr>
          <w:rtl w:val="true"/>
        </w:rPr>
        <w:t>דומה כי דרכו של המערער לשיקום עצמי עודנה ארוכה</w:t>
      </w:r>
      <w:r>
        <w:rPr>
          <w:rtl w:val="true"/>
        </w:rPr>
        <w:t xml:space="preserve">, </w:t>
      </w:r>
      <w:r>
        <w:rPr>
          <w:rtl w:val="true"/>
        </w:rPr>
        <w:t>כך ששיקולי השיקום טרם בשלו לצורך הקלה בעונשו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 העונש שהושת על המערער מידתי ביחס למעשיו</w:t>
      </w:r>
      <w:r>
        <w:rPr>
          <w:rtl w:val="true"/>
        </w:rPr>
        <w:t xml:space="preserve">, </w:t>
      </w:r>
      <w:r>
        <w:rPr>
          <w:rtl w:val="true"/>
        </w:rPr>
        <w:t xml:space="preserve">ואף שבית המשפט המחוזי הקל עמו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מתוך תקווה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שתוך כדי ריצוי עונשו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יעבור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 xml:space="preserve">המערער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ח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כ</w:t>
      </w:r>
      <w:r>
        <w:rPr>
          <w:color w:val="000000"/>
          <w:rtl w:val="true"/>
        </w:rPr>
        <w:t xml:space="preserve">.], </w:t>
      </w:r>
      <w:r>
        <w:rPr>
          <w:color w:val="000000"/>
          <w:rtl w:val="true"/>
        </w:rPr>
        <w:t>שהוא אדם צעיר מאוד לכל הדעות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הליך שיקומי משמעותי</w:t>
      </w:r>
      <w:r>
        <w:rPr>
          <w:color w:val="000000"/>
          <w:rtl w:val="true"/>
        </w:rPr>
        <w:t>...".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הטענה השלישית אותה מעלה המערער ביחס לרכיב המאסר בפועל בעונשו היא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שבית המשפט שגה עת שגזר עליו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מקום בו העונש המקסימלי שניתן להשית על מי שהורשע בעבירת הרצח לפי </w:t>
      </w:r>
      <w:hyperlink r:id="rId7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שאינו עונש של מאסר עולם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הוא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מאסר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hyperlink r:id="rId7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 קובע כי</w:t>
      </w:r>
      <w:r>
        <w:rPr>
          <w:color w:val="000000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Style w:val="default"/>
          <w:rFonts w:cs="FrankRuehl" w:ascii="Century" w:hAnsi="Century"/>
          <w:rtl w:val="true"/>
        </w:rPr>
        <w:t>"</w:t>
      </w:r>
      <w:r>
        <w:rPr>
          <w:rStyle w:val="default"/>
          <w:rFonts w:ascii="Century" w:hAnsi="Century"/>
          <w:rtl w:val="true"/>
        </w:rPr>
        <w:t>עבירה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שדינה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מאסר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עולם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ולא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נקבע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שהוא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עונש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חובה</w:t>
      </w:r>
      <w:r>
        <w:rPr>
          <w:rStyle w:val="default"/>
          <w:rFonts w:cs="FrankRuehl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rtl w:val="true"/>
        </w:rPr>
        <w:t>תקופת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המאסר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שיטיל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בית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המשפט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לא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תעלה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על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עשרים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שנה</w:t>
      </w:r>
      <w:r>
        <w:rPr>
          <w:rStyle w:val="default"/>
          <w:rFonts w:cs="FrankRuehl" w:ascii="Century" w:hAnsi="Century"/>
          <w:rtl w:val="true"/>
        </w:rPr>
        <w:t>"</w:t>
      </w:r>
      <w:r>
        <w:rPr>
          <w:rStyle w:val="default"/>
          <w:rFonts w:cs="FrankRuehl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זהו המקור הנורמטיבי עליו מבסס המערער את טענתו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לעמדתו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נקודת המוצא היא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שהעונש המקסימלי שניתן להשית על מי שהורשע בעבירה שלצידה נקבע עונש מאסר עולם שאינו עונש חובה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הוא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 מאסר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למעט מקרים חמורים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המצדיקים הטלת עונש חמור יותר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 בידי לקבל טענה זו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color w:val="000000"/>
          <w:rtl w:val="true"/>
        </w:rPr>
        <w:t xml:space="preserve"> לחוק קובע כי</w:t>
      </w:r>
      <w:r>
        <w:rPr>
          <w:color w:val="000000"/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Style w:val="default"/>
          <w:rFonts w:cs="FrankRuehl" w:ascii="Century" w:hAnsi="Century"/>
          <w:rtl w:val="true"/>
        </w:rPr>
        <w:t>"</w:t>
      </w:r>
      <w:r>
        <w:rPr>
          <w:rStyle w:val="default"/>
          <w:rFonts w:ascii="Century" w:hAnsi="Century"/>
          <w:rtl w:val="true"/>
        </w:rPr>
        <w:t>על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אף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הוראות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סעיף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cs="FrankRuehl" w:ascii="Century" w:hAnsi="Century"/>
        </w:rPr>
        <w:t>41</w:t>
      </w:r>
      <w:r>
        <w:rPr>
          <w:rStyle w:val="default"/>
          <w:rFonts w:cs="FrankRuehl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rtl w:val="true"/>
        </w:rPr>
        <w:t>בעבירה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לפי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סימן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זה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שדינה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מאסר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עולם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ולא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נקבע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שהוא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עונש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חובה</w:t>
      </w:r>
      <w:r>
        <w:rPr>
          <w:rStyle w:val="default"/>
          <w:rFonts w:cs="FrankRuehl" w:ascii="Century" w:hAnsi="Century"/>
          <w:rtl w:val="true"/>
        </w:rPr>
        <w:t xml:space="preserve">, </w:t>
      </w:r>
      <w:r>
        <w:rPr>
          <w:rStyle w:val="default"/>
          <w:rFonts w:ascii="Century" w:hAnsi="Century"/>
          <w:rtl w:val="true"/>
        </w:rPr>
        <w:t>רשאי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בית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המשפט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להטיל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מאסר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עולם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לתקופה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בלתי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קצובה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או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מאסר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לתקופה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שלא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תעלה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על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שלושים</w:t>
      </w:r>
      <w:r>
        <w:rPr>
          <w:rStyle w:val="default"/>
          <w:rFonts w:ascii="Century" w:hAnsi="Century" w:eastAsia="Century" w:cs="Century"/>
          <w:rtl w:val="true"/>
        </w:rPr>
        <w:t xml:space="preserve"> </w:t>
      </w:r>
      <w:r>
        <w:rPr>
          <w:rStyle w:val="default"/>
          <w:rFonts w:ascii="Century" w:hAnsi="Century"/>
          <w:rtl w:val="true"/>
        </w:rPr>
        <w:t>שנים</w:t>
      </w:r>
      <w:r>
        <w:rPr>
          <w:rStyle w:val="default"/>
          <w:rFonts w:cs="FrankRuehl" w:ascii="Century" w:hAnsi="Century"/>
          <w:rtl w:val="true"/>
        </w:rPr>
        <w:t>"</w:t>
      </w:r>
      <w:r>
        <w:rPr>
          <w:rStyle w:val="default"/>
          <w:rFonts w:cs="FrankRuehl" w:ascii="Century" w:hAnsi="Century"/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 xml:space="preserve">סעיף זה מופיע </w:t>
      </w:r>
      <w:hyperlink r:id="rId77">
        <w:r>
          <w:rPr>
            <w:rStyle w:val="Hyperlink"/>
            <w:rtl w:val="true"/>
          </w:rPr>
          <w:t>בסימן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לפרק י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 xml:space="preserve">של 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שכותרתו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גרימת מוות</w:t>
      </w:r>
      <w:r>
        <w:rPr>
          <w:color w:val="000000"/>
          <w:rtl w:val="true"/>
        </w:rPr>
        <w:t xml:space="preserve">", </w:t>
      </w:r>
      <w:r>
        <w:rPr>
          <w:color w:val="000000"/>
          <w:rtl w:val="true"/>
        </w:rPr>
        <w:t>ובמסגרתו קבועה עבירת הרצח בה הורשע המערער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פרשנות על דרך הפשט של הסעיף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מביאה למסקנה הברורה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כי </w:t>
      </w:r>
      <w:hyperlink r:id="rId7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לחוק אינו חל על </w:t>
      </w:r>
      <w:hyperlink r:id="rId8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בהתאם 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בית המשפט המחוזי לא חרג מסמכותו כאשר השית על המערער עונש מאסר בפועל של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ואולם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 בפשט עסקינן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אלא במהות </w:t>
      </w:r>
      <w:r>
        <w:rPr>
          <w:color w:val="000000"/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3027/90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מודיעים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ופיתוח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מה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364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399-397</w:t>
      </w:r>
      <w:r>
        <w:rPr>
          <w:color w:val="000000"/>
          <w:rtl w:val="true"/>
        </w:rPr>
        <w:t xml:space="preserve"> (</w:t>
      </w:r>
      <w:r>
        <w:rPr>
          <w:color w:val="000000"/>
        </w:rPr>
        <w:t>1991</w:t>
      </w:r>
      <w:r>
        <w:rPr>
          <w:color w:val="000000"/>
          <w:rtl w:val="true"/>
        </w:rPr>
        <w:t xml:space="preserve">)), </w:t>
      </w:r>
      <w:r>
        <w:rPr>
          <w:color w:val="000000"/>
          <w:rtl w:val="true"/>
        </w:rPr>
        <w:t xml:space="preserve">ועלינו לבחון האם מטרתו של 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color w:val="000000"/>
          <w:rtl w:val="true"/>
        </w:rPr>
        <w:t xml:space="preserve"> לחוק היא להחריג את התחולה של </w:t>
      </w:r>
      <w:hyperlink r:id="rId8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מעבירות של גרימת מוות</w:t>
      </w:r>
      <w:r>
        <w:rPr>
          <w:color w:val="000000"/>
          <w:rtl w:val="true"/>
        </w:rPr>
        <w:t xml:space="preserve">? </w:t>
      </w:r>
      <w:r>
        <w:rPr>
          <w:color w:val="000000"/>
          <w:rtl w:val="true"/>
        </w:rPr>
        <w:t>לטעמי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התשובה לכך ברורה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כן</w:t>
      </w:r>
      <w:r>
        <w:rPr>
          <w:color w:val="000000"/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hyperlink r:id="rId8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color w:val="000000"/>
          <w:rtl w:val="true"/>
        </w:rPr>
        <w:t xml:space="preserve"> לחוק חוקק במסגרת תיקון </w:t>
      </w:r>
      <w:r>
        <w:rPr>
          <w:color w:val="000000"/>
        </w:rPr>
        <w:t>137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8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הידוע בתור כינויו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הרפורמה בעבירות ההמתה</w:t>
      </w:r>
      <w:r>
        <w:rPr>
          <w:color w:val="000000"/>
          <w:rtl w:val="true"/>
        </w:rPr>
        <w:t>" (</w:t>
      </w:r>
      <w:r>
        <w:rPr>
          <w:color w:val="000000"/>
          <w:rtl w:val="true"/>
        </w:rPr>
        <w:t>ראו באופן כללי</w:t>
      </w:r>
      <w:r>
        <w:rPr>
          <w:color w:val="000000"/>
          <w:rtl w:val="true"/>
        </w:rPr>
        <w:t xml:space="preserve">: </w:t>
      </w:r>
      <w:hyperlink r:id="rId86"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מרדכי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קרמניצר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וחאלד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גנאים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הרפורמה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ההמתה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>[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</w:rPr>
          <w:t>2019</w:t>
        </w:r>
        <w:r>
          <w:rPr>
            <w:rStyle w:val="Hyperlink"/>
            <w:rFonts w:cs="Miriam" w:ascii="Century" w:hAnsi="Century"/>
            <w:b/>
            <w:spacing w:val="0"/>
            <w:sz w:val="22"/>
            <w:szCs w:val="24"/>
            <w:rtl w:val="true"/>
          </w:rPr>
          <w:t xml:space="preserve">]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לאור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עקרונות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היסוד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של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המשפט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ומחקר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היסטורי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spacing w:val="0"/>
            <w:sz w:val="22"/>
            <w:sz w:val="22"/>
            <w:szCs w:val="24"/>
            <w:rtl w:val="true"/>
          </w:rPr>
          <w:t>והשוואתי</w:t>
        </w:r>
        <w:r>
          <w:rPr>
            <w:rStyle w:val="Hyperlink"/>
            <w:rFonts w:ascii="Century" w:hAnsi="Century" w:eastAsia="Century" w:cs="Century"/>
            <w:b/>
            <w:b/>
            <w:spacing w:val="0"/>
            <w:sz w:val="22"/>
            <w:sz w:val="22"/>
            <w:szCs w:val="24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rtl w:val="true"/>
        </w:rPr>
        <w:t>(</w:t>
      </w:r>
      <w:r>
        <w:rPr/>
        <w:t>2019</w:t>
      </w:r>
      <w:r>
        <w:rPr>
          <w:rtl w:val="true"/>
        </w:rPr>
        <w:t xml:space="preserve">)). </w:t>
      </w:r>
      <w:r>
        <w:rPr>
          <w:rtl w:val="true"/>
        </w:rPr>
        <w:t>כעולה מדברי ההסבר לתיקון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311</w:t>
      </w:r>
      <w:r>
        <w:rPr>
          <w:rtl w:val="true"/>
        </w:rPr>
        <w:t>א</w:t>
      </w:r>
      <w:r>
        <w:rPr>
          <w:rtl w:val="true"/>
        </w:rPr>
        <w:t xml:space="preserve">... </w:t>
      </w:r>
      <w:r>
        <w:rPr>
          <w:rtl w:val="true"/>
        </w:rPr>
        <w:t>שהוראות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. </w:t>
      </w:r>
      <w:r>
        <w:rPr>
          <w:rtl w:val="true"/>
        </w:rPr>
        <w:t>המשמעות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 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/>
        <w:t>166</w:t>
      </w:r>
      <w:r>
        <w:rPr>
          <w:rtl w:val="true"/>
        </w:rPr>
        <w:t xml:space="preserve">, </w:t>
      </w:r>
      <w:r>
        <w:rPr/>
        <w:t>170</w:t>
      </w:r>
      <w:r>
        <w:rPr>
          <w:rtl w:val="true"/>
        </w:rPr>
        <w:t xml:space="preserve"> (</w:t>
      </w:r>
      <w:r>
        <w:rPr/>
        <w:t>16.11.2015</w:t>
      </w:r>
      <w:r>
        <w:rPr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הנה כי 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לבית המשפט שיקול דעת רחב </w:t>
      </w:r>
      <w:r>
        <w:rPr>
          <w:color w:val="000000"/>
          <w:rtl w:val="true"/>
        </w:rPr>
        <w:t>בקביעת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גרימת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מוות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שלציד</w:t>
      </w:r>
      <w:r>
        <w:rPr>
          <w:color w:val="000000"/>
          <w:rtl w:val="true"/>
        </w:rPr>
        <w:t>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עולם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חובה</w:t>
      </w:r>
      <w:r>
        <w:rPr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החוק </w:t>
      </w:r>
      <w:r>
        <w:rPr>
          <w:color w:val="000000"/>
          <w:rtl w:val="true"/>
        </w:rPr>
        <w:t>קובע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הסדר בעל </w:t>
      </w:r>
      <w:r>
        <w:rPr>
          <w:color w:val="000000"/>
          <w:rtl w:val="true"/>
        </w:rPr>
        <w:t>שני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מסלולים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מקבילים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לגזירת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</w:t>
      </w:r>
      <w:r>
        <w:rPr>
          <w:color w:val="000000"/>
          <w:rtl w:val="true"/>
        </w:rPr>
        <w:t>י</w:t>
      </w:r>
      <w:r>
        <w:rPr>
          <w:color w:val="000000"/>
          <w:rtl w:val="true"/>
        </w:rPr>
        <w:t>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כזו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הטלת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עולם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שאינו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קצוב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הטלת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קצוב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בזמן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שאינו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עולה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1130/19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27.12.2020</w:t>
      </w:r>
      <w:r>
        <w:rPr>
          <w:color w:val="000000"/>
          <w:rtl w:val="true"/>
        </w:rPr>
        <w:t xml:space="preserve">);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02.03.2022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הסדר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מבטא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החשיבות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ערך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קדושת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במעשה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נטילת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חיי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והעונש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העושה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91">
        <w:r>
          <w:rPr>
            <w:rStyle w:val="Hyperlink"/>
            <w:rtl w:val="true"/>
          </w:rPr>
          <w:t>אורי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שהם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ולי</w:t>
        </w:r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אור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שחרור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ענישה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מופחתת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או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אחריות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מופחתת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בעבירת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הרצח</w:t>
        </w:r>
      </w:hyperlink>
      <w:r>
        <w:rPr>
          <w:color w:val="000000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פינקלשטיין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443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471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שרון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אפק</w:t>
      </w:r>
      <w:r>
        <w:rPr>
          <w:color w:val="000000"/>
          <w:rtl w:val="true"/>
        </w:rPr>
        <w:t xml:space="preserve"> ואח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עורכים</w:t>
      </w:r>
      <w:r>
        <w:rPr>
          <w:color w:val="000000"/>
          <w:rtl w:val="true"/>
        </w:rPr>
        <w:t>, (</w:t>
      </w:r>
      <w:r>
        <w:rPr>
          <w:color w:val="000000"/>
        </w:rPr>
        <w:t>2020</w:t>
      </w:r>
      <w:r>
        <w:rPr>
          <w:color w:val="000000"/>
          <w:rtl w:val="true"/>
        </w:rPr>
        <w:t xml:space="preserve">)). </w:t>
      </w:r>
      <w:r>
        <w:rPr>
          <w:color w:val="000000"/>
          <w:rtl w:val="true"/>
        </w:rPr>
        <w:t>וזאת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הבחנה בין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גרימת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המוות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ובין </w:t>
      </w:r>
      <w:r>
        <w:rPr>
          <w:color w:val="000000"/>
          <w:rtl w:val="true"/>
        </w:rPr>
        <w:t>יתר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שנקבעו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לצידן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עולם </w:t>
      </w:r>
      <w:r>
        <w:rPr>
          <w:color w:val="000000"/>
          <w:rtl w:val="true"/>
        </w:rPr>
        <w:t>שאינו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חובה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color w:val="000000"/>
          <w:rtl w:val="true"/>
        </w:rPr>
        <w:t xml:space="preserve">: </w:t>
      </w:r>
      <w:hyperlink r:id="rId9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97</w:t>
        </w:r>
      </w:hyperlink>
      <w:r>
        <w:rPr>
          <w:color w:val="000000"/>
          <w:rtl w:val="true"/>
        </w:rPr>
        <w:t xml:space="preserve">, </w:t>
      </w:r>
      <w:hyperlink r:id="rId93">
        <w:r>
          <w:rPr>
            <w:rStyle w:val="Hyperlink"/>
          </w:rPr>
          <w:t>98</w:t>
        </w:r>
      </w:hyperlink>
      <w:r>
        <w:rPr>
          <w:color w:val="000000"/>
          <w:rtl w:val="true"/>
        </w:rPr>
        <w:t xml:space="preserve">, </w:t>
      </w:r>
      <w:hyperlink r:id="rId94">
        <w:r>
          <w:rPr>
            <w:rStyle w:val="Hyperlink"/>
          </w:rPr>
          <w:t>107</w:t>
        </w:r>
      </w:hyperlink>
      <w:r>
        <w:rPr>
          <w:color w:val="000000"/>
          <w:rtl w:val="true"/>
        </w:rPr>
        <w:t xml:space="preserve">, </w:t>
      </w:r>
      <w:hyperlink r:id="rId95">
        <w:r>
          <w:rPr>
            <w:rStyle w:val="Hyperlink"/>
          </w:rPr>
          <w:t>111</w:t>
        </w:r>
      </w:hyperlink>
      <w:r>
        <w:rPr>
          <w:color w:val="000000"/>
          <w:rtl w:val="true"/>
        </w:rPr>
        <w:t xml:space="preserve">, </w:t>
      </w:r>
      <w:hyperlink r:id="rId96">
        <w:r>
          <w:rPr>
            <w:rStyle w:val="Hyperlink"/>
          </w:rPr>
          <w:t>113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hyperlink r:id="rId97">
        <w:r>
          <w:rPr>
            <w:rStyle w:val="Hyperlink"/>
          </w:rPr>
          <w:t>121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</w:t>
      </w:r>
      <w:r>
        <w:rPr>
          <w:color w:val="000000"/>
          <w:rtl w:val="true"/>
        </w:rPr>
        <w:t>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color w:val="000000"/>
          <w:rtl w:val="true"/>
        </w:rPr>
        <w:t>מהאמור עולה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 בניגוד לעמדת המערער</w:t>
      </w:r>
      <w:r>
        <w:rPr>
          <w:color w:val="000000"/>
          <w:rtl w:val="true"/>
        </w:rPr>
        <w:t xml:space="preserve">, </w:t>
      </w:r>
      <w:hyperlink r:id="rId9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41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לחוק אינו חל על עניינו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וחלף זאת חל </w:t>
      </w:r>
      <w:hyperlink r:id="rId9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311</w:t>
        </w:r>
        <w:r>
          <w:rPr>
            <w:rStyle w:val="Hyperlink"/>
            <w:rtl w:val="true"/>
          </w:rPr>
          <w:t>א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 מעניק לבית המשפט שיקול דעת להטיל עונש קצוב בזמן עד ל</w:t>
      </w:r>
      <w:r>
        <w:rPr>
          <w:color w:val="000000"/>
          <w:rtl w:val="true"/>
        </w:rPr>
        <w:t>-</w:t>
      </w:r>
      <w:r>
        <w:rPr>
          <w:color w:val="000000"/>
        </w:rPr>
        <w:t>30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שנות מאסר בפועל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כפי שעשה בית המשפט המחוזי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 xml:space="preserve">משלא נמצא פירוש 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סביר אחר</w:t>
      </w:r>
      <w:r>
        <w:rPr>
          <w:color w:val="000000"/>
          <w:rtl w:val="true"/>
        </w:rPr>
        <w:t xml:space="preserve">', </w:t>
      </w:r>
      <w:r>
        <w:rPr>
          <w:color w:val="000000"/>
          <w:rtl w:val="true"/>
        </w:rPr>
        <w:t>הרי שאין מקום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כעמדת 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להחיל בענייננו את החזקה הפרשנית הקבועה </w:t>
      </w:r>
      <w:hyperlink r:id="rId10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>כא</w:t>
        </w:r>
        <w:r>
          <w:rPr>
            <w:rStyle w:val="Hyperlink"/>
            <w:rtl w:val="true"/>
          </w:rPr>
          <w:t>.</w:t>
        </w:r>
      </w:hyperlink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>
          <w:color w:val="000000"/>
        </w:rPr>
      </w:pPr>
      <w:r>
        <w:rPr>
          <w:rtl w:val="true"/>
        </w:rPr>
        <w:t xml:space="preserve">טענתו האחרונה </w:t>
      </w:r>
      <w:r>
        <w:rPr>
          <w:color w:val="000000"/>
          <w:rtl w:val="true"/>
        </w:rPr>
        <w:t xml:space="preserve">של המערער ביחס לרכיב המאסר שהושת עליו נוגע לאופן ריצוי עונשו </w:t>
      </w:r>
      <w:r>
        <w:rPr>
          <w:color w:val="000000"/>
          <w:rtl w:val="true"/>
        </w:rPr>
        <w:t>–</w:t>
      </w:r>
      <w:r>
        <w:rPr>
          <w:color w:val="000000"/>
          <w:rtl w:val="true"/>
        </w:rPr>
        <w:t xml:space="preserve"> בחופף או במצטבר לעונש שהושת עליו במסגרת תיק אחר </w:t>
      </w:r>
      <w:r>
        <w:rPr>
          <w:color w:val="000000"/>
          <w:rtl w:val="true"/>
        </w:rPr>
        <w:t>(</w:t>
      </w:r>
      <w:hyperlink r:id="rId101">
        <w:r>
          <w:rPr>
            <w:rStyle w:val="Hyperlink"/>
            <w:color w:val="0000FF"/>
            <w:u w:val="single"/>
            <w:rtl w:val="true"/>
          </w:rPr>
          <w:t>ענ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6163-09-20</w:t>
        </w:r>
      </w:hyperlink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לעמדתו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נוכח גילו הצעיר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 גם נסיבות ביצוע 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 מקום לקבוע כי עונשי המאסר שהושתו עליו ירוצו בחופף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אף טענה זו יש לדחות</w:t>
      </w:r>
      <w:r>
        <w:rPr>
          <w:color w:val="000000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color w:val="000000"/>
          <w:rtl w:val="true"/>
        </w:rPr>
        <w:t>כידוע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השיקולים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שינחו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הכרעה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בדבר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אופן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ריצוי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שהושתו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קיומה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זיקה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שיקולים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למהות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וחומרתה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מידת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הפגיעה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והנזק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שמעשי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יצרו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ושיקולים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גמול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והרתעה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color w:val="000000"/>
          <w:rtl w:val="true"/>
        </w:rPr>
        <w:t xml:space="preserve">: </w:t>
      </w:r>
      <w:hyperlink r:id="rId10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7786/21</w:t>
        </w:r>
      </w:hyperlink>
      <w:r>
        <w:rPr>
          <w:color w:val="000000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פסקה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</w:rPr>
        <w:t>61</w:t>
      </w:r>
      <w:r>
        <w:rPr>
          <w:color w:val="000000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color w:val="000000"/>
          <w:rtl w:val="true"/>
        </w:rPr>
        <w:t>(</w:t>
      </w:r>
      <w:r>
        <w:rPr>
          <w:color w:val="000000"/>
        </w:rPr>
        <w:t>14.07.2022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והאסמכתאות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תומכים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במסקנה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שהעונש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שהושת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ירוצה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במצטבר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שהושת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eastAsia="Arial TUR;Arial" w:cs="Arial TUR;Arial"/>
          <w:color w:val="000000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ענ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6163-09-20</w:t>
        </w:r>
      </w:hyperlink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מכלל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הטעמים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עמדתי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ובשים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קיימת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זיקה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מושא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לבין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המפורטים</w:t>
      </w:r>
      <w:r>
        <w:rPr>
          <w:rFonts w:eastAsia="Arial TUR;Arial" w:cs="Arial TUR;Arial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04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ענ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פ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cs="Garamond" w:ascii="Garamond" w:hAnsi="Garamond"/>
            <w:color w:val="0000FF"/>
            <w:sz w:val="24"/>
            <w:u w:val="single"/>
          </w:rPr>
          <w:t>6163-09-20</w:t>
        </w:r>
      </w:hyperlink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hyperlink r:id="rId105">
        <w:r>
          <w:rPr>
            <w:rFonts w:ascii="Century" w:hAnsi="Century" w:cs="Miriam"/>
            <w:b/>
            <w:b/>
            <w:spacing w:val="0"/>
            <w:szCs w:val="24"/>
            <w:rtl w:val="true"/>
          </w:rPr>
          <w:t>רכיב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הפיצוי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אשר לפיצוי שהושת על המערער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פסק כי על המערער לפצות את נפגעי העבירה בסכום הפיצוי המירבי הקבוע בחוק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hyperlink r:id="rId10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המערער עותר להקל בסכום שנפסק</w:t>
      </w:r>
      <w:r>
        <w:rPr>
          <w:rtl w:val="true"/>
        </w:rPr>
        <w:t xml:space="preserve">, </w:t>
      </w:r>
      <w:r>
        <w:rPr>
          <w:rtl w:val="true"/>
        </w:rPr>
        <w:t>וזו מן הסיבה</w:t>
      </w:r>
      <w:r>
        <w:rPr>
          <w:rtl w:val="true"/>
        </w:rPr>
        <w:t xml:space="preserve">, </w:t>
      </w:r>
      <w:r>
        <w:rPr>
          <w:rtl w:val="true"/>
        </w:rPr>
        <w:t>כי אין בידו לשלם אותו</w:t>
      </w:r>
      <w:r>
        <w:rPr>
          <w:rtl w:val="true"/>
        </w:rPr>
        <w:t xml:space="preserve">, </w:t>
      </w:r>
      <w:r>
        <w:rPr>
          <w:rtl w:val="true"/>
        </w:rPr>
        <w:t>כך שהפיצוי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הושת על משפחתו</w:t>
      </w:r>
      <w:r>
        <w:rPr>
          <w:rtl w:val="true"/>
        </w:rPr>
        <w:t>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שקלתי סוגיה זו בכובד ראש</w:t>
      </w:r>
      <w:r>
        <w:rPr>
          <w:rtl w:val="true"/>
        </w:rPr>
        <w:t xml:space="preserve">, </w:t>
      </w:r>
      <w:r>
        <w:rPr>
          <w:rtl w:val="true"/>
        </w:rPr>
        <w:t xml:space="preserve">ולבסוף </w:t>
      </w:r>
      <w:r>
        <w:rPr>
          <w:rtl w:val="true"/>
        </w:rPr>
        <w:t>–</w:t>
      </w:r>
      <w:r>
        <w:rPr>
          <w:rtl w:val="true"/>
        </w:rPr>
        <w:t xml:space="preserve"> לא מצאתי מקום להתערב ברכיב הפיצוי שנפסק</w:t>
      </w:r>
      <w:r>
        <w:rPr>
          <w:rtl w:val="true"/>
        </w:rPr>
        <w:t xml:space="preserve">. </w:t>
      </w:r>
      <w:r>
        <w:rPr>
          <w:rtl w:val="true"/>
        </w:rPr>
        <w:t>ראשית יוער</w:t>
      </w:r>
      <w:r>
        <w:rPr>
          <w:rtl w:val="true"/>
        </w:rPr>
        <w:t xml:space="preserve">, </w:t>
      </w:r>
      <w:r>
        <w:rPr>
          <w:rtl w:val="true"/>
        </w:rPr>
        <w:t>כי עצם היות המערער קטין בעת שביצע את העבירות בהן הוא הורשע</w:t>
      </w:r>
      <w:r>
        <w:rPr>
          <w:rtl w:val="true"/>
        </w:rPr>
        <w:t xml:space="preserve">, </w:t>
      </w:r>
      <w:r>
        <w:rPr>
          <w:rtl w:val="true"/>
        </w:rPr>
        <w:t xml:space="preserve">אינו טעם המצדיק התערבות בפיצוי שהושת עליו </w:t>
      </w:r>
      <w:r>
        <w:rPr>
          <w:rtl w:val="true"/>
        </w:rPr>
        <w:t>(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19.06.2016</w:t>
      </w:r>
      <w:r>
        <w:rPr>
          <w:rtl w:val="true"/>
        </w:rPr>
        <w:t xml:space="preserve">);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30.12.2014</w:t>
      </w:r>
      <w:r>
        <w:rPr>
          <w:rtl w:val="true"/>
        </w:rPr>
        <w:t xml:space="preserve">)).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וכאן העיקר</w:t>
      </w:r>
      <w:r>
        <w:rPr>
          <w:rtl w:val="true"/>
        </w:rPr>
        <w:t xml:space="preserve">, </w:t>
      </w:r>
      <w:r>
        <w:rPr>
          <w:rtl w:val="true"/>
        </w:rPr>
        <w:t xml:space="preserve">מצוקה כלכלית של מי שהורשע בפלילים או של משפחתו אינה מהווה שיקול בעת קביעת פיצוי לנפגעי עבירה במסגרת הליך פלילי </w:t>
      </w:r>
      <w:r>
        <w:rPr>
          <w:rtl w:val="true"/>
        </w:rPr>
        <w:t>(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8297/11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17.11.2013</w:t>
      </w:r>
      <w:r>
        <w:rPr>
          <w:rtl w:val="true"/>
        </w:rPr>
        <w:t xml:space="preserve">); 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3502/12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23.06.2013</w:t>
      </w:r>
      <w:r>
        <w:rPr>
          <w:rtl w:val="true"/>
        </w:rPr>
        <w:t xml:space="preserve">)). </w:t>
      </w:r>
      <w:r>
        <w:rPr>
          <w:rtl w:val="true"/>
        </w:rPr>
        <w:t>כן יצוין</w:t>
      </w:r>
      <w:r>
        <w:rPr>
          <w:rtl w:val="true"/>
        </w:rPr>
        <w:t xml:space="preserve">, </w:t>
      </w:r>
      <w:r>
        <w:rPr>
          <w:rtl w:val="true"/>
        </w:rPr>
        <w:t xml:space="preserve">כי לפני המערער האפשרות לפנות אל המרכז לגביית קנסות בבקשה לפרוס את תשלומי הפיצוי </w:t>
      </w:r>
      <w:r>
        <w:rPr>
          <w:rtl w:val="true"/>
        </w:rPr>
        <w:t>(</w:t>
      </w:r>
      <w:hyperlink r:id="rId1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המרכז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לגביית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קנסות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אגרות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והוצאות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1995</w:t>
      </w:r>
      <w:r>
        <w:rPr>
          <w:rtl w:val="true"/>
        </w:rPr>
        <w:t xml:space="preserve">; 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ביאדסה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02.08.2012</w:t>
      </w:r>
      <w:r>
        <w:rPr>
          <w:rtl w:val="true"/>
        </w:rPr>
        <w:t>)).</w:t>
      </w:r>
    </w:p>
    <w:p>
      <w:pPr>
        <w:pStyle w:val="Ruller43"/>
        <w:numPr>
          <w:ilvl w:val="0"/>
          <w:numId w:val="1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>בהתאם לכל האמור</w:t>
      </w:r>
      <w:r>
        <w:rPr>
          <w:rtl w:val="true"/>
        </w:rPr>
        <w:t xml:space="preserve">, </w:t>
      </w:r>
      <w:r>
        <w:rPr>
          <w:rtl w:val="true"/>
        </w:rPr>
        <w:t>לא מצאתי מקום להתערב בגזר דינו של בית המשפט המחוזי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overflowPunct w:val="true"/>
        <w:autoSpaceDE w:val="true"/>
        <w:spacing w:before="240" w:after="240"/>
        <w:ind w:hanging="0" w:start="0" w:end="0"/>
        <w:jc w:val="both"/>
        <w:textAlignment w:val="auto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לו תישמע דעתי</w:t>
      </w:r>
      <w:r>
        <w:rPr>
          <w:rtl w:val="true"/>
        </w:rPr>
        <w:t xml:space="preserve">, </w:t>
      </w:r>
      <w:r>
        <w:rPr>
          <w:rtl w:val="true"/>
        </w:rPr>
        <w:t>נדחה את הערעור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שטיין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  <w:sz w:val="24"/>
          <w:szCs w:val="24"/>
          <w:u w:val="single"/>
        </w:rPr>
      </w:pPr>
      <w:r>
        <w:rPr>
          <w:rFonts w:cs="Century" w:ascii="Century" w:hAnsi="Century"/>
          <w:sz w:val="24"/>
          <w:szCs w:val="24"/>
          <w:u w:val="single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</w:t>
      </w:r>
    </w:p>
    <w:p>
      <w:pPr>
        <w:pStyle w:val="Ruller42"/>
        <w:ind w:end="0"/>
        <w:jc w:val="both"/>
        <w:rPr>
          <w:rFonts w:ascii="Century" w:hAnsi="Century" w:cs="Century"/>
          <w:spacing w:val="10"/>
          <w:sz w:val="22"/>
          <w:szCs w:val="28"/>
        </w:rPr>
      </w:pPr>
      <w:r>
        <w:rPr>
          <w:rFonts w:cs="Century" w:ascii="Century" w:hAnsi="Century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כבוב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bookmarkStart w:id="22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30.11.2022</w:t>
      </w:r>
      <w:r>
        <w:rPr>
          <w:rtl w:val="true"/>
        </w:rPr>
        <w:t xml:space="preserve">). </w:t>
      </w:r>
      <w:bookmarkEnd w:id="22"/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center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  <w:r>
              <w:rPr>
                <w:rFonts w:ascii="Century" w:hAnsi="Century" w:cs="Century"/>
                <w:rtl w:val="true"/>
              </w:rPr>
              <w:t xml:space="preserve"> ת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>
                <w:rFonts w:ascii="Century" w:hAnsi="Century" w:cs="Century"/>
              </w:rPr>
            </w:pPr>
            <w:r>
              <w:rPr>
                <w:rFonts w:ascii="Century" w:hAnsi="Century" w:cs="Century"/>
                <w:rtl w:val="true"/>
              </w:rPr>
              <w:t>ש ו פ ט</w:t>
            </w:r>
          </w:p>
        </w:tc>
      </w:tr>
    </w:tbl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21009900</w:t>
      </w:r>
      <w:r>
        <w:rPr>
          <w:sz w:val="16"/>
          <w:rtl w:val="true"/>
        </w:rPr>
        <w:t>_</w:t>
      </w:r>
      <w:r>
        <w:rPr>
          <w:sz w:val="16"/>
        </w:rPr>
        <w:t>C01.docx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54678313-990/21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6"/>
      <w:footerReference w:type="default" r:id="rId1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990/21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10"/>
        <w:i w:val="false"/>
        <w:shadow w:val="false"/>
        <w:u w:val="none"/>
        <w:b w:val="false"/>
        <w:kern w:val="0"/>
        <w:szCs w:val="28"/>
        <w:iCs w:val="false"/>
        <w:bCs w:val="false"/>
        <w:w w:val="100"/>
        <w:vanish w:val="false"/>
        <w:rFonts w:ascii="Garamond" w:hAnsi="Garamond" w:cs="FrankRuehl"/>
        <w:color w:val="000000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FrankRuehl" w:hAnsi="FrankRuehl" w:eastAsia="Times New Roman" w:cs="FrankRuehl"/>
      <w:sz w:val="28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Garamond" w:hAnsi="Garamond" w:cs="FrankRueh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WW8Num13z0">
    <w:name w:val="WW8Num13z0"/>
    <w:qFormat/>
    <w:rPr>
      <w:sz w:val="28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strike w:val="false"/>
      <w:dstrike w:val="false"/>
      <w:sz w:val="24"/>
      <w:szCs w:val="24"/>
      <w:lang w:bidi="he-IL"/>
    </w:rPr>
  </w:style>
  <w:style w:type="character" w:styleId="WW8Num16z0">
    <w:name w:val="WW8Num16z0"/>
    <w:qFormat/>
    <w:rPr>
      <w:rFonts w:ascii="Symbol" w:hAnsi="Symbol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Ruller41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ruller40">
    <w:name w:val="ruller40"/>
    <w:basedOn w:val="Normal"/>
    <w:qFormat/>
    <w:pPr>
      <w:jc w:val="both"/>
      <w:textAlignment w:val="auto"/>
    </w:pPr>
    <w:rPr>
      <w:rFonts w:ascii="Garamond" w:hAnsi="Garamond"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ruller51">
    <w:name w:val="ruller51"/>
    <w:basedOn w:val="Normal"/>
    <w:qFormat/>
    <w:pPr>
      <w:ind w:hanging="0" w:start="1642" w:end="1282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p00">
    <w:name w:val="p0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  <w:lang w:val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472972" TargetMode="External"/><Relationship Id="rId3" Type="http://schemas.openxmlformats.org/officeDocument/2006/relationships/hyperlink" Target="http://www.nevo.co.il/safrut/book/37067" TargetMode="External"/><Relationship Id="rId4" Type="http://schemas.openxmlformats.org/officeDocument/2006/relationships/hyperlink" Target="http://www.nevo.co.il/safrut/book/37067" TargetMode="External"/><Relationship Id="rId5" Type="http://schemas.openxmlformats.org/officeDocument/2006/relationships/hyperlink" Target="http://www.nevo.co.il/safrut/bookgroup/3959" TargetMode="External"/><Relationship Id="rId6" Type="http://schemas.openxmlformats.org/officeDocument/2006/relationships/hyperlink" Target="http://www.nevo.co.il/safrut/bookgroup/2063" TargetMode="External"/><Relationship Id="rId7" Type="http://schemas.openxmlformats.org/officeDocument/2006/relationships/hyperlink" Target="http://www.nevo.co.il/safrut/bookgroup/206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law/70301/41" TargetMode="External"/><Relationship Id="rId11" Type="http://schemas.openxmlformats.org/officeDocument/2006/relationships/hyperlink" Target="http://www.nevo.co.il/law/70301/77.a" TargetMode="External"/><Relationship Id="rId12" Type="http://schemas.openxmlformats.org/officeDocument/2006/relationships/hyperlink" Target="http://www.nevo.co.il/law/70301/97" TargetMode="External"/><Relationship Id="rId13" Type="http://schemas.openxmlformats.org/officeDocument/2006/relationships/hyperlink" Target="http://www.nevo.co.il/law/70301/98" TargetMode="External"/><Relationship Id="rId14" Type="http://schemas.openxmlformats.org/officeDocument/2006/relationships/hyperlink" Target="http://www.nevo.co.il/law/70301/107" TargetMode="External"/><Relationship Id="rId15" Type="http://schemas.openxmlformats.org/officeDocument/2006/relationships/hyperlink" Target="http://www.nevo.co.il/law/70301/111" TargetMode="External"/><Relationship Id="rId16" Type="http://schemas.openxmlformats.org/officeDocument/2006/relationships/hyperlink" Target="http://www.nevo.co.il/law/70301/113.b" TargetMode="External"/><Relationship Id="rId17" Type="http://schemas.openxmlformats.org/officeDocument/2006/relationships/hyperlink" Target="http://www.nevo.co.il/law/70301/121.b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245.a" TargetMode="External"/><Relationship Id="rId20" Type="http://schemas.openxmlformats.org/officeDocument/2006/relationships/hyperlink" Target="http://www.nevo.co.il/law/70301/300.a" TargetMode="External"/><Relationship Id="rId21" Type="http://schemas.openxmlformats.org/officeDocument/2006/relationships/hyperlink" Target="http://www.nevo.co.il/law/70301/311a" TargetMode="External"/><Relationship Id="rId22" Type="http://schemas.openxmlformats.org/officeDocument/2006/relationships/hyperlink" Target="http://www.nevo.co.il/law/70301/34ka" TargetMode="External"/><Relationship Id="rId23" Type="http://schemas.openxmlformats.org/officeDocument/2006/relationships/hyperlink" Target="http://www.nevo.co.il/law/70301/369" TargetMode="External"/><Relationship Id="rId24" Type="http://schemas.openxmlformats.org/officeDocument/2006/relationships/hyperlink" Target="http://www.nevo.co.il/law/70301/413e" TargetMode="External"/><Relationship Id="rId25" Type="http://schemas.openxmlformats.org/officeDocument/2006/relationships/hyperlink" Target="http://www.nevo.co.il/law/70301/428" TargetMode="External"/><Relationship Id="rId26" Type="http://schemas.openxmlformats.org/officeDocument/2006/relationships/hyperlink" Target="http://www.nevo.co.il/law/70301/jCaS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law/4216/21.a" TargetMode="External"/><Relationship Id="rId29" Type="http://schemas.openxmlformats.org/officeDocument/2006/relationships/hyperlink" Target="http://www.nevo.co.il/law/70348" TargetMode="External"/><Relationship Id="rId30" Type="http://schemas.openxmlformats.org/officeDocument/2006/relationships/hyperlink" Target="http://www.nevo.co.il/law/70348/1a.a" TargetMode="External"/><Relationship Id="rId31" Type="http://schemas.openxmlformats.org/officeDocument/2006/relationships/hyperlink" Target="http://www.nevo.co.il/law/75003" TargetMode="External"/><Relationship Id="rId32" Type="http://schemas.openxmlformats.org/officeDocument/2006/relationships/hyperlink" Target="http://www.nevo.co.il/law/75003/5b.a" TargetMode="External"/><Relationship Id="rId33" Type="http://schemas.openxmlformats.org/officeDocument/2006/relationships/hyperlink" Target="http://www.nevo.co.il/case/25472972" TargetMode="External"/><Relationship Id="rId34" Type="http://schemas.openxmlformats.org/officeDocument/2006/relationships/hyperlink" Target="http://www.nevo.co.il/law/70301/300.a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300.a" TargetMode="External"/><Relationship Id="rId37" Type="http://schemas.openxmlformats.org/officeDocument/2006/relationships/hyperlink" Target="http://www.nevo.co.il/law/70301/144.b" TargetMode="External"/><Relationship Id="rId38" Type="http://schemas.openxmlformats.org/officeDocument/2006/relationships/hyperlink" Target="http://www.nevo.co.il/law/70301/369" TargetMode="External"/><Relationship Id="rId39" Type="http://schemas.openxmlformats.org/officeDocument/2006/relationships/hyperlink" Target="http://www.nevo.co.il/law/70301/428" TargetMode="External"/><Relationship Id="rId40" Type="http://schemas.openxmlformats.org/officeDocument/2006/relationships/hyperlink" Target="http://www.nevo.co.il/law/70301/245.a" TargetMode="External"/><Relationship Id="rId41" Type="http://schemas.openxmlformats.org/officeDocument/2006/relationships/hyperlink" Target="http://www.nevo.co.il/law/70301/413e" TargetMode="External"/><Relationship Id="rId42" Type="http://schemas.openxmlformats.org/officeDocument/2006/relationships/hyperlink" Target="http://www.nevo.co.il/law/70301/41" TargetMode="External"/><Relationship Id="rId43" Type="http://schemas.openxmlformats.org/officeDocument/2006/relationships/hyperlink" Target="http://www.nevo.co.il/law/70301/311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case/26972140" TargetMode="External"/><Relationship Id="rId46" Type="http://schemas.openxmlformats.org/officeDocument/2006/relationships/hyperlink" Target="http://www.nevo.co.il/law/70301/41" TargetMode="External"/><Relationship Id="rId47" Type="http://schemas.openxmlformats.org/officeDocument/2006/relationships/hyperlink" Target="http://www.nevo.co.il/case/26972140" TargetMode="External"/><Relationship Id="rId48" Type="http://schemas.openxmlformats.org/officeDocument/2006/relationships/hyperlink" Target="http://www.nevo.co.il/law/70301/41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41" TargetMode="External"/><Relationship Id="rId51" Type="http://schemas.openxmlformats.org/officeDocument/2006/relationships/hyperlink" Target="http://www.nevo.co.il/law/70301/41" TargetMode="External"/><Relationship Id="rId52" Type="http://schemas.openxmlformats.org/officeDocument/2006/relationships/hyperlink" Target="http://www.nevo.co.il/law/70301/34ka" TargetMode="External"/><Relationship Id="rId53" Type="http://schemas.openxmlformats.org/officeDocument/2006/relationships/hyperlink" Target="http://www.nevo.co.il/case/26972140" TargetMode="External"/><Relationship Id="rId54" Type="http://schemas.openxmlformats.org/officeDocument/2006/relationships/hyperlink" Target="http://www.nevo.co.il/case/18765366" TargetMode="External"/><Relationship Id="rId55" Type="http://schemas.openxmlformats.org/officeDocument/2006/relationships/hyperlink" Target="http://www.nevo.co.il/case/27980952" TargetMode="External"/><Relationship Id="rId56" Type="http://schemas.openxmlformats.org/officeDocument/2006/relationships/hyperlink" Target="http://www.nevo.co.il/case/21477392" TargetMode="External"/><Relationship Id="rId57" Type="http://schemas.openxmlformats.org/officeDocument/2006/relationships/hyperlink" Target="http://www.nevo.co.il/case/5766015" TargetMode="External"/><Relationship Id="rId58" Type="http://schemas.openxmlformats.org/officeDocument/2006/relationships/hyperlink" Target="http://www.nevo.co.il/case/5701742" TargetMode="External"/><Relationship Id="rId59" Type="http://schemas.openxmlformats.org/officeDocument/2006/relationships/hyperlink" Target="http://www.nevo.co.il/case/17926253" TargetMode="External"/><Relationship Id="rId60" Type="http://schemas.openxmlformats.org/officeDocument/2006/relationships/hyperlink" Target="http://www.nevo.co.il/case/27555147" TargetMode="External"/><Relationship Id="rId61" Type="http://schemas.openxmlformats.org/officeDocument/2006/relationships/hyperlink" Target="http://www.nevo.co.il/law/4216/21.a" TargetMode="External"/><Relationship Id="rId62" Type="http://schemas.openxmlformats.org/officeDocument/2006/relationships/hyperlink" Target="http://www.nevo.co.il/law/4216" TargetMode="External"/><Relationship Id="rId63" Type="http://schemas.openxmlformats.org/officeDocument/2006/relationships/hyperlink" Target="http://www.nevo.co.il/law/70301/144.b" TargetMode="External"/><Relationship Id="rId64" Type="http://schemas.openxmlformats.org/officeDocument/2006/relationships/hyperlink" Target="http://www.nevo.co.il/law/70301/31" TargetMode="External"/><Relationship Id="rId65" Type="http://schemas.openxmlformats.org/officeDocument/2006/relationships/hyperlink" Target="http://www.nevo.co.il/case/6024035" TargetMode="External"/><Relationship Id="rId66" Type="http://schemas.openxmlformats.org/officeDocument/2006/relationships/hyperlink" Target="http://www.nevo.co.il/case/5716667" TargetMode="External"/><Relationship Id="rId67" Type="http://schemas.openxmlformats.org/officeDocument/2006/relationships/hyperlink" Target="http://www.nevo.co.il/case/5819116" TargetMode="External"/><Relationship Id="rId68" Type="http://schemas.openxmlformats.org/officeDocument/2006/relationships/hyperlink" Target="http://www.nevo.co.il/case/17947940" TargetMode="External"/><Relationship Id="rId69" Type="http://schemas.openxmlformats.org/officeDocument/2006/relationships/hyperlink" Target="http://www.nevo.co.il/safrut/bookgroup/3959" TargetMode="External"/><Relationship Id="rId70" Type="http://schemas.openxmlformats.org/officeDocument/2006/relationships/hyperlink" Target="http://www.nevo.co.il/law/70348/1a.a" TargetMode="External"/><Relationship Id="rId71" Type="http://schemas.openxmlformats.org/officeDocument/2006/relationships/hyperlink" Target="http://www.nevo.co.il/law/70348" TargetMode="External"/><Relationship Id="rId72" Type="http://schemas.openxmlformats.org/officeDocument/2006/relationships/hyperlink" Target="http://www.nevo.co.il/case/5594752" TargetMode="External"/><Relationship Id="rId73" Type="http://schemas.openxmlformats.org/officeDocument/2006/relationships/hyperlink" Target="http://www.nevo.co.il/case/21472394" TargetMode="External"/><Relationship Id="rId74" Type="http://schemas.openxmlformats.org/officeDocument/2006/relationships/hyperlink" Target="http://www.nevo.co.il/law/70301/300.a" TargetMode="External"/><Relationship Id="rId75" Type="http://schemas.openxmlformats.org/officeDocument/2006/relationships/hyperlink" Target="http://www.nevo.co.il/law/70301/41" TargetMode="External"/><Relationship Id="rId76" Type="http://schemas.openxmlformats.org/officeDocument/2006/relationships/hyperlink" Target="http://www.nevo.co.il/law/70301/311a" TargetMode="External"/><Relationship Id="rId77" Type="http://schemas.openxmlformats.org/officeDocument/2006/relationships/hyperlink" Target="http://www.nevo.co.il/law/70301/jCaS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law/70301/41" TargetMode="External"/><Relationship Id="rId80" Type="http://schemas.openxmlformats.org/officeDocument/2006/relationships/hyperlink" Target="http://www.nevo.co.il/law/70301/300.a" TargetMode="External"/><Relationship Id="rId81" Type="http://schemas.openxmlformats.org/officeDocument/2006/relationships/hyperlink" Target="http://www.nevo.co.il/case/17918227" TargetMode="External"/><Relationship Id="rId82" Type="http://schemas.openxmlformats.org/officeDocument/2006/relationships/hyperlink" Target="http://www.nevo.co.il/law/70301/311a" TargetMode="External"/><Relationship Id="rId83" Type="http://schemas.openxmlformats.org/officeDocument/2006/relationships/hyperlink" Target="http://www.nevo.co.il/law/70301/41" TargetMode="External"/><Relationship Id="rId84" Type="http://schemas.openxmlformats.org/officeDocument/2006/relationships/hyperlink" Target="http://www.nevo.co.il/law/70301/311a" TargetMode="External"/><Relationship Id="rId85" Type="http://schemas.openxmlformats.org/officeDocument/2006/relationships/hyperlink" Target="http://www.nevo.co.il/law/70301" TargetMode="External"/><Relationship Id="rId86" Type="http://schemas.openxmlformats.org/officeDocument/2006/relationships/hyperlink" Target="http://www.nevo.co.il/safrut/bookgroup/2063" TargetMode="External"/><Relationship Id="rId87" Type="http://schemas.openxmlformats.org/officeDocument/2006/relationships/hyperlink" Target="http://www.nevo.co.il/law/70301" TargetMode="External"/><Relationship Id="rId88" Type="http://schemas.openxmlformats.org/officeDocument/2006/relationships/hyperlink" Target="http://www.nevo.co.il/law/70301" TargetMode="External"/><Relationship Id="rId89" Type="http://schemas.openxmlformats.org/officeDocument/2006/relationships/hyperlink" Target="http://www.nevo.co.il/case/25441697" TargetMode="External"/><Relationship Id="rId90" Type="http://schemas.openxmlformats.org/officeDocument/2006/relationships/hyperlink" Target="http://www.nevo.co.il/case/27608320" TargetMode="External"/><Relationship Id="rId91" Type="http://schemas.openxmlformats.org/officeDocument/2006/relationships/hyperlink" Target="http://www.nevo.co.il/safrut/book/37067" TargetMode="External"/><Relationship Id="rId92" Type="http://schemas.openxmlformats.org/officeDocument/2006/relationships/hyperlink" Target="http://www.nevo.co.il/law/70301/97" TargetMode="External"/><Relationship Id="rId93" Type="http://schemas.openxmlformats.org/officeDocument/2006/relationships/hyperlink" Target="http://www.nevo.co.il/law/70301/98" TargetMode="External"/><Relationship Id="rId94" Type="http://schemas.openxmlformats.org/officeDocument/2006/relationships/hyperlink" Target="http://www.nevo.co.il/law/70301/107" TargetMode="External"/><Relationship Id="rId95" Type="http://schemas.openxmlformats.org/officeDocument/2006/relationships/hyperlink" Target="http://www.nevo.co.il/law/70301/111" TargetMode="External"/><Relationship Id="rId96" Type="http://schemas.openxmlformats.org/officeDocument/2006/relationships/hyperlink" Target="http://www.nevo.co.il/law/70301/113.b" TargetMode="External"/><Relationship Id="rId97" Type="http://schemas.openxmlformats.org/officeDocument/2006/relationships/hyperlink" Target="http://www.nevo.co.il/law/70301/121.b" TargetMode="External"/><Relationship Id="rId98" Type="http://schemas.openxmlformats.org/officeDocument/2006/relationships/hyperlink" Target="http://www.nevo.co.il/law/70301/41" TargetMode="External"/><Relationship Id="rId99" Type="http://schemas.openxmlformats.org/officeDocument/2006/relationships/hyperlink" Target="http://www.nevo.co.il/law/70301/311a" TargetMode="External"/><Relationship Id="rId100" Type="http://schemas.openxmlformats.org/officeDocument/2006/relationships/hyperlink" Target="http://www.nevo.co.il/law/70301/34ka" TargetMode="External"/><Relationship Id="rId101" Type="http://schemas.openxmlformats.org/officeDocument/2006/relationships/hyperlink" Target="http://www.nevo.co.il/case/26972140" TargetMode="External"/><Relationship Id="rId102" Type="http://schemas.openxmlformats.org/officeDocument/2006/relationships/hyperlink" Target="http://www.nevo.co.il/case/28092428" TargetMode="External"/><Relationship Id="rId103" Type="http://schemas.openxmlformats.org/officeDocument/2006/relationships/hyperlink" Target="http://www.nevo.co.il/case/26972140" TargetMode="External"/><Relationship Id="rId104" Type="http://schemas.openxmlformats.org/officeDocument/2006/relationships/hyperlink" Target="http://www.nevo.co.il/case/26972140" TargetMode="External"/><Relationship Id="rId105" Type="http://schemas.openxmlformats.org/officeDocument/2006/relationships/hyperlink" Target="http://www.nevo.co.il/case/26972140" TargetMode="External"/><Relationship Id="rId106" Type="http://schemas.openxmlformats.org/officeDocument/2006/relationships/hyperlink" Target="http://www.nevo.co.il/law/70301/77.a" TargetMode="External"/><Relationship Id="rId107" Type="http://schemas.openxmlformats.org/officeDocument/2006/relationships/hyperlink" Target="http://www.nevo.co.il/case/21477292" TargetMode="External"/><Relationship Id="rId108" Type="http://schemas.openxmlformats.org/officeDocument/2006/relationships/hyperlink" Target="http://www.nevo.co.il/case/6245911" TargetMode="External"/><Relationship Id="rId109" Type="http://schemas.openxmlformats.org/officeDocument/2006/relationships/hyperlink" Target="http://www.nevo.co.il/case/6248344" TargetMode="External"/><Relationship Id="rId110" Type="http://schemas.openxmlformats.org/officeDocument/2006/relationships/hyperlink" Target="http://www.nevo.co.il/case/6244986" TargetMode="External"/><Relationship Id="rId111" Type="http://schemas.openxmlformats.org/officeDocument/2006/relationships/hyperlink" Target="http://www.nevo.co.il/law/75003/5b.a" TargetMode="External"/><Relationship Id="rId112" Type="http://schemas.openxmlformats.org/officeDocument/2006/relationships/hyperlink" Target="http://www.nevo.co.il/law/75003" TargetMode="External"/><Relationship Id="rId113" Type="http://schemas.openxmlformats.org/officeDocument/2006/relationships/hyperlink" Target="http://www.nevo.co.il/case/5581520" TargetMode="External"/><Relationship Id="rId114" Type="http://schemas.openxmlformats.org/officeDocument/2006/relationships/hyperlink" Target="https://supreme.court.gov.il/" TargetMode="External"/><Relationship Id="rId115" Type="http://schemas.openxmlformats.org/officeDocument/2006/relationships/hyperlink" Target="http://www.nevo.co.il/advertisements/nevo-100.doc" TargetMode="External"/><Relationship Id="rId116" Type="http://schemas.openxmlformats.org/officeDocument/2006/relationships/header" Target="header1.xml"/><Relationship Id="rId117" Type="http://schemas.openxmlformats.org/officeDocument/2006/relationships/footer" Target="footer1.xml"/><Relationship Id="rId118" Type="http://schemas.openxmlformats.org/officeDocument/2006/relationships/numbering" Target="numbering.xml"/><Relationship Id="rId119" Type="http://schemas.openxmlformats.org/officeDocument/2006/relationships/fontTable" Target="fontTable.xml"/><Relationship Id="rId120" Type="http://schemas.openxmlformats.org/officeDocument/2006/relationships/settings" Target="settings.xml"/><Relationship Id="rId1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2022-12-01T12:48:00Z</dcterms:created>
  <dc:creator>h4</dc:creator>
  <dc:description/>
  <cp:keywords/>
  <dc:language>en-IL</dc:language>
  <cp:lastModifiedBy>orly</cp:lastModifiedBy>
  <cp:lastPrinted>2022-11-30T09:02:00Z</cp:lastPrinted>
  <dcterms:modified xsi:type="dcterms:W3CDTF">2022-12-01T12:48:00Z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3959;2063</vt:lpwstr>
  </property>
  <property fmtid="{D5CDD505-2E9C-101B-9397-08002B2CF9AE}" pid="9" name="BOOKLISTTMP1">
    <vt:lpwstr>37067</vt:lpwstr>
  </property>
  <property fmtid="{D5CDD505-2E9C-101B-9397-08002B2CF9AE}" pid="10" name="CASESLISTTMP1">
    <vt:lpwstr>25472972:2;26972140:6;18765366;27980952;21477392;5766015;5701742;17926253;27555147;6024035;5716667;5819116;17947940;5594752;21472394;17918227;25441697;27608320;28092428;21477292;6245911;6248344;6244986;5581520</vt:lpwstr>
  </property>
  <property fmtid="{D5CDD505-2E9C-101B-9397-08002B2CF9AE}" pid="11" name="CITY">
    <vt:lpwstr/>
  </property>
  <property fmtid="{D5CDD505-2E9C-101B-9397-08002B2CF9AE}" pid="12" name="DATE">
    <vt:lpwstr>20221130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ע' ברון;א' שטיין;ח' כבוב</vt:lpwstr>
  </property>
  <property fmtid="{D5CDD505-2E9C-101B-9397-08002B2CF9AE}" pid="16" name="LAWLISTTMP1">
    <vt:lpwstr>70301/300.a:4;144.b:2;369;428;245.a;413e;041:9;311a:5;34ka:2;031;jCaS;097;098;107;111;113.b;121.b;077.a</vt:lpwstr>
  </property>
  <property fmtid="{D5CDD505-2E9C-101B-9397-08002B2CF9AE}" pid="17" name="LAWLISTTMP2">
    <vt:lpwstr>4216/021.a</vt:lpwstr>
  </property>
  <property fmtid="{D5CDD505-2E9C-101B-9397-08002B2CF9AE}" pid="18" name="LAWLISTTMP3">
    <vt:lpwstr>70348/001a.a</vt:lpwstr>
  </property>
  <property fmtid="{D5CDD505-2E9C-101B-9397-08002B2CF9AE}" pid="19" name="LAWLISTTMP4">
    <vt:lpwstr>75003/005b.a</vt:lpwstr>
  </property>
  <property fmtid="{D5CDD505-2E9C-101B-9397-08002B2CF9AE}" pid="20" name="LAWYER">
    <vt:lpwstr>שרית משגב;מוסא מוסא;אהוד בן יהודה;טלי סמואל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פאני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עונשין</vt:lpwstr>
  </property>
  <property fmtid="{D5CDD505-2E9C-101B-9397-08002B2CF9AE}" pid="32" name="NOSE110">
    <vt:lpwstr/>
  </property>
  <property fmtid="{D5CDD505-2E9C-101B-9397-08002B2CF9AE}" pid="33" name="NOSE12">
    <vt:lpwstr>עונשין</vt:lpwstr>
  </property>
  <property fmtid="{D5CDD505-2E9C-101B-9397-08002B2CF9AE}" pid="34" name="NOSE13">
    <vt:lpwstr>עונשין</vt:lpwstr>
  </property>
  <property fmtid="{D5CDD505-2E9C-101B-9397-08002B2CF9AE}" pid="35" name="NOSE14">
    <vt:lpwstr>עונשין</vt:lpwstr>
  </property>
  <property fmtid="{D5CDD505-2E9C-101B-9397-08002B2CF9AE}" pid="36" name="NOSE15">
    <vt:lpwstr>עונשין</vt:lpwstr>
  </property>
  <property fmtid="{D5CDD505-2E9C-101B-9397-08002B2CF9AE}" pid="37" name="NOSE16">
    <vt:lpwstr>עונשין</vt:lpwstr>
  </property>
  <property fmtid="{D5CDD505-2E9C-101B-9397-08002B2CF9AE}" pid="38" name="NOSE17">
    <vt:lpwstr>עונשין</vt:lpwstr>
  </property>
  <property fmtid="{D5CDD505-2E9C-101B-9397-08002B2CF9AE}" pid="39" name="NOSE18">
    <vt:lpwstr/>
  </property>
  <property fmtid="{D5CDD505-2E9C-101B-9397-08002B2CF9AE}" pid="40" name="NOSE19">
    <vt:lpwstr/>
  </property>
  <property fmtid="{D5CDD505-2E9C-101B-9397-08002B2CF9AE}" pid="41" name="NOSE1ID">
    <vt:lpwstr>77;77;77;77;77;77;77</vt:lpwstr>
  </property>
  <property fmtid="{D5CDD505-2E9C-101B-9397-08002B2CF9AE}" pid="42" name="NOSE21">
    <vt:lpwstr>ענישה</vt:lpwstr>
  </property>
  <property fmtid="{D5CDD505-2E9C-101B-9397-08002B2CF9AE}" pid="43" name="NOSE210">
    <vt:lpwstr/>
  </property>
  <property fmtid="{D5CDD505-2E9C-101B-9397-08002B2CF9AE}" pid="44" name="NOSE22">
    <vt:lpwstr>ענישה</vt:lpwstr>
  </property>
  <property fmtid="{D5CDD505-2E9C-101B-9397-08002B2CF9AE}" pid="45" name="NOSE23">
    <vt:lpwstr>ענישה</vt:lpwstr>
  </property>
  <property fmtid="{D5CDD505-2E9C-101B-9397-08002B2CF9AE}" pid="46" name="NOSE24">
    <vt:lpwstr>ענישה</vt:lpwstr>
  </property>
  <property fmtid="{D5CDD505-2E9C-101B-9397-08002B2CF9AE}" pid="47" name="NOSE25">
    <vt:lpwstr>ענישה</vt:lpwstr>
  </property>
  <property fmtid="{D5CDD505-2E9C-101B-9397-08002B2CF9AE}" pid="48" name="NOSE26">
    <vt:lpwstr>ענישה</vt:lpwstr>
  </property>
  <property fmtid="{D5CDD505-2E9C-101B-9397-08002B2CF9AE}" pid="49" name="NOSE27">
    <vt:lpwstr>ענישה</vt:lpwstr>
  </property>
  <property fmtid="{D5CDD505-2E9C-101B-9397-08002B2CF9AE}" pid="50" name="NOSE28">
    <vt:lpwstr/>
  </property>
  <property fmtid="{D5CDD505-2E9C-101B-9397-08002B2CF9AE}" pid="51" name="NOSE29">
    <vt:lpwstr/>
  </property>
  <property fmtid="{D5CDD505-2E9C-101B-9397-08002B2CF9AE}" pid="52" name="NOSE2ID">
    <vt:lpwstr>1446;1446;1446;1446;1446;1446;1446</vt:lpwstr>
  </property>
  <property fmtid="{D5CDD505-2E9C-101B-9397-08002B2CF9AE}" pid="53" name="NOSE31">
    <vt:lpwstr>מדיניות ענישה: עבירת רצח</vt:lpwstr>
  </property>
  <property fmtid="{D5CDD505-2E9C-101B-9397-08002B2CF9AE}" pid="54" name="NOSE310">
    <vt:lpwstr/>
  </property>
  <property fmtid="{D5CDD505-2E9C-101B-9397-08002B2CF9AE}" pid="55" name="NOSE32">
    <vt:lpwstr>מדיניות ענישה: שיקום</vt:lpwstr>
  </property>
  <property fmtid="{D5CDD505-2E9C-101B-9397-08002B2CF9AE}" pid="56" name="NOSE33">
    <vt:lpwstr>מדיניות ענישה: שיקולים</vt:lpwstr>
  </property>
  <property fmtid="{D5CDD505-2E9C-101B-9397-08002B2CF9AE}" pid="57" name="NOSE34">
    <vt:lpwstr>דרכי ענישה: עונשים מצטברים</vt:lpwstr>
  </property>
  <property fmtid="{D5CDD505-2E9C-101B-9397-08002B2CF9AE}" pid="58" name="NOSE35">
    <vt:lpwstr>דרכי ענישה: פיצויים</vt:lpwstr>
  </property>
  <property fmtid="{D5CDD505-2E9C-101B-9397-08002B2CF9AE}" pid="59" name="NOSE36">
    <vt:lpwstr>מאסר עולם</vt:lpwstr>
  </property>
  <property fmtid="{D5CDD505-2E9C-101B-9397-08002B2CF9AE}" pid="60" name="NOSE37">
    <vt:lpwstr>אחדות הענישה</vt:lpwstr>
  </property>
  <property fmtid="{D5CDD505-2E9C-101B-9397-08002B2CF9AE}" pid="61" name="NOSE38">
    <vt:lpwstr/>
  </property>
  <property fmtid="{D5CDD505-2E9C-101B-9397-08002B2CF9AE}" pid="62" name="NOSE39">
    <vt:lpwstr/>
  </property>
  <property fmtid="{D5CDD505-2E9C-101B-9397-08002B2CF9AE}" pid="63" name="NOSE3ID">
    <vt:lpwstr>14615;14346;8994;8966;8968;15651;12547</vt:lpwstr>
  </property>
  <property fmtid="{D5CDD505-2E9C-101B-9397-08002B2CF9AE}" pid="64" name="PADIDATE">
    <vt:lpwstr>20221201</vt:lpwstr>
  </property>
  <property fmtid="{D5CDD505-2E9C-101B-9397-08002B2CF9AE}" pid="65" name="PADIMAIL">
    <vt:lpwstr>YES</vt:lpwstr>
  </property>
  <property fmtid="{D5CDD505-2E9C-101B-9397-08002B2CF9AE}" pid="66" name="PAGE">
    <vt:lpwstr/>
  </property>
  <property fmtid="{D5CDD505-2E9C-101B-9397-08002B2CF9AE}" pid="67" name="PART">
    <vt:lpwstr/>
  </property>
  <property fmtid="{D5CDD505-2E9C-101B-9397-08002B2CF9AE}" pid="68" name="PROCESS">
    <vt:lpwstr>עפ</vt:lpwstr>
  </property>
  <property fmtid="{D5CDD505-2E9C-101B-9397-08002B2CF9AE}" pid="69" name="PROCNUM">
    <vt:lpwstr>990</vt:lpwstr>
  </property>
  <property fmtid="{D5CDD505-2E9C-101B-9397-08002B2CF9AE}" pid="70" name="PROCYEAR">
    <vt:lpwstr>21</vt:lpwstr>
  </property>
  <property fmtid="{D5CDD505-2E9C-101B-9397-08002B2CF9AE}" pid="71" name="PSAKDIN">
    <vt:lpwstr>פסק-דין</vt:lpwstr>
  </property>
  <property fmtid="{D5CDD505-2E9C-101B-9397-08002B2CF9AE}" pid="72" name="TYPE">
    <vt:lpwstr>1</vt:lpwstr>
  </property>
  <property fmtid="{D5CDD505-2E9C-101B-9397-08002B2CF9AE}" pid="73" name="TYPE_ABS_DATE">
    <vt:lpwstr>410120221130</vt:lpwstr>
  </property>
  <property fmtid="{D5CDD505-2E9C-101B-9397-08002B2CF9AE}" pid="74" name="TYPE_N_DATE">
    <vt:lpwstr>41020221130</vt:lpwstr>
  </property>
  <property fmtid="{D5CDD505-2E9C-101B-9397-08002B2CF9AE}" pid="75" name="VOLUME">
    <vt:lpwstr/>
  </property>
  <property fmtid="{D5CDD505-2E9C-101B-9397-08002B2CF9AE}" pid="76" name="WORDNUMPAGES">
    <vt:lpwstr>18</vt:lpwstr>
  </property>
</Properties>
</file>