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7857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7857"/>
      </w:tblGrid>
      <w:tr>
        <w:trPr/>
        <w:tc>
          <w:tcPr>
            <w:tcW w:w="7857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01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01"/>
      </w:tblGrid>
      <w:tr>
        <w:trPr>
          <w:trHeight w:val="342" w:hRule="atLeast"/>
        </w:trPr>
        <w:tc>
          <w:tcPr>
            <w:tcW w:w="8501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9928/16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סולברג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ברון</w:t>
            </w:r>
          </w:p>
        </w:tc>
      </w:tr>
      <w:tr>
        <w:trPr>
          <w:trHeight w:val="287" w:hRule="atLeast"/>
        </w:trPr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  <w:bookmarkStart w:id="1" w:name="LastJudge"/>
            <w:bookmarkStart w:id="2" w:name="LastJudge"/>
            <w:bookmarkEnd w:id="2"/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אלרון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bookmarkStart w:id="3" w:name="FirstAppellant"/>
            <w:bookmarkEnd w:id="3"/>
            <w:r>
              <w:rPr>
                <w:rtl w:val="true"/>
              </w:rPr>
              <w:t>המערער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כמאל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טהה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</w:p>
    <w:tbl>
      <w:tblPr>
        <w:bidiVisual w:val="true"/>
        <w:tblW w:w="852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84"/>
        <w:gridCol w:w="5238"/>
      </w:tblGrid>
      <w:tr>
        <w:trPr/>
        <w:tc>
          <w:tcPr>
            <w:tcW w:w="328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המשיבים</w:t>
            </w:r>
            <w:r>
              <w:rPr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1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  <w:tr>
        <w:trPr/>
        <w:tc>
          <w:tcPr>
            <w:tcW w:w="3284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238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/>
              <w:t>2</w:t>
            </w:r>
            <w:r>
              <w:rPr>
                <w:rtl w:val="true"/>
              </w:rPr>
              <w:t xml:space="preserve">. 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.</w:t>
            </w:r>
            <w:r>
              <w:rPr>
                <w:rtl w:val="true"/>
              </w:rPr>
              <w:t>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 xml:space="preserve">- </w:t>
            </w:r>
            <w:r>
              <w:rPr>
                <w:rtl w:val="true"/>
              </w:rPr>
              <w:t>המתלונן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5238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238"/>
      </w:tblGrid>
      <w:tr>
        <w:trPr/>
        <w:tc>
          <w:tcPr>
            <w:tcW w:w="5238" w:type="dxa"/>
            <w:tcBorders/>
          </w:tcPr>
          <w:p>
            <w:pPr>
              <w:pStyle w:val="BodyRuller1"/>
              <w:ind w:end="0"/>
              <w:jc w:val="both"/>
              <w:rPr>
                <w:rFonts w:cs="Miriam"/>
              </w:rPr>
            </w:pPr>
            <w:r>
              <w:rPr>
                <w:rFonts w:cs="Miriam"/>
                <w:sz w:val="28"/>
                <w:sz w:val="28"/>
                <w:szCs w:val="24"/>
                <w:rtl w:val="true"/>
              </w:rPr>
              <w:t>ערעור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הכרעת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הדין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בית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המשפט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ירושלים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12.7.2016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ועל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גזר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הדין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מיום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Cs w:val="24"/>
              </w:rPr>
              <w:t>6.11.2016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ב</w:t>
            </w:r>
            <w:r>
              <w:rPr>
                <w:rFonts w:cs="Miriam"/>
                <w:sz w:val="28"/>
                <w:szCs w:val="24"/>
                <w:rtl w:val="true"/>
              </w:rPr>
              <w:t>-</w:t>
            </w:r>
            <w:hyperlink r:id="rId2"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ת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rFonts w:cs="Miriam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>פ</w:t>
              </w:r>
              <w:r>
                <w:rPr>
                  <w:rStyle w:val="Hyperlink"/>
                  <w:rFonts w:cs="Times New Roman"/>
                  <w:color w:val="0000FF"/>
                  <w:sz w:val="28"/>
                  <w:sz w:val="28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rFonts w:cs="Miriam"/>
                  <w:color w:val="0000FF"/>
                  <w:sz w:val="28"/>
                  <w:szCs w:val="24"/>
                  <w:u w:val="single"/>
                </w:rPr>
                <w:t>36567-12-15</w:t>
              </w:r>
            </w:hyperlink>
            <w:r>
              <w:rPr>
                <w:rFonts w:cs="Miriam"/>
                <w:sz w:val="28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שניתנו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על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ידי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השופט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הבכיר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א</w:t>
            </w:r>
            <w:r>
              <w:rPr>
                <w:rFonts w:cs="Miriam"/>
                <w:sz w:val="28"/>
                <w:szCs w:val="24"/>
                <w:rtl w:val="true"/>
              </w:rPr>
              <w:t xml:space="preserve">' </w:t>
            </w:r>
            <w:r>
              <w:rPr>
                <w:rFonts w:cs="Miriam"/>
                <w:sz w:val="28"/>
                <w:sz w:val="28"/>
                <w:szCs w:val="24"/>
                <w:rtl w:val="true"/>
              </w:rPr>
              <w:t>כהן</w:t>
            </w:r>
            <w:r>
              <w:rPr>
                <w:rFonts w:cs="Times New Roman"/>
                <w:sz w:val="28"/>
                <w:sz w:val="28"/>
                <w:szCs w:val="24"/>
                <w:rtl w:val="true"/>
              </w:rPr>
              <w:t xml:space="preserve">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535" w:type="dxa"/>
        <w:jc w:val="start"/>
        <w:tblInd w:w="-3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2301"/>
        <w:gridCol w:w="2977"/>
      </w:tblGrid>
      <w:tr>
        <w:trPr/>
        <w:tc>
          <w:tcPr>
            <w:tcW w:w="3257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תאריך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הישיבה</w:t>
            </w:r>
            <w:r>
              <w:rPr>
                <w:rtl w:val="true"/>
              </w:rPr>
              <w:t>:</w:t>
            </w:r>
          </w:p>
        </w:tc>
        <w:tc>
          <w:tcPr>
            <w:tcW w:w="2301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כ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בטבת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התשע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ח</w:t>
            </w:r>
          </w:p>
        </w:tc>
        <w:tc>
          <w:tcPr>
            <w:tcW w:w="2977" w:type="dxa"/>
            <w:tcBorders/>
          </w:tcPr>
          <w:p>
            <w:pPr>
              <w:pStyle w:val="Ruller31"/>
              <w:ind w:end="0"/>
              <w:jc w:val="start"/>
              <w:rPr/>
            </w:pPr>
            <w:r>
              <w:rPr>
                <w:rtl w:val="true"/>
              </w:rPr>
              <w:t>(</w:t>
            </w:r>
            <w:r>
              <w:rPr/>
              <w:t>15.1.2018</w:t>
            </w:r>
            <w:r>
              <w:rPr>
                <w:rtl w:val="true"/>
              </w:rPr>
              <w:t xml:space="preserve">) 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Ruller31"/>
              <w:ind w:end="0"/>
              <w:jc w:val="start"/>
              <w:rPr>
                <w:rFonts w:cs="David"/>
                <w:spacing w:val="0"/>
              </w:rPr>
            </w:pPr>
            <w:r>
              <w:rPr>
                <w:rFonts w:cs="David"/>
                <w:spacing w:val="0"/>
                <w:rtl w:val="true"/>
              </w:rPr>
              <w:t>בשם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המערער</w:t>
            </w:r>
            <w:r>
              <w:rPr>
                <w:rFonts w:cs="David"/>
                <w:spacing w:val="0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Ruller31"/>
              <w:ind w:end="0"/>
              <w:jc w:val="start"/>
              <w:rPr>
                <w:rFonts w:cs="David"/>
                <w:spacing w:val="0"/>
              </w:rPr>
            </w:pPr>
            <w:r>
              <w:rPr>
                <w:rFonts w:cs="David"/>
                <w:spacing w:val="0"/>
                <w:rtl w:val="true"/>
              </w:rPr>
              <w:t>עו</w:t>
            </w:r>
            <w:r>
              <w:rPr>
                <w:rFonts w:cs="David"/>
                <w:spacing w:val="0"/>
                <w:rtl w:val="true"/>
              </w:rPr>
              <w:t>"</w:t>
            </w:r>
            <w:r>
              <w:rPr>
                <w:rFonts w:cs="David"/>
                <w:spacing w:val="0"/>
                <w:rtl w:val="true"/>
              </w:rPr>
              <w:t>ד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מוסטפא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יחיא</w:t>
            </w:r>
          </w:p>
        </w:tc>
      </w:tr>
    </w:tbl>
    <w:p>
      <w:pPr>
        <w:pStyle w:val="Ruller31"/>
        <w:ind w:end="0"/>
        <w:jc w:val="start"/>
        <w:rPr>
          <w:rFonts w:cs="David"/>
          <w:spacing w:val="0"/>
        </w:rPr>
      </w:pPr>
      <w:r>
        <w:rPr>
          <w:rFonts w:cs="David"/>
          <w:spacing w:val="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Ruller31"/>
              <w:ind w:end="0"/>
              <w:jc w:val="start"/>
              <w:rPr>
                <w:rFonts w:cs="David"/>
                <w:spacing w:val="0"/>
              </w:rPr>
            </w:pPr>
            <w:bookmarkStart w:id="4" w:name="FirstLawyer"/>
            <w:bookmarkEnd w:id="4"/>
            <w:r>
              <w:rPr>
                <w:rFonts w:cs="David"/>
                <w:spacing w:val="0"/>
                <w:rtl w:val="true"/>
              </w:rPr>
              <w:t>בשם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המשיבה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</w:rPr>
              <w:t>1</w:t>
            </w:r>
            <w:r>
              <w:rPr>
                <w:rFonts w:cs="David"/>
                <w:spacing w:val="0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Ruller31"/>
              <w:ind w:end="0"/>
              <w:jc w:val="start"/>
              <w:rPr>
                <w:spacing w:val="0"/>
              </w:rPr>
            </w:pPr>
            <w:r>
              <w:rPr>
                <w:rFonts w:cs="David"/>
                <w:spacing w:val="0"/>
                <w:rtl w:val="true"/>
              </w:rPr>
              <w:t>עו</w:t>
            </w:r>
            <w:r>
              <w:rPr>
                <w:rFonts w:cs="David"/>
                <w:spacing w:val="0"/>
                <w:rtl w:val="true"/>
              </w:rPr>
              <w:t>"</w:t>
            </w:r>
            <w:r>
              <w:rPr>
                <w:rFonts w:cs="David"/>
                <w:spacing w:val="0"/>
                <w:rtl w:val="true"/>
              </w:rPr>
              <w:t>ד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עילית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מידן</w:t>
            </w:r>
          </w:p>
        </w:tc>
      </w:tr>
    </w:tbl>
    <w:p>
      <w:pPr>
        <w:pStyle w:val="Ruller31"/>
        <w:ind w:end="0"/>
        <w:jc w:val="start"/>
        <w:rPr>
          <w:rFonts w:cs="David"/>
          <w:spacing w:val="0"/>
        </w:rPr>
      </w:pPr>
      <w:r>
        <w:rPr>
          <w:rFonts w:cs="David"/>
          <w:spacing w:val="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Ruller31"/>
              <w:spacing w:lineRule="auto" w:line="240"/>
              <w:ind w:end="0"/>
              <w:jc w:val="start"/>
              <w:rPr>
                <w:rFonts w:cs="David"/>
                <w:spacing w:val="0"/>
              </w:rPr>
            </w:pPr>
            <w:r>
              <w:rPr>
                <w:rFonts w:cs="David"/>
                <w:spacing w:val="0"/>
                <w:rtl w:val="true"/>
              </w:rPr>
              <w:t>בשם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שירות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המבחן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</w:p>
          <w:p>
            <w:pPr>
              <w:pStyle w:val="Ruller31"/>
              <w:spacing w:lineRule="auto" w:line="240"/>
              <w:ind w:end="0"/>
              <w:jc w:val="start"/>
              <w:rPr>
                <w:rFonts w:cs="David"/>
                <w:spacing w:val="0"/>
              </w:rPr>
            </w:pPr>
            <w:r>
              <w:rPr>
                <w:rFonts w:cs="David"/>
                <w:spacing w:val="0"/>
                <w:rtl w:val="true"/>
              </w:rPr>
              <w:t>למבוגרים</w:t>
            </w:r>
            <w:r>
              <w:rPr>
                <w:rFonts w:cs="David"/>
                <w:spacing w:val="0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Ruller31"/>
              <w:snapToGrid w:val="false"/>
              <w:spacing w:lineRule="auto" w:line="240"/>
              <w:ind w:end="0"/>
              <w:jc w:val="start"/>
              <w:rPr>
                <w:rFonts w:cs="David"/>
                <w:spacing w:val="0"/>
              </w:rPr>
            </w:pPr>
            <w:r>
              <w:rPr>
                <w:rFonts w:cs="David"/>
                <w:spacing w:val="0"/>
                <w:rtl w:val="true"/>
              </w:rPr>
            </w:r>
          </w:p>
          <w:p>
            <w:pPr>
              <w:pStyle w:val="Ruller31"/>
              <w:spacing w:lineRule="auto" w:line="240"/>
              <w:ind w:end="0"/>
              <w:jc w:val="start"/>
              <w:rPr>
                <w:spacing w:val="0"/>
              </w:rPr>
            </w:pPr>
            <w:r>
              <w:rPr>
                <w:rFonts w:cs="David"/>
                <w:spacing w:val="0"/>
                <w:rtl w:val="true"/>
              </w:rPr>
              <w:t>גב</w:t>
            </w:r>
            <w:r>
              <w:rPr>
                <w:rFonts w:cs="David"/>
                <w:spacing w:val="0"/>
                <w:rtl w:val="true"/>
              </w:rPr>
              <w:t xml:space="preserve">' </w:t>
            </w:r>
            <w:r>
              <w:rPr>
                <w:rFonts w:cs="David"/>
                <w:spacing w:val="0"/>
                <w:rtl w:val="true"/>
              </w:rPr>
              <w:t>ברכה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וייס</w:t>
            </w:r>
          </w:p>
        </w:tc>
      </w:tr>
    </w:tbl>
    <w:p>
      <w:pPr>
        <w:pStyle w:val="Ruller31"/>
        <w:ind w:end="0"/>
        <w:jc w:val="start"/>
        <w:rPr>
          <w:rFonts w:cs="David"/>
          <w:spacing w:val="0"/>
        </w:rPr>
      </w:pPr>
      <w:r>
        <w:rPr>
          <w:rFonts w:cs="David"/>
          <w:spacing w:val="0"/>
          <w:rtl w:val="true"/>
        </w:rPr>
      </w:r>
    </w:p>
    <w:tbl>
      <w:tblPr>
        <w:bidiVisual w:val="true"/>
        <w:tblW w:w="8495" w:type="dxa"/>
        <w:jc w:val="start"/>
        <w:tblInd w:w="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57"/>
        <w:gridCol w:w="5238"/>
      </w:tblGrid>
      <w:tr>
        <w:trPr/>
        <w:tc>
          <w:tcPr>
            <w:tcW w:w="3257" w:type="dxa"/>
            <w:tcBorders/>
          </w:tcPr>
          <w:p>
            <w:pPr>
              <w:pStyle w:val="Ruller31"/>
              <w:ind w:end="0"/>
              <w:jc w:val="start"/>
              <w:rPr>
                <w:spacing w:val="0"/>
              </w:rPr>
            </w:pPr>
            <w:r>
              <w:rPr>
                <w:rFonts w:cs="David"/>
                <w:spacing w:val="0"/>
                <w:rtl w:val="true"/>
              </w:rPr>
              <w:t>מתורגמן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לשפה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הערבית</w:t>
            </w:r>
            <w:r>
              <w:rPr>
                <w:rFonts w:cs="David"/>
                <w:spacing w:val="0"/>
                <w:rtl w:val="true"/>
              </w:rPr>
              <w:t>:</w:t>
            </w:r>
          </w:p>
        </w:tc>
        <w:tc>
          <w:tcPr>
            <w:tcW w:w="5238" w:type="dxa"/>
            <w:tcBorders/>
          </w:tcPr>
          <w:p>
            <w:pPr>
              <w:pStyle w:val="Ruller31"/>
              <w:ind w:end="0"/>
              <w:jc w:val="start"/>
              <w:rPr>
                <w:rFonts w:cs="David"/>
                <w:spacing w:val="0"/>
              </w:rPr>
            </w:pPr>
            <w:r>
              <w:rPr>
                <w:rFonts w:cs="David"/>
                <w:spacing w:val="0"/>
                <w:rtl w:val="true"/>
              </w:rPr>
              <w:t>מר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תאאר</w:t>
            </w:r>
            <w:r>
              <w:rPr>
                <w:rFonts w:cs="Times New Roman"/>
                <w:spacing w:val="0"/>
                <w:rtl w:val="true"/>
              </w:rPr>
              <w:t xml:space="preserve"> </w:t>
            </w:r>
            <w:r>
              <w:rPr>
                <w:rFonts w:cs="David"/>
                <w:spacing w:val="0"/>
                <w:rtl w:val="true"/>
              </w:rPr>
              <w:t>קוטוב</w:t>
            </w:r>
          </w:p>
        </w:tc>
      </w:tr>
    </w:tbl>
    <w:p>
      <w:pPr>
        <w:pStyle w:val="Normal"/>
        <w:ind w:end="0"/>
        <w:jc w:val="start"/>
        <w:rPr/>
      </w:pPr>
      <w:r>
        <w:rPr>
          <w:rtl w:val="true"/>
        </w:rPr>
      </w:r>
      <w:bookmarkStart w:id="5" w:name="LawTable"/>
      <w:bookmarkStart w:id="6" w:name="LawTable"/>
      <w:bookmarkEnd w:id="6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3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186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329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יא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7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 xml:space="preserve">פקודת הראיות 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1971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8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9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10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ד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bookmarkStart w:id="7" w:name="ABSTRACT_START"/>
      <w:bookmarkStart w:id="8" w:name="LawTable_End"/>
      <w:bookmarkEnd w:id="7"/>
      <w:bookmarkEnd w:id="8"/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נדחה 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בגדרו הורשע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תוך שימוש בהוראת </w:t>
      </w:r>
      <w:hyperlink r:id="rId11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12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בעבירות של חבלה בכוונה מחמירה והחזקת סכין שלא כדין ונגזר עליו עונש הכולל בין היתר 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ראיות – הודעה – מחוץ לכותלי בית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המשפט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עבירות – חבלה בכוונה מחמירה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אלימות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דיון פלילי – ערעור – אי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התערבות במידת העונש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ערעור על פס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 של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מחוזי בגדרו הורשע המערער בעבירות של חבלה בכוונה מחמירה והחזקת סכין שלא כדין ונגזר עליו עונש של מאסר בפועל למשך </w:t>
      </w:r>
      <w:r>
        <w:rPr>
          <w:rFonts w:cs="Times New Roman" w:ascii="Times New Roman" w:hAnsi="Times New Roman"/>
          <w:spacing w:val="0"/>
          <w:sz w:val="24"/>
          <w:szCs w:val="26"/>
        </w:rPr>
        <w:t>42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עונשי מאסר מותנה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ופיצוי לנפגע העבירה בסך של </w:t>
      </w:r>
      <w:r>
        <w:rPr>
          <w:rFonts w:cs="Times New Roman" w:ascii="Times New Roman" w:hAnsi="Times New Roman"/>
          <w:spacing w:val="0"/>
          <w:sz w:val="24"/>
          <w:szCs w:val="26"/>
        </w:rPr>
        <w:t>20,000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ליבת הרשעת המערער התבססה על העדפת דברי אמו של המתלונן כפי שנמסרה בבית החולים בסמוך לאירוע ובחקירתה השנייה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לפיהם ראתה כי המערער דקר את בנה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פני דבריה בעדותה בפני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וזאת בהתאם להוראות </w:t>
      </w:r>
      <w:hyperlink r:id="rId13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14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העליון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מפי השופט 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אלרון בהסכמת השופטים נ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סולברג 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'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דחה את הערעור מהטעמים הבאים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: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hyperlink r:id="rId15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עפ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"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י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סעיף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ל</w:t>
      </w:r>
      <w:hyperlink r:id="rId16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 הראיות</w:t>
        </w:r>
      </w:hyperlink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הערכאה הדיונית רשאית לקבל כראיה קבילה דברים שנמסרו על ידי עד מחוץ לכותלי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הגם שאלה אינם עולים בקנה אחד עם עדותו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זאת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בכפוף להתמלאותם של תנאים מסוימים המפורטים בסעיף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ובכלל זה העדתו של מוסר האמרה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עוד מורה הסעיף כי ההכרעה בדבר קבלת אמרת החוץ תיעשה על פי התרשמותו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מהעדויות ומהאמרות שהובאו בפניו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מהמכלול הראייתי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בסופו של יום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ענייננו אפוא בקביעות שבעובדה ומהימנות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הנובעות מהתרשמותו הבלתי אמצעית של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מהעדויות המובאות בפניו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משכך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ונוכח יתרונה המובנה של הערכאה הדיונית בעניין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נקבעה ההלכה לפיה רק במקרים יוצאי דופן תתערב ערכאת הערעור בממצאים מעין אלה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כל האמור לעיל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יש להוסיף כי לצורך הרשעה על סמך אמרה שנתקבלה לפי סעיף 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לקיים את הדרישה שלפיה יימצא בחומר הראיות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דבר לחיזוקה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 (</w:t>
      </w:r>
      <w:hyperlink r:id="rId17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</w:rPr>
          <w:t>10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(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ד</w:t>
        </w:r>
        <w:r>
          <w:rPr>
            <w:rStyle w:val="Hyperlink"/>
            <w:rFonts w:cs="Times New Roman" w:ascii="Times New Roman" w:hAnsi="Times New Roman"/>
            <w:spacing w:val="0"/>
            <w:sz w:val="24"/>
            <w:szCs w:val="26"/>
            <w:rtl w:val="true"/>
          </w:rPr>
          <w:t>)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hyperlink r:id="rId18"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פקודת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ascii="Times New Roman" w:hAnsi="Times New Roman" w:cs="Times New Roman"/>
            <w:spacing w:val="0"/>
            <w:sz w:val="24"/>
            <w:sz w:val="24"/>
            <w:szCs w:val="26"/>
            <w:rtl w:val="true"/>
          </w:rPr>
          <w:t>הראיות</w:t>
        </w:r>
      </w:hyperlink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).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דנא בדין קבע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כי יש להעדיף את גרסתה של אם המתלונן כפי שנמסרה בבית החולים ובחקירתה השנייה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על פני דבריה בעדותה בפני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המדובר בהודעה מפורטת ועקבית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מתיישבת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עם 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מסכת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העובדתית הנטענת ומנגד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מצא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כי נפלו פגמים ו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סתירות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מהותיים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בגרסת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כפי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שהוצגה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בהודעתה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בבית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החולים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ובחקירתה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הנוספת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במשטרה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כטענת בא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כוח המערער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לתוספת הראייתית הדרושה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מקובל על ביהמ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החיזוק שמצא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 בהודעתו של 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ר זיגייר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מכאן שהרשעת המערער בעבירה של חבלה בכוונה מחמירה מבוססת דיה במישור היסוד העובדתי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ליסוד הנפשי של עבירת החבלה בכוונה מחמירה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הרי שזה מחייב הן את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מודעות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למרכיבי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היסוד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העובדתי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שבעבירה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הן הוכחתה של 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כוונה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קרי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הנאשם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חפץ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באופן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מיוחד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בגרימת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החבלה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בנסיבות העניין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כאשר המערער דקר את המתלונן בפלג גופו העליון באמצעות סכין באורך של 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הלכה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היא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קמה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תחולה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לחזקת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הכוונה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שלפיה מתכוון אדם לתוצאות הטבעיות של מעשיו ודי בכך כדי לבסס את היסוד הנפשי הנדרש להרשעת המערער בעבירה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וכן יש לדחות את הערעור על הכרעת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Ruller4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/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כן נדחה הערעור על גזה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המקרה מלמדות כי עסקינן בעבירת אלימות חמורה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המערער יצא מביתו כשהוא מצויד בסכין בעלת להב באורך של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30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במטרה להביא ל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פתרון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"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הסכסוך המילולי שהתעורר בין הצדדים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דקירת המתלונן בפלג גופו העליון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ונעיצת הסכין בגופו בעומק של כ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 w:val="24"/>
          <w:szCs w:val="26"/>
        </w:rPr>
        <w:t>7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ס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מלמדת אף היא על האלימות הרבה שהפגין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בנס לא הביאה לתוצאה טראגית של ממש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צירופן של נסיבות אלה לערכים המוגנים שנפגעו ולמדיניות הענישה הנוהגת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המחמירה עם תופעת הסכינאות ומעמידה את היבט הגמול כשיקול מרכזי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ולצידו את שיקולי ההרתעה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מלמדת כי מתחם העונש שנקבע למערער הולם את האלימות שהפגין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אשר לקביעת העונש בתוך המתחם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נשקלו נסיבותיו האישיות של המערער כשיקולים לקולא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גם עברו הפלילי והעובדה שלא נטל אחריות על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ובסופו של יום עונשו נקבע באמצעו של מתחם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לא נמצא לסטות מתוצאה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בשים לב להלכה המושרשת שלפיה ערכאת הערעור אינה מתערבת בחומרת העונש המוטל על ידי הערכאה הדיונית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זולת בנסיבות חריגות שבהן נפלה על פני הדברים טעות מהותית ובולטת בגזר הדין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או בנסיבות שבהן העונש שהוטל חורג באופן קיצוני מהענישה המקובלת במקרים דומים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כמו כן לא נמצא כי קמה עילה להתערב בגובה הפיצוי שעליו הורה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קמא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לנוכח נסיבות פציעתו הקשה של המתלונן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.</w:t>
      </w:r>
    </w:p>
    <w:p>
      <w:pPr>
        <w:pStyle w:val="Normal"/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28"/>
      </w:tblGrid>
      <w:tr>
        <w:trPr/>
        <w:tc>
          <w:tcPr>
            <w:tcW w:w="8528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  <w:bookmarkStart w:id="14" w:name="Writer_Name"/>
      <w:bookmarkStart w:id="15" w:name="Writer_Name"/>
      <w:bookmarkEnd w:id="15"/>
    </w:p>
    <w:p>
      <w:pPr>
        <w:pStyle w:val="BODYVERDICT"/>
        <w:ind w:end="0"/>
        <w:jc w:val="start"/>
        <w:rPr/>
      </w:pPr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י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אלרון</w:t>
      </w:r>
      <w:r>
        <w:rPr>
          <w:rFonts w:cs="Miriam"/>
          <w:sz w:val="24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cs="Miriam"/>
          <w:sz w:val="24"/>
          <w:szCs w:val="24"/>
        </w:rPr>
      </w:pPr>
      <w:r>
        <w:rPr>
          <w:rFonts w:cs="Miriam"/>
          <w:sz w:val="24"/>
          <w:szCs w:val="24"/>
          <w:rtl w:val="true"/>
        </w:rPr>
      </w:r>
      <w:bookmarkStart w:id="16" w:name="_GoBack"/>
      <w:bookmarkStart w:id="17" w:name="Start_Write"/>
      <w:bookmarkStart w:id="18" w:name="_GoBack"/>
      <w:bookmarkStart w:id="19" w:name="Start_Write"/>
      <w:bookmarkEnd w:id="18"/>
      <w:bookmarkEnd w:id="19"/>
    </w:p>
    <w:p>
      <w:pPr>
        <w:pStyle w:val="Ruller4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12.7.2016</w:t>
      </w:r>
      <w:r>
        <w:rPr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6.11.2016</w:t>
      </w:r>
      <w:r>
        <w:rPr>
          <w:rtl w:val="true"/>
        </w:rPr>
        <w:t xml:space="preserve"> </w:t>
      </w:r>
      <w:r>
        <w:rPr>
          <w:rtl w:val="true"/>
        </w:rPr>
        <w:t>שניתנו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בירושלים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1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36567-12-15</w:t>
        </w:r>
      </w:hyperlink>
      <w:r>
        <w:rPr>
          <w:rtl w:val="true"/>
        </w:rPr>
        <w:t xml:space="preserve">;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הבכיר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כהן</w:t>
      </w:r>
      <w:r>
        <w:rPr>
          <w:rtl w:val="true"/>
        </w:rPr>
        <w:t xml:space="preserve">),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329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1">
        <w:r>
          <w:rPr>
            <w:rStyle w:val="Hyperlink"/>
            <w:color w:val="0000FF"/>
            <w:u w:val="single"/>
          </w:rPr>
          <w:t>186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2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העונשין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החוק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tl w:val="true"/>
        </w:rPr>
        <w:t xml:space="preserve">,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בתמצית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>'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tl w:val="true"/>
        </w:rPr>
        <w:t xml:space="preserve">), </w:t>
      </w:r>
      <w:r>
        <w:rPr>
          <w:rtl w:val="true"/>
        </w:rPr>
        <w:t>במחנה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שועפט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שבירושלים</w:t>
      </w:r>
      <w:r>
        <w:rPr>
          <w:rtl w:val="true"/>
        </w:rPr>
        <w:t xml:space="preserve">.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ומשגידף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וקרא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לצאת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על מנת לברר עימו מדוע קילל את אחותו</w:t>
      </w:r>
      <w:r>
        <w:rPr>
          <w:rFonts w:cs="Century" w:ascii="Century" w:hAnsi="Century"/>
          <w:rtl w:val="true"/>
        </w:rPr>
        <w:t xml:space="preserve">". </w:t>
      </w:r>
      <w:r>
        <w:rPr>
          <w:rFonts w:ascii="Century" w:hAnsi="Century" w:cs="Century"/>
          <w:rtl w:val="true"/>
        </w:rPr>
        <w:t>למשמע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מביתו</w:t>
      </w:r>
      <w:r>
        <w:rPr>
          <w:rtl w:val="true"/>
        </w:rPr>
        <w:t xml:space="preserve">, </w:t>
      </w:r>
      <w:r>
        <w:rPr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ניגש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ודקר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</w:t>
      </w:r>
      <w:r>
        <w:rPr>
          <w:rtl w:val="true"/>
        </w:rPr>
        <w:t xml:space="preserve">.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מהדקירה</w:t>
      </w:r>
      <w:r>
        <w:rPr>
          <w:rtl w:val="true"/>
        </w:rPr>
        <w:t xml:space="preserve">, </w:t>
      </w:r>
      <w:r>
        <w:rPr>
          <w:rtl w:val="true"/>
        </w:rPr>
        <w:t>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חתך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עמוק</w:t>
      </w:r>
      <w:r>
        <w:rPr>
          <w:rtl w:val="true"/>
        </w:rPr>
        <w:t xml:space="preserve">, </w:t>
      </w:r>
      <w:r>
        <w:rPr>
          <w:rtl w:val="true"/>
        </w:rPr>
        <w:t>בעומק</w:t>
      </w:r>
      <w:r>
        <w:rPr>
          <w:rFonts w:eastAsia="Arial TUR;Arial" w:cs="Arial TUR;Arial"/>
          <w:rtl w:val="true"/>
        </w:rPr>
        <w:t xml:space="preserve">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וברוחב</w:t>
      </w:r>
      <w:r>
        <w:rPr>
          <w:rFonts w:eastAsia="Arial TUR;Arial" w:cs="Arial TUR;Arial"/>
          <w:rtl w:val="true"/>
        </w:rPr>
        <w:t xml:space="preserve">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לריאתו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במיוחס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 xml:space="preserve">, </w:t>
      </w:r>
      <w:r>
        <w:rPr>
          <w:rtl w:val="true"/>
        </w:rPr>
        <w:t>ומשכך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tl w:val="true"/>
        </w:rPr>
        <w:t xml:space="preserve">. </w:t>
      </w:r>
      <w:r>
        <w:rPr>
          <w:rtl w:val="true"/>
        </w:rPr>
        <w:t>ליבת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התבססה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משטרה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לאשפוז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ובתוך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הוויכוח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שהתפתח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חילופי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לעבר בתה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יא שרמוטה כנסי פנימה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). </w:t>
      </w:r>
      <w:r>
        <w:rPr>
          <w:rtl w:val="true"/>
        </w:rPr>
        <w:t>בתגובה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לקללות</w:t>
      </w:r>
      <w:r>
        <w:rPr>
          <w:rtl w:val="true"/>
        </w:rPr>
        <w:t xml:space="preserve">, </w:t>
      </w:r>
      <w:r>
        <w:rPr>
          <w:rtl w:val="true"/>
        </w:rPr>
        <w:t>סיפרה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בסכסוך</w:t>
      </w:r>
      <w:r>
        <w:rPr>
          <w:rtl w:val="true"/>
        </w:rPr>
        <w:t xml:space="preserve">,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שהתרחש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תיארה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5"/>
        <w:ind w:end="1282"/>
        <w:jc w:val="both"/>
        <w:rPr/>
      </w:pPr>
      <w:r>
        <w:rPr>
          <w:rtl w:val="true"/>
        </w:rPr>
        <w:t>"</w:t>
      </w:r>
      <w:r>
        <w:rPr>
          <w:rtl w:val="true"/>
        </w:rPr>
        <w:t>ראיתי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המערער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 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tl w:val="true"/>
        </w:rPr>
        <w:t xml:space="preserve">]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מהשכונה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>" 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).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שעולה מרישומי החוקר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במהלך גביית ההודעה קבלה האם שיחת טלפון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לטענתה מהשכנים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משחודשה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שטענה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כל השכונה</w:t>
      </w:r>
      <w:r>
        <w:rPr>
          <w:rFonts w:cs="Century" w:ascii="Century" w:hAnsi="Century"/>
          <w:rtl w:val="true"/>
        </w:rPr>
        <w:t xml:space="preserve">" </w:t>
      </w:r>
      <w:r>
        <w:rPr>
          <w:rFonts w:ascii="Century" w:hAnsi="Century" w:cs="Century"/>
          <w:rtl w:val="true"/>
        </w:rPr>
        <w:t>הייתה עדה למעשה העבירה</w:t>
      </w:r>
      <w:r>
        <w:rPr>
          <w:rtl w:val="true"/>
        </w:rPr>
        <w:t xml:space="preserve">; </w:t>
      </w:r>
      <w:r>
        <w:rPr>
          <w:rtl w:val="true"/>
        </w:rPr>
        <w:t>הוסיפה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הסכין</w:t>
      </w:r>
      <w:r>
        <w:rPr>
          <w:rtl w:val="true"/>
        </w:rPr>
        <w:t xml:space="preserve">,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פעמיים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וכי יש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שני חורים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3-2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במועד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שתועדה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בווידאו</w:t>
      </w:r>
      <w:r>
        <w:rPr>
          <w:rtl w:val="true"/>
        </w:rPr>
        <w:t xml:space="preserve">, </w:t>
      </w:r>
      <w:r>
        <w:rPr>
          <w:rtl w:val="true"/>
        </w:rPr>
        <w:t>ונתבקשה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להציג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tl w:val="true"/>
        </w:rPr>
        <w:t xml:space="preserve">. </w:t>
      </w:r>
      <w:r>
        <w:rPr>
          <w:rtl w:val="true"/>
        </w:rPr>
        <w:t>הפעם</w:t>
      </w:r>
      <w:r>
        <w:rPr>
          <w:rtl w:val="true"/>
        </w:rPr>
        <w:t xml:space="preserve">, </w:t>
      </w:r>
      <w:r>
        <w:rPr>
          <w:rtl w:val="true"/>
        </w:rPr>
        <w:t>נמנעה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בעקיפין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שלפיו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המערער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במאה אחוז</w:t>
      </w:r>
      <w:r>
        <w:rPr>
          <w:rFonts w:cs="Century" w:ascii="Century" w:hAnsi="Century"/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, </w:t>
      </w:r>
      <w:r>
        <w:rPr>
          <w:rtl w:val="true"/>
        </w:rPr>
        <w:t>בעמ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>)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לנקוב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ולמסור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נכנס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בברזל</w:t>
      </w:r>
      <w:r>
        <w:rPr>
          <w:rtl w:val="true"/>
        </w:rPr>
        <w:t>"</w:t>
      </w:r>
      <w:r>
        <w:rPr>
          <w:rFonts w:cs="Century" w:ascii="Century" w:hAnsi="Century"/>
          <w:rtl w:val="true"/>
        </w:rPr>
        <w:t xml:space="preserve"> 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8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בבית המשפט טען כי פציעתו נגרמה בשל מקל מתכת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מהקיר</w:t>
      </w:r>
      <w:r>
        <w:rPr>
          <w:rtl w:val="true"/>
        </w:rPr>
        <w:t xml:space="preserve">, </w:t>
      </w:r>
      <w:r>
        <w:rPr>
          <w:rtl w:val="true"/>
        </w:rPr>
        <w:t>שלעברו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שנסע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tl w:val="true"/>
        </w:rPr>
        <w:t xml:space="preserve">, </w:t>
      </w:r>
      <w:r>
        <w:rPr>
          <w:rtl w:val="true"/>
        </w:rPr>
        <w:t>מחשש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63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הרחיק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הכחיש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נקלע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לסכסוך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ומשפחתו</w:t>
      </w:r>
      <w:r>
        <w:rPr>
          <w:rtl w:val="true"/>
        </w:rPr>
        <w:t xml:space="preserve">, </w:t>
      </w:r>
      <w:r>
        <w:rPr>
          <w:rtl w:val="true"/>
        </w:rPr>
        <w:t>וגרס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העידה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והכחישה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כשעומתה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באמרותיה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עצבנות</w:t>
      </w:r>
      <w:r>
        <w:rPr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).</w:t>
      </w:r>
      <w:r>
        <w:rPr>
          <w:rtl w:val="true"/>
        </w:rPr>
        <w:t xml:space="preserve">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הכל</w:t>
      </w:r>
      <w:r>
        <w:rPr>
          <w:rtl w:val="true"/>
        </w:rPr>
        <w:t xml:space="preserve">, </w:t>
      </w:r>
      <w:r>
        <w:rPr>
          <w:rtl w:val="true"/>
        </w:rPr>
        <w:t>אבל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מעוניינת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>"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2-1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)</w:t>
      </w:r>
      <w:r>
        <w:rPr>
          <w:rtl w:val="true"/>
        </w:rPr>
        <w:t xml:space="preserve">.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הנגדית</w:t>
      </w:r>
      <w:r>
        <w:rPr>
          <w:rtl w:val="true"/>
        </w:rPr>
        <w:t xml:space="preserve">, </w:t>
      </w:r>
      <w:r>
        <w:rPr>
          <w:rtl w:val="true"/>
        </w:rPr>
        <w:t>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האנשים</w:t>
      </w:r>
      <w:r>
        <w:rPr>
          <w:rtl w:val="true"/>
        </w:rPr>
        <w:t xml:space="preserve">"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מידיעתה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 xml:space="preserve">' </w:t>
      </w:r>
      <w:r>
        <w:rPr/>
        <w:t>19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>)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תשובותיה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23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נוסח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משולב</w:t>
      </w:r>
      <w:r>
        <w:rPr>
          <w:rtl w:val="true"/>
        </w:rPr>
        <w:t xml:space="preserve">],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פקודת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הראיות</w:t>
      </w:r>
      <w:r>
        <w:rPr>
          <w:rtl w:val="true"/>
        </w:rPr>
        <w:t xml:space="preserve">).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שקיבל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של אם המתלונן 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ניתנה בסמיכות זמנים לקרות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הייתה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עשירה בפרטים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מאוזנת ועקבית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והיא שזרה בה תיאורים אותנטיים על אמיתות תכנה</w:t>
      </w:r>
      <w:r>
        <w:rPr>
          <w:rFonts w:cs="Century" w:ascii="Century" w:hAnsi="Century"/>
          <w:rtl w:val="true"/>
        </w:rPr>
        <w:t xml:space="preserve">"; </w:t>
      </w:r>
      <w:r>
        <w:rPr>
          <w:rFonts w:ascii="Century" w:hAnsi="Century" w:cs="Century"/>
          <w:rtl w:val="true"/>
        </w:rPr>
        <w:t>כן 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נמסרו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בספונטניות</w:t>
      </w:r>
      <w:r>
        <w:rPr>
          <w:rtl w:val="true"/>
        </w:rPr>
        <w:t xml:space="preserve">, </w:t>
      </w:r>
      <w:r>
        <w:rPr>
          <w:rtl w:val="true"/>
        </w:rPr>
        <w:t>ומבלי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שהפריזה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בתיאורה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נמצאו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. </w:t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שהובטח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מתועדים</w:t>
      </w:r>
      <w:r>
        <w:rPr>
          <w:rtl w:val="true"/>
        </w:rPr>
        <w:t xml:space="preserve">, </w:t>
      </w:r>
      <w:r>
        <w:rPr>
          <w:rtl w:val="true"/>
        </w:rPr>
        <w:t>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אמינותם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נאמרו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שהופעל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מנגד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התחמקותה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לשאלות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שנשאלה</w:t>
      </w:r>
      <w:r>
        <w:rPr>
          <w:rtl w:val="true"/>
        </w:rPr>
        <w:t xml:space="preserve">; </w:t>
      </w:r>
      <w:r>
        <w:rPr>
          <w:rtl w:val="true"/>
        </w:rPr>
        <w:t>השכחה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שאחזה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; </w:t>
      </w:r>
      <w:r>
        <w:rPr>
          <w:rtl w:val="true"/>
        </w:rPr>
        <w:t>וטענתה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המאוחרת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מאחרים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>משנקבע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ראיות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לחיזוק</w:t>
      </w:r>
      <w:r>
        <w:rPr>
          <w:rtl w:val="true"/>
        </w:rPr>
        <w:t xml:space="preserve">" </w:t>
      </w:r>
      <w:r>
        <w:rPr>
          <w:rtl w:val="true"/>
        </w:rPr>
        <w:t>האמרה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שנתקבלה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ד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6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הדורש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>בקשר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חיזוקים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להודעה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tl w:val="true"/>
        </w:rPr>
        <w:t xml:space="preserve">: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שמסר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הגיעו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לבית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רפואית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זגייר</w:t>
      </w:r>
      <w:r>
        <w:rPr>
          <w:rtl w:val="true"/>
        </w:rPr>
        <w:t xml:space="preserve">, </w:t>
      </w:r>
      <w:r>
        <w:rPr>
          <w:rtl w:val="true"/>
        </w:rPr>
        <w:t>איש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שטיפל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במתלונן</w:t>
      </w:r>
      <w:r>
        <w:rPr>
          <w:rtl w:val="true"/>
        </w:rPr>
        <w:t xml:space="preserve">, </w:t>
      </w:r>
      <w:r>
        <w:rPr>
          <w:rtl w:val="true"/>
        </w:rPr>
        <w:t>ושעליה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באזניו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מדקירת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tl w:val="true"/>
        </w:rPr>
        <w:t xml:space="preserve">,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 "</w:t>
      </w:r>
      <w:r>
        <w:rPr>
          <w:rtl w:val="true"/>
        </w:rPr>
        <w:t>גליון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ממיון</w:t>
      </w:r>
      <w:r>
        <w:rPr>
          <w:rtl w:val="true"/>
        </w:rPr>
        <w:t xml:space="preserve">",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20.11.2015</w:t>
      </w:r>
      <w:r>
        <w:rPr>
          <w:rtl w:val="true"/>
        </w:rPr>
        <w:t xml:space="preserve">; </w:t>
      </w:r>
      <w:r>
        <w:rPr>
          <w:rtl w:val="true"/>
        </w:rPr>
        <w:t>עמ</w:t>
      </w:r>
      <w:r>
        <w:rPr>
          <w:rtl w:val="true"/>
        </w:rPr>
        <w:t xml:space="preserve">' </w:t>
      </w:r>
      <w:r>
        <w:rPr/>
        <w:t>78</w:t>
      </w:r>
      <w:r>
        <w:rPr>
          <w:rtl w:val="true"/>
        </w:rPr>
        <w:t xml:space="preserve"> </w:t>
      </w:r>
      <w:r>
        <w:rPr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).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הקבילה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להוראות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8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 xml:space="preserve">, </w:t>
      </w:r>
      <w:r>
        <w:rPr>
          <w:rtl w:val="true"/>
        </w:rPr>
        <w:t>ומצא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tl w:val="true"/>
        </w:rPr>
        <w:t>-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בחקירתו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ובעדותו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נגרמה מ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חתיכת ברזל בקיר</w:t>
      </w:r>
      <w:r>
        <w:rPr>
          <w:rFonts w:cs="Century" w:ascii="Century" w:hAnsi="Century"/>
          <w:rtl w:val="true"/>
        </w:rPr>
        <w:t xml:space="preserve">", </w:t>
      </w:r>
      <w:r>
        <w:rPr>
          <w:rFonts w:ascii="Century" w:hAnsi="Century" w:cs="Century"/>
          <w:rtl w:val="true"/>
        </w:rPr>
        <w:t xml:space="preserve">בהימלטו ממכונית שחלפה במקום ועלולה הייתה להתיז עליו מים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70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לפרוטוקול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). </w:t>
      </w:r>
      <w:r>
        <w:rPr>
          <w:rtl w:val="true"/>
        </w:rPr>
        <w:t>ראיה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הפציעה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נגרמה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מדקירה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Fonts w:ascii="Century" w:hAnsi="Century" w:cs="Miriam"/>
          <w:b/>
          <w:b/>
          <w:spacing w:val="0"/>
          <w:szCs w:val="24"/>
          <w:rtl w:val="true"/>
        </w:rPr>
        <w:t>דברי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המתלונן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המפלילה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מאמתת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מהימנותה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לקיומם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היורדים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נחקרו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גורמי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ולגבות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עימם</w:t>
      </w:r>
      <w:r>
        <w:rPr>
          <w:rtl w:val="true"/>
        </w:rPr>
        <w:t xml:space="preserve">; </w:t>
      </w:r>
      <w:r>
        <w:rPr>
          <w:rtl w:val="true"/>
        </w:rPr>
        <w:t>ומכל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בעדותם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לבירור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הסוגיות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שבמחלוקת</w:t>
      </w:r>
      <w:r>
        <w:rPr>
          <w:rtl w:val="true"/>
        </w:rPr>
        <w:t xml:space="preserve">.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מתקיימת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ממעשהו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tl w:val="true"/>
        </w:rPr>
        <w:t xml:space="preserve">,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טבעית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הראייתי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</w:t>
      </w:r>
      <w:r>
        <w:rPr>
          <w:rtl w:val="true"/>
        </w:rPr>
        <w:t xml:space="preserve">,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16</w:t>
      </w:r>
      <w:r>
        <w:rPr>
          <w:rtl w:val="true"/>
        </w:rPr>
        <w:t>.</w:t>
        <w:tab/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בנתיב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המנחים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המצוינים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בתיקון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ההלימה</w:t>
      </w:r>
      <w:r>
        <w:rPr>
          <w:rtl w:val="true"/>
        </w:rPr>
        <w:t xml:space="preserve">,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מבוטלת</w:t>
      </w:r>
      <w:r>
        <w:rPr>
          <w:rtl w:val="true"/>
        </w:rPr>
        <w:t xml:space="preserve">",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השימוש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הטמון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.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, </w:t>
      </w:r>
      <w:r>
        <w:rPr>
          <w:rtl w:val="true"/>
        </w:rPr>
        <w:t>הדגיש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שלהבהּ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חיוניים</w:t>
      </w:r>
      <w:r>
        <w:rPr>
          <w:rtl w:val="true"/>
        </w:rPr>
        <w:t xml:space="preserve">.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tl w:val="true"/>
        </w:rPr>
        <w:t xml:space="preserve">,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.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מכן</w:t>
      </w:r>
      <w:r>
        <w:rPr>
          <w:rtl w:val="true"/>
        </w:rPr>
        <w:t xml:space="preserve">, </w:t>
      </w:r>
      <w:r>
        <w:rPr>
          <w:rtl w:val="true"/>
        </w:rPr>
        <w:t>סקר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40</w:t>
        </w:r>
        <w:r>
          <w:rPr>
            <w:rStyle w:val="Hyperlink"/>
            <w:color w:val="0000FF"/>
            <w:u w:val="single"/>
            <w:rtl w:val="true"/>
          </w:rPr>
          <w:t>יא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לחוק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הימנעותו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הסתבכויותיו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. </w:t>
      </w:r>
      <w:r>
        <w:rPr>
          <w:rtl w:val="true"/>
        </w:rPr>
        <w:t>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טענות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הצדדים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בערעור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בנימוקיו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tl w:val="true"/>
        </w:rPr>
        <w:t xml:space="preserve">, </w:t>
      </w:r>
      <w:r>
        <w:rPr>
          <w:rtl w:val="true"/>
        </w:rPr>
        <w:t>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השגותיו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וטען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מגרסתו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נדקר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עקבית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</w:t>
      </w:r>
      <w:r>
        <w:rPr>
          <w:rtl w:val="true"/>
        </w:rPr>
        <w:t>-</w:t>
      </w:r>
      <w:r>
        <w:rPr>
          <w:rtl w:val="true"/>
        </w:rPr>
        <w:t>דיוקים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שספג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בנה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לקבוע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מרשיעות</w:t>
      </w:r>
      <w:r>
        <w:rPr>
          <w:rtl w:val="true"/>
        </w:rPr>
        <w:t xml:space="preserve">". </w:t>
      </w:r>
      <w:r>
        <w:rPr>
          <w:rtl w:val="true"/>
        </w:rPr>
        <w:t>בנוסף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למחדלי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חקירה</w:t>
      </w:r>
      <w:r>
        <w:rPr>
          <w:rtl w:val="true"/>
        </w:rPr>
        <w:t xml:space="preserve">, </w:t>
      </w:r>
      <w:r>
        <w:rPr>
          <w:rtl w:val="true"/>
        </w:rPr>
        <w:t>משלא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המשטרה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סביר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tl w:val="true"/>
        </w:rPr>
        <w:t xml:space="preserve">,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tl w:val="true"/>
        </w:rPr>
        <w:t xml:space="preserve">, </w:t>
      </w:r>
      <w:r>
        <w:rPr>
          <w:rtl w:val="true"/>
        </w:rPr>
        <w:t>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 xml:space="preserve">. </w:t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כספי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/>
      </w:pPr>
      <w:r>
        <w:rPr/>
        <w:t>18</w:t>
      </w:r>
      <w:r>
        <w:rPr>
          <w:rtl w:val="true"/>
        </w:rPr>
        <w:t>.</w:t>
        <w:tab/>
      </w:r>
      <w:r>
        <w:rPr>
          <w:rtl w:val="true"/>
        </w:rPr>
        <w:t>בטיעוניה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</w:t>
      </w:r>
      <w:r>
        <w:rPr>
          <w:rtl w:val="true"/>
        </w:rPr>
        <w:t>-</w:t>
      </w:r>
      <w:r>
        <w:rPr>
          <w:rtl w:val="true"/>
        </w:rPr>
        <w:t>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סמכה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תשתית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ראייתית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מוצקה</w:t>
      </w:r>
      <w:r>
        <w:rPr>
          <w:rtl w:val="true"/>
        </w:rPr>
        <w:t xml:space="preserve">, </w:t>
      </w:r>
      <w:r>
        <w:rPr>
          <w:rtl w:val="true"/>
        </w:rPr>
        <w:t>והעונש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>.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עיון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בנימוקי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ששמע</w:t>
      </w:r>
      <w:r>
        <w:rPr>
          <w:rtl w:val="true"/>
        </w:rPr>
        <w:t>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הצדדים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הגעתי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חלקיו</w:t>
      </w:r>
      <w:r>
        <w:rPr>
          <w:rtl w:val="true"/>
        </w:rPr>
        <w:t xml:space="preserve">, </w:t>
      </w:r>
      <w:r>
        <w:rPr>
          <w:rtl w:val="true"/>
        </w:rPr>
        <w:t>וכך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לעשות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הכרעת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Century"/>
          <w:b/>
          <w:spacing w:val="0"/>
          <w:szCs w:val="24"/>
        </w:rPr>
      </w:pPr>
      <w:r>
        <w:rPr>
          <w:rFonts w:cs="Century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20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בחנתי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את חומר הראיות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 xml:space="preserve">ואת </w:t>
      </w:r>
      <w:r>
        <w:rPr>
          <w:rFonts w:ascii="Century" w:hAnsi="Century" w:cs="Century"/>
          <w:rtl w:val="true"/>
        </w:rPr>
        <w:t>ממצאי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בית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משפט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קמא</w:t>
      </w:r>
      <w:r>
        <w:rPr>
          <w:rFonts w:cs="Century" w:ascii="Century" w:hAnsi="Century"/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שוכנעתי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גרסת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מתיישבת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מסכת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הנטענת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הודעותי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</w:t>
      </w:r>
      <w:r>
        <w:rPr>
          <w:rtl w:val="true"/>
        </w:rPr>
        <w:t>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מנגד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ל</w:t>
      </w:r>
      <w:r>
        <w:rPr>
          <w:rtl w:val="true"/>
        </w:rPr>
        <w:t>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סתירות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בגרסת</w:t>
      </w:r>
      <w:r>
        <w:rPr>
          <w:rtl w:val="true"/>
        </w:rPr>
        <w:t>ה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שהוצגה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ובחקירתה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הנוספת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במשטרה</w:t>
      </w:r>
      <w:r>
        <w:rPr>
          <w:rtl w:val="true"/>
        </w:rPr>
        <w:t xml:space="preserve">, </w:t>
      </w:r>
      <w:r>
        <w:rPr>
          <w:rtl w:val="true"/>
        </w:rPr>
        <w:t>כטענת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/>
        <w:t>21</w:t>
      </w:r>
      <w:r>
        <w:rPr>
          <w:rtl w:val="true"/>
        </w:rPr>
        <w:t>.</w:t>
        <w:tab/>
      </w:r>
      <w:r>
        <w:rPr>
          <w:rtl w:val="true"/>
        </w:rPr>
        <w:t>המסגרת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הנורמטיבית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קבועה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color w:val="0000FF"/>
            <w:u w:val="single"/>
            <w:rtl w:val="true"/>
          </w:rPr>
          <w:t>בסעיף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10</w:t>
        </w:r>
        <w:r>
          <w:rPr>
            <w:rStyle w:val="Hyperlink"/>
            <w:color w:val="0000FF"/>
            <w:u w:val="single"/>
            <w:rtl w:val="true"/>
          </w:rPr>
          <w:t>א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2">
        <w:r>
          <w:rPr>
            <w:rStyle w:val="Hyperlink"/>
            <w:color w:val="0000FF"/>
            <w:u w:val="single"/>
            <w:rtl w:val="true"/>
          </w:rPr>
          <w:t>פקודת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הראיות</w:t>
        </w:r>
      </w:hyperlink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על פי סעיף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רשאית הערכאה הדיונית לקבל כראיה קבילה דברים שנמסרו על ידי עד מחוץ לכותלי בית המשפט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הגם שאלה אינם </w:t>
      </w:r>
      <w:r>
        <w:rPr>
          <w:rtl w:val="true"/>
        </w:rPr>
        <w:t>עולים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עדותו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בכפוף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להתמלאותם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בסעיף</w:t>
      </w:r>
      <w:r>
        <w:rPr>
          <w:rtl w:val="true"/>
        </w:rPr>
        <w:t xml:space="preserve">, </w:t>
      </w:r>
      <w:r>
        <w:rPr>
          <w:rtl w:val="true"/>
        </w:rPr>
        <w:t>ובכלל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האמרה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הסעיף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תיעשה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Century"/>
          <w:rtl w:val="true"/>
        </w:rPr>
        <w:t>על פי התרשמותו של בית המשפט מהעדויות ומהאמרות שהובאו בפניו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כמו גם מהמכלול הראייתי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בסופו של 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ענייננו אפוא בקביעות שבעובדה ומהימנות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הנובעות מהתרשמותו הבלתי אמצעית של בית המשפט מהעדויות המובאות בפניו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משכך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ונוכח יתרונה המובנה של הערכאה הדיונית בעניין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נקבעה ההלכה לפיה רק במקרים יוצאי דופן תתערב ערכאת הערעור בממצאים מעין אלה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ראו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למשל</w:t>
      </w:r>
      <w:r>
        <w:rPr>
          <w:rFonts w:cs="Century" w:ascii="Century" w:hAnsi="Century"/>
          <w:rtl w:val="true"/>
        </w:rPr>
        <w:t>:</w:t>
      </w:r>
      <w:r>
        <w:rPr>
          <w:rFonts w:cs="Century" w:ascii="Century" w:hAnsi="Century"/>
          <w:rtl w:val="true"/>
        </w:rPr>
        <w:t xml:space="preserve"> </w:t>
      </w:r>
      <w:hyperlink r:id="rId33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1503/07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אבו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רמילה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8.5.2007</w:t>
      </w:r>
      <w:r>
        <w:rPr>
          <w:rFonts w:cs="Century" w:ascii="Century" w:hAnsi="Century"/>
          <w:rtl w:val="true"/>
        </w:rPr>
        <w:t xml:space="preserve">); </w:t>
      </w:r>
      <w:hyperlink r:id="rId34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ע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"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3572/16</w:t>
        </w:r>
      </w:hyperlink>
      <w:r>
        <w:rPr>
          <w:rFonts w:cs="Century" w:ascii="Century" w:hAnsi="Century"/>
          <w:rtl w:val="true"/>
        </w:rPr>
        <w:t xml:space="preserve">‏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ascii="Century" w:hAnsi="Century" w:cs="Century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Fonts w:cs="Century" w:ascii="Century" w:hAnsi="Century"/>
          <w:rtl w:val="true"/>
        </w:rPr>
        <w:t>(</w:t>
      </w:r>
      <w:r>
        <w:rPr>
          <w:rFonts w:cs="Century" w:ascii="Century" w:hAnsi="Century"/>
        </w:rPr>
        <w:t>3.1.2017</w:t>
      </w:r>
      <w:r>
        <w:rPr>
          <w:rFonts w:cs="Century" w:ascii="Century" w:hAnsi="Century"/>
          <w:rtl w:val="true"/>
        </w:rPr>
        <w:t xml:space="preserve">)).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על כל האמור לעיל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יש להוסיף כי לצורך הרשעה על סמך אמרה שנתקבלה לפי סעיף זה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יש לקיים את הדרישה שלפיה יימצא בחומר הראיות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דבר לחיזוקה</w:t>
      </w:r>
      <w:r>
        <w:rPr>
          <w:rFonts w:cs="Century" w:ascii="Century" w:hAnsi="Century"/>
          <w:rtl w:val="true"/>
        </w:rPr>
        <w:t>" (</w:t>
      </w:r>
      <w:hyperlink r:id="rId35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סעיף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Century" w:ascii="Century" w:hAnsi="Century"/>
            <w:color w:val="0000FF"/>
            <w:u w:val="single"/>
          </w:rPr>
          <w:t>10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א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(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ד</w:t>
        </w:r>
        <w:r>
          <w:rPr>
            <w:rStyle w:val="Hyperlink"/>
            <w:rFonts w:cs="Century" w:ascii="Century" w:hAnsi="Century"/>
            <w:color w:val="0000FF"/>
            <w:u w:val="single"/>
            <w:rtl w:val="true"/>
          </w:rPr>
          <w:t>)</w:t>
        </w:r>
      </w:hyperlink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</w:t>
      </w:r>
      <w:hyperlink r:id="rId36"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פקודת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Century" w:hAnsi="Century" w:cs="Century"/>
            <w:color w:val="0000FF"/>
            <w:u w:val="single"/>
            <w:rtl w:val="true"/>
          </w:rPr>
          <w:t>הראיות</w:t>
        </w:r>
      </w:hyperlink>
      <w:r>
        <w:rPr>
          <w:rFonts w:cs="Century" w:ascii="Century" w:hAnsi="Century"/>
          <w:rtl w:val="true"/>
        </w:rPr>
        <w:t xml:space="preserve">).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</w:rPr>
        <w:t>22</w:t>
      </w:r>
      <w:r>
        <w:rPr>
          <w:rFonts w:cs="Century" w:ascii="Century" w:hAnsi="Century"/>
          <w:rtl w:val="true"/>
        </w:rPr>
        <w:t>.</w:t>
        <w:tab/>
      </w:r>
      <w:r>
        <w:rPr>
          <w:rFonts w:ascii="Century" w:hAnsi="Century" w:cs="Century"/>
          <w:rtl w:val="true"/>
        </w:rPr>
        <w:t>בנסיבות דנן</w:t>
      </w:r>
      <w:r>
        <w:rPr>
          <w:rFonts w:cs="Century" w:ascii="Century" w:hAnsi="Century"/>
          <w:rtl w:val="true"/>
        </w:rPr>
        <w:t xml:space="preserve">,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הגרסאות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, </w:t>
      </w:r>
      <w:r>
        <w:rPr>
          <w:rtl w:val="true"/>
        </w:rPr>
        <w:t>עימת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 xml:space="preserve">, </w:t>
      </w:r>
      <w:r>
        <w:rPr>
          <w:rtl w:val="true"/>
        </w:rPr>
        <w:t>ולבסוף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מהימנה</w:t>
      </w:r>
      <w:r>
        <w:rPr>
          <w:rtl w:val="true"/>
        </w:rPr>
        <w:t xml:space="preserve">, </w:t>
      </w:r>
      <w:r>
        <w:rPr>
          <w:rtl w:val="true"/>
        </w:rPr>
        <w:t>ויש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להעדיפה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בפניו</w:t>
      </w:r>
      <w:r>
        <w:rPr>
          <w:rtl w:val="true"/>
        </w:rPr>
        <w:t>.</w:t>
      </w:r>
      <w:r>
        <w:rPr>
          <w:rFonts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לאחר עיון בחומר הראיות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שוכנעתי אף אני כי יש להעדיף את גרסתה של אם המתלונן כפי שנמסרה בבית החולים ובחקירתה השנייה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על פני דבריה בעדותה בפני בית משפט קמא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עיון בהודעתה 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אשר ניתנה בסמוך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מעלה כקביעת בית משפט קמא כי המדובר בהודעה מפורטת ועקבית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כן התרשמתי כי השינוי שחל בגרסתה במהלך הודעתה בחקירת המשטרה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כשלושה שבועות לאחר האירוע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בגדרו סירבה לאשר את דבריה בהודעתה בבית החולים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קשור לעובדת מגוריה בשכנות למערער</w:t>
      </w:r>
      <w:r>
        <w:rPr>
          <w:rFonts w:cs="Century" w:ascii="Century" w:hAnsi="Century"/>
          <w:rtl w:val="true"/>
        </w:rPr>
        <w:t xml:space="preserve">. </w:t>
      </w:r>
      <w:r>
        <w:rPr>
          <w:rFonts w:ascii="Century" w:hAnsi="Century" w:cs="Century"/>
          <w:rtl w:val="true"/>
        </w:rPr>
        <w:t>אינדיקציות לכך ניתן למצוא בשתיקתה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בסירובה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ובהתחמקותה של אם המתלונן מלענות לשאלותיו הישירות של החוקר באשר לאופן קרות האירוע ולזהות הדוקר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 xml:space="preserve">קרי </w:t>
      </w:r>
      <w:r>
        <w:rPr>
          <w:rFonts w:ascii="Century" w:hAnsi="Century" w:cs="Century"/>
          <w:rtl w:val="true"/>
        </w:rPr>
        <w:t>–</w:t>
      </w:r>
      <w:r>
        <w:rPr>
          <w:rFonts w:ascii="Century" w:hAnsi="Century" w:cs="Century"/>
          <w:rtl w:val="true"/>
        </w:rPr>
        <w:t xml:space="preserve"> המערער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4</w:t>
      </w:r>
      <w:r>
        <w:rPr>
          <w:rFonts w:ascii="Century" w:hAnsi="Century" w:cs="Century"/>
          <w:rtl w:val="true"/>
        </w:rPr>
        <w:t>ב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בעמ</w:t>
      </w:r>
      <w:r>
        <w:rPr>
          <w:rFonts w:cs="Century" w:ascii="Century" w:hAnsi="Century"/>
          <w:rtl w:val="true"/>
        </w:rPr>
        <w:t xml:space="preserve">' </w:t>
      </w:r>
      <w:r>
        <w:rPr>
          <w:rFonts w:cs="Century" w:ascii="Century" w:hAnsi="Century"/>
        </w:rPr>
        <w:t>9-8</w:t>
      </w:r>
      <w:r>
        <w:rPr>
          <w:rFonts w:cs="Century" w:ascii="Century" w:hAnsi="Century"/>
          <w:rtl w:val="true"/>
        </w:rPr>
        <w:t xml:space="preserve">); </w:t>
      </w:r>
      <w:r>
        <w:rPr>
          <w:rFonts w:ascii="Century" w:hAnsi="Century" w:cs="Century"/>
          <w:rtl w:val="true"/>
        </w:rPr>
        <w:t>וכן נוכח התרשמותי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לאחר עיון בתיעוד החזותי של החקירה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ממנו ניתן ללמוד כיצד האם ביקשה להימנע מלחזור על גרסתה המפורטת בדבר אופן דקירת בנה על</w:t>
      </w:r>
      <w:r>
        <w:rPr>
          <w:rFonts w:cs="Century" w:ascii="Century" w:hAnsi="Century"/>
          <w:rtl w:val="true"/>
        </w:rPr>
        <w:t>-</w:t>
      </w:r>
      <w:r>
        <w:rPr>
          <w:rFonts w:ascii="Century" w:hAnsi="Century" w:cs="Century"/>
          <w:rtl w:val="true"/>
        </w:rPr>
        <w:t>ידי המערער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ורק לאחר שחוקר המשטרה התבטא בפניה כי דבריה אינם נרשמים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היא אישרה את עיקרי עובדות אירוע הדקירה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ואת נכונות דבריה שבבית החולים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/>
      </w:pPr>
      <w:r>
        <w:rPr/>
        <w:t>23</w:t>
      </w:r>
      <w:r>
        <w:rPr>
          <w:rtl w:val="true"/>
        </w:rPr>
        <w:t>.</w:t>
        <w:tab/>
      </w:r>
      <w:r>
        <w:rPr>
          <w:rtl w:val="true"/>
        </w:rPr>
        <w:t>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לסתירה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טוען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,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שבדו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אחת</w:t>
      </w:r>
      <w:r>
        <w:rPr>
          <w:rtl w:val="true"/>
        </w:rPr>
        <w:t xml:space="preserve">,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חורים</w:t>
      </w:r>
      <w:r>
        <w:rPr>
          <w:rtl w:val="true"/>
        </w:rPr>
        <w:t xml:space="preserve">", </w:t>
      </w:r>
      <w:r>
        <w:rPr>
          <w:rtl w:val="true"/>
        </w:rPr>
        <w:t>כלשונה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שנוכחה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והאחר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הרפואי</w:t>
      </w:r>
      <w:r>
        <w:rPr>
          <w:rtl w:val="true"/>
        </w:rPr>
        <w:t xml:space="preserve">.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שמסרה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בהודעתה</w:t>
      </w:r>
      <w:r>
        <w:rPr>
          <w:rtl w:val="true"/>
        </w:rPr>
        <w:t xml:space="preserve">,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הדקירה</w:t>
      </w:r>
      <w:r>
        <w:rPr>
          <w:rtl w:val="true"/>
        </w:rPr>
        <w:t xml:space="preserve">, </w:t>
      </w:r>
      <w:r>
        <w:rPr>
          <w:rtl w:val="true"/>
        </w:rPr>
        <w:t>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שקדמו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</w:p>
    <w:p>
      <w:pPr>
        <w:pStyle w:val="Ruller4"/>
        <w:ind w:end="0"/>
        <w:jc w:val="both"/>
        <w:rPr/>
      </w:pPr>
      <w:r>
        <w:rPr>
          <w:rtl w:val="true"/>
        </w:rPr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FrankRuehl" w:ascii="FrankRuehl" w:hAnsi="FrankRuehl"/>
          <w:color w:val="000000"/>
          <w:sz w:val="28"/>
        </w:rPr>
        <w:t>24</w:t>
      </w:r>
      <w:r>
        <w:rPr>
          <w:rFonts w:cs="FrankRuehl" w:ascii="FrankRuehl" w:hAnsi="FrankRuehl"/>
          <w:color w:val="000000"/>
          <w:sz w:val="28"/>
          <w:rtl w:val="true"/>
        </w:rPr>
        <w:t>.</w:t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אשר לתוספת הראייתית הדרושה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מקובל עליי החיזוק שמצא בית משפט קמא בהודעתו של ד</w:t>
      </w:r>
      <w:r>
        <w:rPr>
          <w:rFonts w:cs="FrankRuehl" w:ascii="FrankRuehl" w:hAnsi="FrankRuehl"/>
          <w:color w:val="000000"/>
          <w:sz w:val="28"/>
          <w:rtl w:val="true"/>
        </w:rPr>
        <w:t>"</w:t>
      </w:r>
      <w:r>
        <w:rPr>
          <w:rFonts w:ascii="FrankRuehl" w:hAnsi="FrankRuehl"/>
          <w:color w:val="000000"/>
          <w:sz w:val="28"/>
          <w:sz w:val="28"/>
          <w:rtl w:val="true"/>
        </w:rPr>
        <w:t>ר זיגייר</w:t>
      </w:r>
      <w:r>
        <w:rPr>
          <w:rFonts w:cs="FrankRuehl" w:ascii="FrankRuehl" w:hAnsi="FrankRuehl"/>
          <w:color w:val="000000"/>
          <w:sz w:val="28"/>
          <w:rtl w:val="true"/>
        </w:rPr>
        <w:t xml:space="preserve">.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בהודעתו מיום </w:t>
      </w:r>
      <w:r>
        <w:rPr>
          <w:rFonts w:cs="FrankRuehl" w:ascii="FrankRuehl" w:hAnsi="FrankRuehl"/>
          <w:color w:val="000000"/>
          <w:sz w:val="28"/>
        </w:rPr>
        <w:t>20.11.2015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 xml:space="preserve">מסר הלה כי 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 xml:space="preserve">שאלתי אותו </w:t>
      </w:r>
      <w:r>
        <w:rPr>
          <w:rFonts w:cs="Century" w:ascii="Century" w:hAnsi="Century"/>
          <w:rtl w:val="true"/>
        </w:rPr>
        <w:t>[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המתלונן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–</w:t>
      </w:r>
      <w:r>
        <w:rPr>
          <w:rFonts w:ascii="Times New Roman" w:hAnsi="Times New Roman" w:cs="Times New Roman"/>
          <w:spacing w:val="0"/>
          <w:sz w:val="28"/>
          <w:sz w:val="28"/>
          <w:szCs w:val="24"/>
          <w:rtl w:val="true"/>
        </w:rPr>
        <w:t xml:space="preserve">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י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cs="Miriam"/>
          <w:spacing w:val="0"/>
          <w:sz w:val="28"/>
          <w:sz w:val="28"/>
          <w:szCs w:val="24"/>
          <w:rtl w:val="true"/>
        </w:rPr>
        <w:t>א</w:t>
      </w:r>
      <w:r>
        <w:rPr>
          <w:rFonts w:cs="Miriam" w:ascii="Times New Roman" w:hAnsi="Times New Roman"/>
          <w:spacing w:val="0"/>
          <w:sz w:val="28"/>
          <w:szCs w:val="24"/>
          <w:rtl w:val="true"/>
        </w:rPr>
        <w:t>'</w:t>
      </w:r>
      <w:r>
        <w:rPr>
          <w:rFonts w:cs="Century" w:ascii="Century" w:hAnsi="Century"/>
          <w:rtl w:val="true"/>
        </w:rPr>
        <w:t xml:space="preserve">] </w:t>
      </w:r>
      <w:r>
        <w:rPr>
          <w:rFonts w:ascii="Century" w:hAnsi="Century" w:cs="Century"/>
          <w:rtl w:val="true"/>
        </w:rPr>
        <w:t>מה קרה והוא אמר לי דקירת סכין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המשפחה אמרה שזה ריב בשכונה ולא התעמקתי</w:t>
      </w:r>
      <w:r>
        <w:rPr>
          <w:rFonts w:cs="Century" w:ascii="Century" w:hAnsi="Century"/>
          <w:rtl w:val="true"/>
        </w:rPr>
        <w:t>"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 </w:t>
      </w:r>
      <w:r>
        <w:rPr>
          <w:rFonts w:cs="Century" w:ascii="Century" w:hAnsi="Century"/>
          <w:rtl w:val="true"/>
        </w:rPr>
        <w:t>(</w:t>
      </w:r>
      <w:r>
        <w:rPr>
          <w:rFonts w:ascii="Century" w:hAnsi="Century" w:cs="Century"/>
          <w:rtl w:val="true"/>
        </w:rPr>
        <w:t>ת</w:t>
      </w:r>
      <w:r>
        <w:rPr>
          <w:rFonts w:cs="Century" w:ascii="Century" w:hAnsi="Century"/>
          <w:rtl w:val="true"/>
        </w:rPr>
        <w:t>/</w:t>
      </w:r>
      <w:r>
        <w:rPr>
          <w:rFonts w:cs="Century" w:ascii="Century" w:hAnsi="Century"/>
        </w:rPr>
        <w:t>2</w:t>
      </w:r>
      <w:r>
        <w:rPr>
          <w:rFonts w:cs="Century" w:ascii="Century" w:hAnsi="Century"/>
          <w:rtl w:val="true"/>
        </w:rPr>
        <w:t xml:space="preserve">). </w:t>
      </w:r>
      <w:r>
        <w:rPr>
          <w:rFonts w:ascii="Century" w:hAnsi="Century" w:cs="Century"/>
          <w:rtl w:val="true"/>
        </w:rPr>
        <w:t>בעדותו בפני בית המשפט חזר על הדברים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וסיפר כי היה זה המתלונן אשר מסר לו כי נדקר בסכין</w:t>
      </w:r>
      <w:r>
        <w:rPr>
          <w:rFonts w:cs="Century" w:ascii="Century" w:hAnsi="Century"/>
          <w:rtl w:val="true"/>
        </w:rPr>
        <w:t>.</w:t>
      </w:r>
      <w:r>
        <w:rPr>
          <w:rFonts w:cs="FrankRuehl" w:ascii="FrankRuehl" w:hAnsi="FrankRuehl"/>
          <w:color w:val="000000"/>
          <w:sz w:val="28"/>
          <w:rtl w:val="true"/>
        </w:rPr>
        <w:t xml:space="preserve"> </w:t>
      </w:r>
      <w:r>
        <w:rPr>
          <w:rFonts w:ascii="FrankRuehl" w:hAnsi="FrankRuehl"/>
          <w:color w:val="000000"/>
          <w:sz w:val="28"/>
          <w:sz w:val="28"/>
          <w:rtl w:val="true"/>
        </w:rPr>
        <w:t>דברים אלה מחזקים את גרסת אם המתלונן באשר לנסיבות פציעתו של המתלונן באירוע הדקירה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/>
        <w:t>25</w:t>
      </w:r>
      <w:r>
        <w:rPr>
          <w:rtl w:val="true"/>
        </w:rPr>
        <w:t>.</w:t>
        <w:tab/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מבוססת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במישור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tl w:val="true"/>
        </w:rPr>
        <w:t xml:space="preserve">, </w:t>
      </w:r>
      <w:r>
        <w:rPr>
          <w:rtl w:val="true"/>
        </w:rPr>
        <w:t>ואיני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.  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/>
      </w:pPr>
      <w:r>
        <w:rPr/>
        <w:t>26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מחייב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שבעבירה</w:t>
      </w:r>
      <w:r>
        <w:rPr>
          <w:rtl w:val="true"/>
        </w:rPr>
        <w:t xml:space="preserve">;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הוכחתה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כוונה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מיוחדת</w:t>
      </w:r>
      <w:r>
        <w:rPr>
          <w:rtl w:val="true"/>
        </w:rPr>
        <w:t>"</w:t>
      </w:r>
      <w:r>
        <w:rPr>
          <w:rtl w:val="true"/>
        </w:rPr>
        <w:t xml:space="preserve">, </w:t>
      </w:r>
      <w:r>
        <w:rPr>
          <w:rtl w:val="true"/>
        </w:rPr>
        <w:t>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מיוחד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בגרימת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7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3052/10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זועבי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(</w:t>
      </w:r>
      <w:r>
        <w:rPr/>
        <w:t>5.9.2011</w:t>
      </w:r>
      <w:r>
        <w:rPr>
          <w:rtl w:val="true"/>
        </w:rPr>
        <w:t xml:space="preserve">)).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העניין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דקר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סכין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ס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 xml:space="preserve">, </w:t>
      </w:r>
      <w:r>
        <w:rPr>
          <w:rtl w:val="true"/>
        </w:rPr>
        <w:t>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הכוונה</w:t>
      </w:r>
      <w:r>
        <w:rPr>
          <w:rtl w:val="true"/>
        </w:rPr>
        <w:t xml:space="preserve">,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מתכוון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לתוצאות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הטבעיות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3727/93</w:t>
        </w:r>
      </w:hyperlink>
      <w:r>
        <w:rPr>
          <w:rtl w:val="true"/>
        </w:rPr>
        <w:t xml:space="preserve"> </w:t>
      </w:r>
      <w:r>
        <w:rPr>
          <w:rFonts w:cs="Miriam" w:ascii="Century" w:hAnsi="Century"/>
          <w:b/>
          <w:spacing w:val="0"/>
          <w:szCs w:val="24"/>
          <w:rtl w:val="true"/>
        </w:rPr>
        <w:t>‏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עזאמי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</w:t>
      </w:r>
      <w:r>
        <w:rPr>
          <w:rtl w:val="true"/>
        </w:rPr>
        <w:t>קה</w:t>
      </w:r>
      <w:r>
        <w:rPr>
          <w:rFonts w:eastAsia="Arial TUR;Arial" w:cs="Arial TUR;Arial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(</w:t>
      </w:r>
      <w:r>
        <w:rPr/>
        <w:t>17.5.1994</w:t>
      </w:r>
      <w:r>
        <w:rPr>
          <w:rtl w:val="true"/>
        </w:rPr>
        <w:t>)</w:t>
      </w:r>
      <w:r>
        <w:rPr>
          <w:rtl w:val="true"/>
        </w:rPr>
        <w:t xml:space="preserve">; 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8871/05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שנגלוף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2.3.</w:t>
      </w:r>
      <w:r>
        <w:rPr/>
        <w:t>20</w:t>
      </w:r>
      <w:r>
        <w:rPr/>
        <w:t>07</w:t>
      </w:r>
      <w:r>
        <w:rPr>
          <w:rtl w:val="true"/>
        </w:rPr>
        <w:t>)).</w:t>
      </w:r>
      <w:r>
        <w:rPr>
          <w:rtl w:val="true"/>
        </w:rPr>
        <w:t xml:space="preserve"> </w:t>
      </w:r>
      <w:r>
        <w:rPr>
          <w:rtl w:val="true"/>
        </w:rPr>
        <w:t>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tl w:val="true"/>
        </w:rPr>
        <w:t xml:space="preserve">, </w:t>
      </w:r>
      <w:r>
        <w:rPr>
          <w:rtl w:val="true"/>
        </w:rPr>
        <w:t>אפוא</w:t>
      </w:r>
      <w:r>
        <w:rPr>
          <w:rtl w:val="true"/>
        </w:rPr>
        <w:t xml:space="preserve">,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לבסס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הנפשי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להרשעת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  <w:tab/>
      </w:r>
      <w:r>
        <w:rPr>
          <w:rFonts w:ascii="FrankRuehl" w:hAnsi="FrankRuehl"/>
          <w:color w:val="000000"/>
          <w:sz w:val="28"/>
          <w:sz w:val="28"/>
          <w:rtl w:val="true"/>
        </w:rPr>
        <w:t>אשר על כן</w:t>
      </w:r>
      <w:r>
        <w:rPr>
          <w:rFonts w:cs="FrankRuehl" w:ascii="FrankRuehl" w:hAnsi="FrankRuehl"/>
          <w:color w:val="000000"/>
          <w:sz w:val="28"/>
          <w:rtl w:val="true"/>
        </w:rPr>
        <w:t xml:space="preserve">, </w:t>
      </w:r>
      <w:r>
        <w:rPr>
          <w:rFonts w:ascii="FrankRuehl" w:hAnsi="FrankRuehl"/>
          <w:color w:val="000000"/>
          <w:sz w:val="28"/>
          <w:sz w:val="28"/>
          <w:rtl w:val="true"/>
        </w:rPr>
        <w:t>אציע לחבריי לדחות את הערעור על הכרעת הדין</w:t>
      </w:r>
      <w:r>
        <w:rPr>
          <w:rFonts w:cs="FrankRuehl" w:ascii="FrankRuehl" w:hAnsi="FrankRuehl"/>
          <w:color w:val="000000"/>
          <w:sz w:val="28"/>
          <w:rtl w:val="true"/>
        </w:rPr>
        <w:t>.</w:t>
      </w:r>
    </w:p>
    <w:p>
      <w:pPr>
        <w:pStyle w:val="Ruller4"/>
        <w:ind w:end="0"/>
        <w:jc w:val="both"/>
        <w:rPr>
          <w:rFonts w:ascii="FrankRuehl" w:hAnsi="FrankRuehl" w:cs="FrankRuehl"/>
          <w:color w:val="000000"/>
          <w:sz w:val="28"/>
        </w:rPr>
      </w:pPr>
      <w:r>
        <w:rPr>
          <w:rFonts w:cs="FrankRuehl" w:ascii="FrankRuehl" w:hAnsi="FrankRuehl"/>
          <w:color w:val="000000"/>
          <w:sz w:val="28"/>
          <w:rtl w:val="true"/>
        </w:rPr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הערעור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על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גזר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הדין</w:t>
      </w:r>
    </w:p>
    <w:p>
      <w:pPr>
        <w:pStyle w:val="Ruller4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/>
        <w:t>27</w:t>
      </w:r>
      <w:r>
        <w:rPr>
          <w:rtl w:val="true"/>
        </w:rPr>
        <w:t>.</w:t>
        <w:tab/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מסקנתי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דומה</w:t>
      </w:r>
      <w:r>
        <w:rPr>
          <w:rtl w:val="true"/>
        </w:rPr>
        <w:t xml:space="preserve">,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</w:rPr>
        <w:t>28</w:t>
      </w:r>
      <w:r>
        <w:rPr>
          <w:rFonts w:eastAsia="Calibri"/>
          <w:rtl w:val="true"/>
        </w:rPr>
        <w:t>.</w:t>
        <w:tab/>
      </w:r>
      <w:r>
        <w:rPr>
          <w:rFonts w:eastAsia="Calibri"/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המקרה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מלמדות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עסקינן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חמורה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יצא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מביתו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כשהוא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מצויד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בסכין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בעלת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להב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באורך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</w:t>
      </w:r>
      <w:r>
        <w:rPr>
          <w:rFonts w:eastAsia="Calibri"/>
          <w:rtl w:val="true"/>
        </w:rPr>
        <w:t>-</w:t>
      </w:r>
      <w:r>
        <w:rPr>
          <w:rFonts w:eastAsia="Calibri"/>
        </w:rPr>
        <w:t>30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במטרה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פתרון</w:t>
      </w:r>
      <w:r>
        <w:rPr>
          <w:rFonts w:eastAsia="Calibri"/>
          <w:rtl w:val="true"/>
        </w:rPr>
        <w:t xml:space="preserve">" </w:t>
      </w:r>
      <w:r>
        <w:rPr>
          <w:rFonts w:eastAsia="Calibri"/>
          <w:rtl w:val="true"/>
        </w:rPr>
        <w:t>הסכסוך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המילולי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שהתעורר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הצדדים</w:t>
      </w:r>
      <w:r>
        <w:rPr>
          <w:rFonts w:eastAsia="Calibri"/>
          <w:rtl w:val="true"/>
        </w:rPr>
        <w:t xml:space="preserve">. </w:t>
      </w:r>
      <w:r>
        <w:rPr>
          <w:rFonts w:eastAsia="Calibri"/>
          <w:rtl w:val="true"/>
        </w:rPr>
        <w:t>דקירת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המתלונן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בפלג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העליון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ונעיצת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הסכין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בגופו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בעומק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</w:t>
      </w:r>
      <w:r>
        <w:rPr>
          <w:rFonts w:eastAsia="Calibri"/>
          <w:rtl w:val="true"/>
        </w:rPr>
        <w:t>-</w:t>
      </w:r>
      <w:r>
        <w:rPr>
          <w:rFonts w:eastAsia="Calibri"/>
        </w:rPr>
        <w:t>7</w:t>
      </w:r>
      <w:r>
        <w:rPr>
          <w:rFonts w:eastAsia="Calibri"/>
          <w:rtl w:val="true"/>
        </w:rPr>
        <w:t xml:space="preserve"> </w:t>
      </w:r>
      <w:r>
        <w:rPr>
          <w:rFonts w:eastAsia="Calibri"/>
          <w:rtl w:val="true"/>
        </w:rPr>
        <w:t>ס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מ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הרבה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שהפגין</w:t>
      </w:r>
      <w:r>
        <w:rPr>
          <w:rFonts w:eastAsia="Calibri"/>
          <w:rtl w:val="true"/>
        </w:rPr>
        <w:t xml:space="preserve">, </w:t>
      </w:r>
      <w:r>
        <w:rPr>
          <w:rFonts w:eastAsia="Calibri"/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בנס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הביאה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לתוצאה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טראגית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ממש</w:t>
      </w:r>
      <w:r>
        <w:rPr>
          <w:rFonts w:eastAsia="Calibri"/>
          <w:rtl w:val="true"/>
        </w:rPr>
        <w:t xml:space="preserve">. </w:t>
      </w:r>
      <w:r>
        <w:rPr>
          <w:rtl w:val="true"/>
        </w:rPr>
        <w:t>צירופן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tl w:val="true"/>
        </w:rPr>
        <w:t xml:space="preserve">,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תופעת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הסכינאות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היבט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tl w:val="true"/>
        </w:rPr>
        <w:t xml:space="preserve">, </w:t>
      </w:r>
      <w:r>
        <w:rPr>
          <w:rtl w:val="true"/>
        </w:rPr>
        <w:t>ולצידו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ההרתעה</w:t>
      </w:r>
      <w:r>
        <w:rPr>
          <w:rtl w:val="true"/>
        </w:rPr>
        <w:t xml:space="preserve">, </w:t>
      </w:r>
      <w:r>
        <w:rPr>
          <w:rtl w:val="true"/>
        </w:rPr>
        <w:t>מלמדת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האלימות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rFonts w:eastAsia="Calibri"/>
          <w:sz w:val="24"/>
        </w:rPr>
      </w:pPr>
      <w:r>
        <w:rPr>
          <w:rFonts w:eastAsia="Calibri"/>
          <w:sz w:val="24"/>
          <w:rtl w:val="true"/>
        </w:rPr>
      </w:r>
    </w:p>
    <w:p>
      <w:pPr>
        <w:pStyle w:val="Ruller4"/>
        <w:ind w:end="0"/>
        <w:jc w:val="both"/>
        <w:rPr/>
      </w:pPr>
      <w:r>
        <w:rPr/>
        <w:t>29</w:t>
      </w:r>
      <w:r>
        <w:rPr>
          <w:rtl w:val="true"/>
        </w:rPr>
        <w:t>.</w:t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שמפורט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לקולא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ובסופו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באמצעו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איני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רואה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לסטות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מתוצאה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, </w:t>
      </w:r>
      <w:r>
        <w:rPr>
          <w:rtl w:val="true"/>
        </w:rPr>
        <w:t>בשים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המושרשת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מתערבת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tl w:val="true"/>
        </w:rPr>
        <w:t xml:space="preserve">, </w:t>
      </w:r>
      <w:r>
        <w:rPr>
          <w:rtl w:val="true"/>
        </w:rPr>
        <w:t>זולת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קיצוני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9552/16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קומבוז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נ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"/>
          <w:spacing w:val="0"/>
          <w:szCs w:val="24"/>
          <w:rtl w:val="true"/>
        </w:rPr>
        <w:t>בנבו</w:t>
      </w:r>
      <w:r>
        <w:rPr>
          <w:rFonts w:cs="David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14</w:t>
      </w:r>
      <w:r>
        <w:rPr>
          <w:rtl w:val="true"/>
        </w:rPr>
        <w:t xml:space="preserve"> (</w:t>
      </w:r>
      <w:r>
        <w:rPr/>
        <w:t>22.1.2018</w:t>
      </w:r>
      <w:r>
        <w:rPr>
          <w:rtl w:val="true"/>
        </w:rPr>
        <w:t xml:space="preserve">)).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פציעתו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המתלונן</w:t>
      </w:r>
      <w:r>
        <w:rPr>
          <w:rtl w:val="true"/>
        </w:rPr>
        <w:t>.</w:t>
      </w:r>
    </w:p>
    <w:p>
      <w:pPr>
        <w:pStyle w:val="Ruller4"/>
        <w:ind w:end="0"/>
        <w:jc w:val="both"/>
        <w:rPr>
          <w:sz w:val="24"/>
        </w:rPr>
      </w:pPr>
      <w:r>
        <w:rPr>
          <w:sz w:val="24"/>
          <w:rtl w:val="true"/>
        </w:rPr>
      </w:r>
    </w:p>
    <w:p>
      <w:pPr>
        <w:pStyle w:val="Ruller4"/>
        <w:ind w:end="0"/>
        <w:jc w:val="both"/>
        <w:rPr>
          <w:rFonts w:ascii="Century" w:hAnsi="Century" w:eastAsia="Calibri" w:cs="Century"/>
        </w:rPr>
      </w:pPr>
      <w:r>
        <w:rPr/>
        <w:t>30</w:t>
      </w:r>
      <w:r>
        <w:rPr>
          <w:rtl w:val="true"/>
        </w:rPr>
        <w:t>.</w:t>
        <w:tab/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מרכיביו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>.</w:t>
      </w:r>
      <w:r>
        <w:rPr>
          <w:rFonts w:eastAsia="Calibri" w:cs="Century" w:ascii="Century" w:hAnsi="Century"/>
          <w:rtl w:val="true"/>
        </w:rPr>
        <w:t xml:space="preserve"> </w:t>
      </w:r>
    </w:p>
    <w:p>
      <w:pPr>
        <w:pStyle w:val="Ruller4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"/>
        <w:ind w:end="0"/>
        <w:jc w:val="end"/>
        <w:rPr>
          <w:rFonts w:ascii="Century" w:hAnsi="Century" w:eastAsia="Calibri" w:cs="Century"/>
        </w:rPr>
      </w:pPr>
      <w:r>
        <w:rPr>
          <w:rFonts w:ascii="Century" w:hAnsi="Century" w:eastAsia="Calibri" w:cs="Century"/>
          <w:rtl w:val="true"/>
        </w:rPr>
        <w:t>ש ו פ ט</w:t>
      </w:r>
    </w:p>
    <w:p>
      <w:pPr>
        <w:pStyle w:val="Ruller4"/>
        <w:ind w:end="0"/>
        <w:jc w:val="end"/>
        <w:rPr>
          <w:rFonts w:ascii="Century" w:hAnsi="Century" w:eastAsia="Calibri" w:cs="Century"/>
        </w:rPr>
      </w:pPr>
      <w:r>
        <w:rPr>
          <w:rFonts w:eastAsia="Calibri" w:cs="Century" w:ascii="Century" w:hAnsi="Century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eastAsia="Calibri" w:cs="Miriam"/>
          <w:spacing w:val="0"/>
          <w:sz w:val="28"/>
          <w:szCs w:val="24"/>
        </w:rPr>
      </w:pPr>
      <w:r>
        <w:rPr>
          <w:rFonts w:ascii="Times New Roman" w:hAnsi="Times New Roman" w:eastAsia="Calibri" w:cs="Miriam"/>
          <w:spacing w:val="0"/>
          <w:sz w:val="28"/>
          <w:sz w:val="28"/>
          <w:szCs w:val="24"/>
          <w:u w:val="single"/>
          <w:rtl w:val="true"/>
        </w:rPr>
        <w:t>השופט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u w:val="single"/>
          <w:rtl w:val="true"/>
        </w:rPr>
        <w:t>נ</w:t>
      </w:r>
      <w:r>
        <w:rPr>
          <w:rFonts w:eastAsia="Calibri"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u w:val="single"/>
          <w:rtl w:val="true"/>
        </w:rPr>
        <w:t>סולברג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eastAsia="Calibri" w:cs="Miriam"/>
          <w:spacing w:val="0"/>
          <w:sz w:val="28"/>
          <w:szCs w:val="24"/>
        </w:rPr>
      </w:pP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מסכים</w:t>
      </w:r>
      <w:r>
        <w:rPr>
          <w:rFonts w:eastAsia="Calibri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"/>
        <w:ind w:end="0"/>
        <w:jc w:val="end"/>
        <w:rPr/>
      </w:pPr>
      <w:r>
        <w:rPr>
          <w:rFonts w:eastAsia="Calibri"/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ט</w:t>
      </w:r>
    </w:p>
    <w:p>
      <w:pPr>
        <w:pStyle w:val="Ruller4"/>
        <w:ind w:end="0"/>
        <w:jc w:val="end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"/>
        <w:ind w:end="0"/>
        <w:jc w:val="both"/>
        <w:rPr>
          <w:rFonts w:ascii="Times New Roman" w:hAnsi="Times New Roman" w:eastAsia="Calibri" w:cs="Miriam"/>
          <w:spacing w:val="0"/>
          <w:sz w:val="28"/>
          <w:szCs w:val="24"/>
        </w:rPr>
      </w:pPr>
      <w:r>
        <w:rPr>
          <w:rFonts w:ascii="Times New Roman" w:hAnsi="Times New Roman" w:eastAsia="Calibri" w:cs="Miriam"/>
          <w:spacing w:val="0"/>
          <w:sz w:val="28"/>
          <w:sz w:val="28"/>
          <w:szCs w:val="24"/>
          <w:u w:val="single"/>
          <w:rtl w:val="true"/>
        </w:rPr>
        <w:t>השופטת</w:t>
      </w:r>
      <w:r>
        <w:rPr>
          <w:rFonts w:ascii="Times New Roman" w:hAnsi="Times New Roman" w:eastAsia="Times New Roman" w:cs="Times New Roman"/>
          <w:spacing w:val="0"/>
          <w:sz w:val="28"/>
          <w:sz w:val="28"/>
          <w:szCs w:val="24"/>
          <w:u w:val="single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u w:val="single"/>
          <w:rtl w:val="true"/>
        </w:rPr>
        <w:t>ע</w:t>
      </w:r>
      <w:r>
        <w:rPr>
          <w:rFonts w:eastAsia="Calibri" w:cs="Miriam" w:ascii="Times New Roman" w:hAnsi="Times New Roman"/>
          <w:spacing w:val="0"/>
          <w:sz w:val="28"/>
          <w:szCs w:val="24"/>
          <w:u w:val="single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u w:val="single"/>
          <w:rtl w:val="true"/>
        </w:rPr>
        <w:t>ברון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>:</w:t>
      </w:r>
    </w:p>
    <w:p>
      <w:pPr>
        <w:pStyle w:val="Ruller4"/>
        <w:ind w:end="0"/>
        <w:jc w:val="both"/>
        <w:rPr>
          <w:rFonts w:ascii="Times New Roman" w:hAnsi="Times New Roman" w:eastAsia="Calibri" w:cs="Miriam"/>
          <w:spacing w:val="0"/>
          <w:sz w:val="28"/>
          <w:szCs w:val="24"/>
        </w:rPr>
      </w:pP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</w:r>
    </w:p>
    <w:p>
      <w:pPr>
        <w:pStyle w:val="Ruller4"/>
        <w:ind w:end="0"/>
        <w:jc w:val="both"/>
        <w:rPr/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אני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מסכימה</w:t>
      </w:r>
      <w:r>
        <w:rPr>
          <w:rFonts w:eastAsia="Calibri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"/>
        <w:ind w:end="0"/>
        <w:jc w:val="end"/>
        <w:rPr/>
      </w:pPr>
      <w:r>
        <w:rPr>
          <w:rFonts w:eastAsia="Calibri"/>
          <w:rtl w:val="true"/>
        </w:rPr>
        <w:tab/>
        <w:tab/>
        <w:tab/>
        <w:tab/>
        <w:tab/>
        <w:tab/>
        <w:tab/>
        <w:tab/>
        <w:tab/>
      </w:r>
      <w:r>
        <w:rPr>
          <w:rFonts w:eastAsia="Calibri"/>
          <w:rtl w:val="true"/>
        </w:rPr>
        <w:t>ש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פ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ת</w:t>
      </w:r>
    </w:p>
    <w:p>
      <w:pPr>
        <w:pStyle w:val="Ruller4"/>
        <w:ind w:end="0"/>
        <w:jc w:val="end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ab/>
      </w:r>
      <w:r>
        <w:rPr>
          <w:rFonts w:eastAsia="Calibri"/>
          <w:rtl w:val="true"/>
        </w:rPr>
        <w:t>הוחלט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כאמור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השופט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י</w:t>
      </w:r>
      <w:r>
        <w:rPr>
          <w:rFonts w:eastAsia="Calibri" w:cs="Miriam" w:ascii="Times New Roman" w:hAnsi="Times New Roman"/>
          <w:spacing w:val="0"/>
          <w:sz w:val="28"/>
          <w:szCs w:val="24"/>
          <w:rtl w:val="true"/>
        </w:rPr>
        <w:t xml:space="preserve">' </w:t>
      </w:r>
      <w:r>
        <w:rPr>
          <w:rFonts w:ascii="Times New Roman" w:hAnsi="Times New Roman" w:eastAsia="Calibri" w:cs="Miriam"/>
          <w:spacing w:val="0"/>
          <w:sz w:val="28"/>
          <w:sz w:val="28"/>
          <w:szCs w:val="24"/>
          <w:rtl w:val="true"/>
        </w:rPr>
        <w:t>אלרון</w:t>
      </w:r>
      <w:r>
        <w:rPr>
          <w:rFonts w:eastAsia="Calibri"/>
          <w:rtl w:val="true"/>
        </w:rPr>
        <w:t xml:space="preserve">. </w:t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היום</w:t>
      </w:r>
      <w:r>
        <w:rPr>
          <w:rFonts w:eastAsia="Calibri"/>
          <w:rtl w:val="true"/>
        </w:rPr>
        <w:t>, ‏</w:t>
      </w:r>
      <w:r>
        <w:rPr>
          <w:rFonts w:eastAsia="Calibri"/>
          <w:rtl w:val="true"/>
        </w:rPr>
        <w:t>ח</w:t>
      </w:r>
      <w:r>
        <w:rPr>
          <w:rFonts w:eastAsia="Calibri"/>
          <w:rtl w:val="true"/>
        </w:rPr>
        <w:t xml:space="preserve">' </w:t>
      </w:r>
      <w:r>
        <w:rPr>
          <w:rFonts w:eastAsia="Calibri"/>
          <w:rtl w:val="true"/>
        </w:rPr>
        <w:t>בשבט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התשע</w:t>
      </w:r>
      <w:r>
        <w:rPr>
          <w:rFonts w:eastAsia="Calibri"/>
          <w:rtl w:val="true"/>
        </w:rPr>
        <w:t>"</w:t>
      </w:r>
      <w:r>
        <w:rPr>
          <w:rFonts w:eastAsia="Calibri"/>
          <w:rtl w:val="true"/>
        </w:rPr>
        <w:t>ח</w:t>
      </w:r>
      <w:r>
        <w:rPr>
          <w:rFonts w:eastAsia="Arial TUR;Arial" w:cs="Arial TUR;Arial"/>
          <w:rtl w:val="true"/>
        </w:rPr>
        <w:t xml:space="preserve"> </w:t>
      </w:r>
      <w:r>
        <w:rPr>
          <w:rFonts w:eastAsia="Calibri"/>
          <w:rtl w:val="true"/>
        </w:rPr>
        <w:t>(‏</w:t>
      </w:r>
      <w:r>
        <w:rPr>
          <w:rFonts w:eastAsia="Calibri"/>
        </w:rPr>
        <w:t>24.1.2018</w:t>
      </w:r>
      <w:r>
        <w:rPr>
          <w:rFonts w:eastAsia="Calibri"/>
          <w:rtl w:val="true"/>
        </w:rPr>
        <w:t xml:space="preserve">). </w:t>
      </w:r>
    </w:p>
    <w:p>
      <w:pPr>
        <w:pStyle w:val="Ruller4"/>
        <w:ind w:end="0"/>
        <w:jc w:val="both"/>
        <w:rPr>
          <w:rFonts w:eastAsia="Calibri"/>
        </w:rPr>
      </w:pPr>
      <w:r>
        <w:rPr>
          <w:rFonts w:eastAsia="Calibri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  <w:tc>
          <w:tcPr>
            <w:tcW w:w="2843" w:type="dxa"/>
            <w:tcBorders/>
          </w:tcPr>
          <w:p>
            <w:pPr>
              <w:pStyle w:val="Ruller4"/>
              <w:ind w:end="0"/>
              <w:jc w:val="end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/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tl w:val="true"/>
        </w:rPr>
        <w:t>העותק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כפוף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לשינויי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וניסוח</w:t>
      </w:r>
      <w:r>
        <w:rPr>
          <w:rtl w:val="true"/>
        </w:rPr>
        <w:t>.</w:t>
      </w:r>
      <w:r>
        <w:rPr>
          <w:sz w:val="16"/>
          <w:rtl w:val="true"/>
        </w:rPr>
        <w:t xml:space="preserve">   </w:t>
      </w:r>
      <w:r>
        <w:rPr>
          <w:sz w:val="16"/>
        </w:rPr>
        <w:t>16099280</w:t>
      </w:r>
      <w:r>
        <w:rPr>
          <w:sz w:val="16"/>
          <w:rtl w:val="true"/>
        </w:rPr>
        <w:t>_</w:t>
      </w:r>
      <w:r>
        <w:rPr>
          <w:sz w:val="16"/>
        </w:rPr>
        <w:t>J05.doc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אר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1">
        <w:r>
          <w:rPr>
            <w:rStyle w:val="Hyperlink"/>
            <w:sz w:val="16"/>
          </w:rPr>
          <w:t>www.court.gov.il</w:t>
        </w:r>
      </w:hyperlink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cs="David" w:ascii="David" w:hAnsi="David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" w:hAnsi="David" w:cs="David"/>
          <w:color w:val="000000"/>
          <w:szCs w:val="22"/>
        </w:rPr>
      </w:pPr>
      <w:r>
        <w:rPr>
          <w:rFonts w:ascii="David" w:hAnsi="David"/>
          <w:color w:val="000000"/>
          <w:szCs w:val="22"/>
          <w:rtl w:val="true"/>
        </w:rPr>
        <w:t>נ</w:t>
      </w:r>
      <w:r>
        <w:rPr>
          <w:rFonts w:cs="David" w:ascii="David" w:hAnsi="David"/>
          <w:color w:val="000000"/>
          <w:szCs w:val="22"/>
          <w:rtl w:val="true"/>
        </w:rPr>
        <w:t xml:space="preserve">' </w:t>
      </w:r>
      <w:r>
        <w:rPr>
          <w:rFonts w:ascii="David" w:hAnsi="David"/>
          <w:color w:val="000000"/>
          <w:szCs w:val="22"/>
          <w:rtl w:val="true"/>
        </w:rPr>
        <w:t xml:space="preserve">סולברג </w:t>
      </w:r>
      <w:r>
        <w:rPr>
          <w:rFonts w:cs="David" w:ascii="David" w:hAnsi="David"/>
          <w:color w:val="000000"/>
          <w:szCs w:val="22"/>
        </w:rPr>
        <w:t>54678313-9928/16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2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43"/>
      <w:footerReference w:type="default" r:id="rId44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  <w:font w:name="FrankRuehl">
    <w:charset w:val="b1" w:characterSet="windows-1255"/>
    <w:family w:val="swiss"/>
    <w:pitch w:val="variable"/>
  </w:font>
  <w:font w:name="Century">
    <w:charset w:val="00" w:characterSet="windows-1252"/>
    <w:family w:val="roman"/>
    <w:pitch w:val="variable"/>
  </w:font>
  <w:font w:name="David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13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</w:rPr>
    </w:pPr>
    <w:r>
      <w:rPr>
        <w:rFonts w:cs="FrankRuehl" w:ascii="FrankRuehl" w:hAnsi="FrankRuehl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עפ </w:t>
    </w:r>
    <w:r>
      <w:rPr>
        <w:rFonts w:cs="David" w:ascii="David" w:hAnsi="David"/>
        <w:color w:val="000000"/>
        <w:sz w:val="22"/>
        <w:szCs w:val="22"/>
      </w:rPr>
      <w:t>9928/16</w:t>
    </w:r>
    <w:r>
      <w:rPr>
        <w:rFonts w:cs="David" w:ascii="David" w:hAnsi="David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כמאל טהה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191"/>
        </w:tabs>
        <w:ind w:start="284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doNotBreakWrappedTables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/>
  </w:style>
  <w:style w:type="character" w:styleId="WW8Num12z0">
    <w:name w:val="WW8Num12z0"/>
    <w:qFormat/>
    <w:rPr/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default">
    <w:name w:val="default"/>
    <w:qFormat/>
    <w:rPr/>
  </w:style>
  <w:style w:type="character" w:styleId="big-number">
    <w:name w:val="big-number"/>
    <w:qFormat/>
    <w:rPr/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tabs>
        <w:tab w:val="clear" w:pos="720"/>
        <w:tab w:val="left" w:pos="3210" w:leader="none"/>
        <w:tab w:val="left" w:pos="6753" w:leader="none"/>
      </w:tabs>
      <w:spacing w:lineRule="auto" w:line="360"/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  <w:ind w:hanging="0" w:start="0" w:end="0"/>
      <w:jc w:val="start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ind w:hanging="0" w:start="0" w:end="0"/>
      <w:jc w:val="end"/>
    </w:pPr>
    <w:rPr>
      <w:bCs/>
    </w:rPr>
  </w:style>
  <w:style w:type="paragraph" w:styleId="FirstpagestylePsakdin">
    <w:name w:val="First page style Psak din"/>
    <w:basedOn w:val="Ruller31"/>
    <w:qFormat/>
    <w:pPr>
      <w:tabs>
        <w:tab w:val="clear" w:pos="3210"/>
        <w:tab w:val="left" w:pos="3209" w:leader="none"/>
        <w:tab w:val="left" w:pos="6753" w:leader="none"/>
      </w:tabs>
      <w:spacing w:lineRule="auto" w:line="360"/>
      <w:ind w:hanging="0" w:start="0" w:end="0"/>
      <w:jc w:val="start"/>
    </w:pPr>
    <w:rPr>
      <w:bCs/>
    </w:rPr>
  </w:style>
  <w:style w:type="paragraph" w:styleId="TyutaDate">
    <w:name w:val="Tyuta Date"/>
    <w:basedOn w:val="Normal"/>
    <w:qFormat/>
    <w:pPr>
      <w:ind w:hanging="0" w:start="0" w:end="0"/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ind w:hanging="0" w:start="0" w:end="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>
      <w:ind w:hanging="0" w:start="0" w:end="0"/>
      <w:jc w:val="start"/>
    </w:pPr>
    <w:rPr>
      <w:i/>
      <w:iCs/>
    </w:rPr>
  </w:style>
  <w:style w:type="paragraph" w:styleId="Ruller4">
    <w:name w:val="Ruller4"/>
    <w:basedOn w:val="Normal"/>
    <w:qFormat/>
    <w:pPr>
      <w:tabs>
        <w:tab w:val="clear" w:pos="720"/>
        <w:tab w:val="left" w:pos="800" w:leader="none"/>
      </w:tabs>
      <w:spacing w:lineRule="auto" w:line="360"/>
      <w:ind w:hanging="0" w:start="0" w:end="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>
      <w:tabs>
        <w:tab w:val="clear" w:pos="720"/>
        <w:tab w:val="left" w:pos="794" w:leader="none"/>
        <w:tab w:val="left" w:pos="2268" w:leader="none"/>
        <w:tab w:val="left" w:pos="5783" w:leader="none"/>
        <w:tab w:val="left" w:pos="7371" w:leader="none"/>
      </w:tabs>
      <w:ind w:hanging="0" w:start="0" w:end="0"/>
      <w:jc w:val="start"/>
    </w:pPr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>
      <w:spacing w:lineRule="auto" w:line="360"/>
      <w:ind w:hanging="0" w:start="0" w:end="0"/>
      <w:jc w:val="both"/>
    </w:pPr>
    <w:rPr>
      <w:rFonts w:cs="David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ind w:hanging="0" w:start="0" w:end="0"/>
      <w:jc w:val="start"/>
    </w:pPr>
    <w:rPr/>
  </w:style>
  <w:style w:type="paragraph" w:styleId="2">
    <w:name w:val="ñâðåï2"/>
    <w:basedOn w:val="Normal"/>
    <w:qFormat/>
    <w:pPr>
      <w:overflowPunct w:val="true"/>
      <w:ind w:hanging="0" w:start="0" w:end="0"/>
      <w:jc w:val="start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ind w:hanging="0" w:start="0" w:end="0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tabs>
        <w:tab w:val="clear" w:pos="720"/>
        <w:tab w:val="left" w:pos="2552" w:leader="none"/>
      </w:tabs>
      <w:overflowPunct w:val="true"/>
      <w:ind w:hanging="0" w:start="0" w:end="2549"/>
      <w:jc w:val="start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>
      <w:ind w:hanging="0" w:start="0" w:end="0"/>
      <w:jc w:val="start"/>
    </w:pPr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ind w:hanging="0" w:start="0" w:end="0"/>
      <w:jc w:val="start"/>
    </w:pPr>
    <w:rPr>
      <w:szCs w:val="28"/>
    </w:rPr>
  </w:style>
  <w:style w:type="paragraph" w:styleId="BODYVERDICT">
    <w:name w:val="BODY VERDICT"/>
    <w:basedOn w:val="Normal"/>
    <w:qFormat/>
    <w:pPr>
      <w:ind w:hanging="0" w:start="0" w:end="0"/>
      <w:jc w:val="start"/>
    </w:pPr>
    <w:rPr>
      <w:rFonts w:cs="FrankRuehl"/>
      <w:spacing w:val="10"/>
      <w:sz w:val="22"/>
      <w:szCs w:val="28"/>
    </w:rPr>
  </w:style>
  <w:style w:type="paragraph" w:styleId="Ruller41">
    <w:name w:val="Ruller 4 ממוספר"/>
    <w:basedOn w:val="Ruller4"/>
    <w:next w:val="Ruller4"/>
    <w:qFormat/>
    <w:pPr>
      <w:numPr>
        <w:ilvl w:val="0"/>
        <w:numId w:val="1"/>
      </w:numPr>
      <w:ind w:hanging="0" w:start="0" w:end="0"/>
      <w:jc w:val="both"/>
    </w:pPr>
    <w:rPr>
      <w:rFonts w:ascii="Garamond" w:hAnsi="Garamond" w:cs="Garamond"/>
      <w:sz w:val="24"/>
    </w:rPr>
  </w:style>
  <w:style w:type="paragraph" w:styleId="BalloonText">
    <w:name w:val="Balloon Text"/>
    <w:basedOn w:val="Normal"/>
    <w:qFormat/>
    <w:pPr>
      <w:ind w:hanging="0" w:start="0" w:end="0"/>
      <w:jc w:val="start"/>
    </w:pPr>
    <w:rPr>
      <w:rFonts w:ascii="Tahoma" w:hAnsi="Tahoma" w:cs="Tahoma"/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0803781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186.a" TargetMode="External"/><Relationship Id="rId5" Type="http://schemas.openxmlformats.org/officeDocument/2006/relationships/hyperlink" Target="http://www.nevo.co.il/law/70301/329.a.1" TargetMode="External"/><Relationship Id="rId6" Type="http://schemas.openxmlformats.org/officeDocument/2006/relationships/hyperlink" Target="http://www.nevo.co.il/law/70301/40ja" TargetMode="External"/><Relationship Id="rId7" Type="http://schemas.openxmlformats.org/officeDocument/2006/relationships/hyperlink" Target="http://www.nevo.co.il/law/98569" TargetMode="External"/><Relationship Id="rId8" Type="http://schemas.openxmlformats.org/officeDocument/2006/relationships/hyperlink" Target="http://www.nevo.co.il/law/98569/9" TargetMode="External"/><Relationship Id="rId9" Type="http://schemas.openxmlformats.org/officeDocument/2006/relationships/hyperlink" Target="http://www.nevo.co.il/law/98569/10a" TargetMode="External"/><Relationship Id="rId10" Type="http://schemas.openxmlformats.org/officeDocument/2006/relationships/hyperlink" Target="http://www.nevo.co.il/law/98569/10a.d" TargetMode="External"/><Relationship Id="rId11" Type="http://schemas.openxmlformats.org/officeDocument/2006/relationships/hyperlink" Target="http://www.nevo.co.il/law/98569/10a" TargetMode="External"/><Relationship Id="rId12" Type="http://schemas.openxmlformats.org/officeDocument/2006/relationships/hyperlink" Target="http://www.nevo.co.il/law/98569" TargetMode="External"/><Relationship Id="rId13" Type="http://schemas.openxmlformats.org/officeDocument/2006/relationships/hyperlink" Target="http://www.nevo.co.il/law/98569/10a" TargetMode="External"/><Relationship Id="rId14" Type="http://schemas.openxmlformats.org/officeDocument/2006/relationships/hyperlink" Target="http://www.nevo.co.il/law/98569" TargetMode="External"/><Relationship Id="rId15" Type="http://schemas.openxmlformats.org/officeDocument/2006/relationships/hyperlink" Target="http://www.nevo.co.il/law/98569/10a" TargetMode="External"/><Relationship Id="rId16" Type="http://schemas.openxmlformats.org/officeDocument/2006/relationships/hyperlink" Target="http://www.nevo.co.il/law/98569" TargetMode="External"/><Relationship Id="rId17" Type="http://schemas.openxmlformats.org/officeDocument/2006/relationships/hyperlink" Target="http://www.nevo.co.il/law/98569/10a.d" TargetMode="External"/><Relationship Id="rId18" Type="http://schemas.openxmlformats.org/officeDocument/2006/relationships/hyperlink" Target="http://www.nevo.co.il/law/98569" TargetMode="External"/><Relationship Id="rId19" Type="http://schemas.openxmlformats.org/officeDocument/2006/relationships/hyperlink" Target="http://www.nevo.co.il/case/20803781" TargetMode="External"/><Relationship Id="rId20" Type="http://schemas.openxmlformats.org/officeDocument/2006/relationships/hyperlink" Target="http://www.nevo.co.il/law/70301/329.a.1" TargetMode="External"/><Relationship Id="rId21" Type="http://schemas.openxmlformats.org/officeDocument/2006/relationships/hyperlink" Target="http://www.nevo.co.il/law/70301/186.a" TargetMode="External"/><Relationship Id="rId22" Type="http://schemas.openxmlformats.org/officeDocument/2006/relationships/hyperlink" Target="http://www.nevo.co.il/law/70301" TargetMode="External"/><Relationship Id="rId23" Type="http://schemas.openxmlformats.org/officeDocument/2006/relationships/hyperlink" Target="http://www.nevo.co.il/law/98569/10a" TargetMode="External"/><Relationship Id="rId24" Type="http://schemas.openxmlformats.org/officeDocument/2006/relationships/hyperlink" Target="http://www.nevo.co.il/law/98569" TargetMode="External"/><Relationship Id="rId25" Type="http://schemas.openxmlformats.org/officeDocument/2006/relationships/hyperlink" Target="http://www.nevo.co.il/law/98569/10a.d" TargetMode="External"/><Relationship Id="rId26" Type="http://schemas.openxmlformats.org/officeDocument/2006/relationships/hyperlink" Target="http://www.nevo.co.il/law/98569" TargetMode="External"/><Relationship Id="rId27" Type="http://schemas.openxmlformats.org/officeDocument/2006/relationships/hyperlink" Target="http://www.nevo.co.il/law/98569/9" TargetMode="External"/><Relationship Id="rId28" Type="http://schemas.openxmlformats.org/officeDocument/2006/relationships/hyperlink" Target="http://www.nevo.co.il/law/98569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40ja" TargetMode="External"/><Relationship Id="rId31" Type="http://schemas.openxmlformats.org/officeDocument/2006/relationships/hyperlink" Target="http://www.nevo.co.il/law/98569/10a" TargetMode="External"/><Relationship Id="rId32" Type="http://schemas.openxmlformats.org/officeDocument/2006/relationships/hyperlink" Target="http://www.nevo.co.il/law/98569" TargetMode="External"/><Relationship Id="rId33" Type="http://schemas.openxmlformats.org/officeDocument/2006/relationships/hyperlink" Target="http://www.nevo.co.il/case/5731264" TargetMode="External"/><Relationship Id="rId34" Type="http://schemas.openxmlformats.org/officeDocument/2006/relationships/hyperlink" Target="http://www.nevo.co.il/case/22302856" TargetMode="External"/><Relationship Id="rId35" Type="http://schemas.openxmlformats.org/officeDocument/2006/relationships/hyperlink" Target="http://www.nevo.co.il/law/98569/10a.d" TargetMode="External"/><Relationship Id="rId36" Type="http://schemas.openxmlformats.org/officeDocument/2006/relationships/hyperlink" Target="http://www.nevo.co.il/law/98569" TargetMode="External"/><Relationship Id="rId37" Type="http://schemas.openxmlformats.org/officeDocument/2006/relationships/hyperlink" Target="http://www.nevo.co.il/case/5873204" TargetMode="External"/><Relationship Id="rId38" Type="http://schemas.openxmlformats.org/officeDocument/2006/relationships/hyperlink" Target="http://www.nevo.co.il/case/17920761" TargetMode="External"/><Relationship Id="rId39" Type="http://schemas.openxmlformats.org/officeDocument/2006/relationships/hyperlink" Target="http://www.nevo.co.il/case/6139775" TargetMode="External"/><Relationship Id="rId40" Type="http://schemas.openxmlformats.org/officeDocument/2006/relationships/hyperlink" Target="http://www.nevo.co.il/case/21740522" TargetMode="External"/><Relationship Id="rId41" Type="http://schemas.openxmlformats.org/officeDocument/2006/relationships/hyperlink" Target="http://www.court.gov.il/" TargetMode="External"/><Relationship Id="rId42" Type="http://schemas.openxmlformats.org/officeDocument/2006/relationships/hyperlink" Target="http://www.nevo.co.il/advertisements/nevo-100.doc" TargetMode="External"/><Relationship Id="rId43" Type="http://schemas.openxmlformats.org/officeDocument/2006/relationships/header" Target="header1.xml"/><Relationship Id="rId44" Type="http://schemas.openxmlformats.org/officeDocument/2006/relationships/footer" Target="footer1.xml"/><Relationship Id="rId45" Type="http://schemas.openxmlformats.org/officeDocument/2006/relationships/numbering" Target="numbering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2018-01-28T09:41:00Z</dcterms:created>
  <dc:creator> </dc:creator>
  <dc:description/>
  <cp:keywords/>
  <dc:language>en-IL</dc:language>
  <cp:lastModifiedBy>orly</cp:lastModifiedBy>
  <cp:lastPrinted>2018-01-24T09:08:00Z</cp:lastPrinted>
  <dcterms:modified xsi:type="dcterms:W3CDTF">2018-01-28T09:41:00Z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כמאל טהה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ישראל;ה.ט - המתלונן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20803781:2;5731264;22302856;5873204;17920761;6139775;21740522</vt:lpwstr>
  </property>
  <property fmtid="{D5CDD505-2E9C-101B-9397-08002B2CF9AE}" pid="9" name="CITY">
    <vt:lpwstr/>
  </property>
  <property fmtid="{D5CDD505-2E9C-101B-9397-08002B2CF9AE}" pid="10" name="DATE">
    <vt:lpwstr>20180124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נ' סולברג;ע' ברון;י' אלרון</vt:lpwstr>
  </property>
  <property fmtid="{D5CDD505-2E9C-101B-9397-08002B2CF9AE}" pid="14" name="LAWLISTTMP1">
    <vt:lpwstr>70301/329.a.1;186.a;40ja</vt:lpwstr>
  </property>
  <property fmtid="{D5CDD505-2E9C-101B-9397-08002B2CF9AE}" pid="15" name="LAWLISTTMP2">
    <vt:lpwstr>98569/010a:2;010a.d:2;009</vt:lpwstr>
  </property>
  <property fmtid="{D5CDD505-2E9C-101B-9397-08002B2CF9AE}" pid="16" name="LAWYER">
    <vt:lpwstr>עילית מידן;מוסטפא יחיא;ברכה וייס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ראיות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דיון פלילי</vt:lpwstr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89;77;77;18</vt:lpwstr>
  </property>
  <property fmtid="{D5CDD505-2E9C-101B-9397-08002B2CF9AE}" pid="38" name="NOSE21">
    <vt:lpwstr>הודעה</vt:lpwstr>
  </property>
  <property fmtid="{D5CDD505-2E9C-101B-9397-08002B2CF9AE}" pid="39" name="NOSE210">
    <vt:lpwstr/>
  </property>
  <property fmtid="{D5CDD505-2E9C-101B-9397-08002B2CF9AE}" pid="40" name="NOSE22">
    <vt:lpwstr>עבירות</vt:lpwstr>
  </property>
  <property fmtid="{D5CDD505-2E9C-101B-9397-08002B2CF9AE}" pid="41" name="NOSE23">
    <vt:lpwstr>ענישה</vt:lpwstr>
  </property>
  <property fmtid="{D5CDD505-2E9C-101B-9397-08002B2CF9AE}" pid="42" name="NOSE24">
    <vt:lpwstr>ערעור</vt:lpwstr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1623;1443;1446;504</vt:lpwstr>
  </property>
  <property fmtid="{D5CDD505-2E9C-101B-9397-08002B2CF9AE}" pid="49" name="NOSE31">
    <vt:lpwstr>מחוץ לכותלי בית-המשפט</vt:lpwstr>
  </property>
  <property fmtid="{D5CDD505-2E9C-101B-9397-08002B2CF9AE}" pid="50" name="NOSE310">
    <vt:lpwstr/>
  </property>
  <property fmtid="{D5CDD505-2E9C-101B-9397-08002B2CF9AE}" pid="51" name="NOSE32">
    <vt:lpwstr>חבלה בכוונה מחמירה</vt:lpwstr>
  </property>
  <property fmtid="{D5CDD505-2E9C-101B-9397-08002B2CF9AE}" pid="52" name="NOSE33">
    <vt:lpwstr>מדיניות ענישה: עבירות אלימות</vt:lpwstr>
  </property>
  <property fmtid="{D5CDD505-2E9C-101B-9397-08002B2CF9AE}" pid="53" name="NOSE34">
    <vt:lpwstr>אי-התערבות במידת העונש</vt:lpwstr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10088;8830;8984;17039</vt:lpwstr>
  </property>
  <property fmtid="{D5CDD505-2E9C-101B-9397-08002B2CF9AE}" pid="60" name="PADIDATE">
    <vt:lpwstr>20180128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9928</vt:lpwstr>
  </property>
  <property fmtid="{D5CDD505-2E9C-101B-9397-08002B2CF9AE}" pid="66" name="PROCYEAR">
    <vt:lpwstr>16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410120180124</vt:lpwstr>
  </property>
  <property fmtid="{D5CDD505-2E9C-101B-9397-08002B2CF9AE}" pid="70" name="TYPE_N_DATE">
    <vt:lpwstr>41020180124</vt:lpwstr>
  </property>
  <property fmtid="{D5CDD505-2E9C-101B-9397-08002B2CF9AE}" pid="71" name="VOLUME">
    <vt:lpwstr/>
  </property>
  <property fmtid="{D5CDD505-2E9C-101B-9397-08002B2CF9AE}" pid="72" name="WORDNUMPAGES">
    <vt:lpwstr>12</vt:lpwstr>
  </property>
</Properties>
</file>