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9954/17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אנסטס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4913-07-16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427"/>
        <w:gridCol w:w="851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42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25.03.18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8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אהרונוב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ייחודיות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ייחודיות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אעפ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פתולוגית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ששללו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פתולוגית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שהמומחים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וממקצועיותם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המומחים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ייחודיות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שנלוותה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והתאמות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הייחודיות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צמיתים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שנגרמו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להסתבכותו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ותפקד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8"/>
          <w:szCs w:val="12"/>
        </w:rPr>
      </w:pPr>
      <w:r>
        <w:rPr>
          <w:rFonts w:cs="FrankRuehl" w:ascii="FrankRuehl" w:hAnsi="FrankRuehl"/>
          <w:sz w:val="8"/>
          <w:szCs w:val="1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ערעור על גזר דינו של בית המשפט המחוזי מרכז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לוד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השופטת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4913-07-16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>בגדרו הושתו על המערער שש שנות מאסר לריצוי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על תנאי שלא יעבור בתוך שלוש שנים מיום שחרורו ממאסרו עבירת אלימות מסוג פשע או עבירת הצתה לפי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חודשי מאסר על תנאי שלא יעבור בתוך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מיום שחרורו עבירות אלימות מסוג עוון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לרבות איומים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כמו כן חוייב המערער בתשלום פיצויים בסכום כולל של </w:t>
      </w:r>
      <w:r>
        <w:rPr>
          <w:rFonts w:cs="Times New Roman" w:ascii="Times New Roman" w:hAnsi="Times New Roman"/>
        </w:rPr>
        <w:t>47,500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עד ליום </w:t>
      </w:r>
      <w:r>
        <w:rPr>
          <w:rFonts w:cs="Times New Roman" w:ascii="Times New Roman" w:hAnsi="Times New Roman"/>
        </w:rPr>
        <w:t>1.5.2018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כתב האישום המתוקן בשנית מתאר אירוע אלימות קשה שביצע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שלהלן תיאורו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בשעות אחר הצהריים של יום </w:t>
      </w:r>
      <w:r>
        <w:rPr>
          <w:rFonts w:cs="Times New Roman" w:ascii="Times New Roman" w:hAnsi="Times New Roman"/>
        </w:rPr>
        <w:t>26.6.2016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נכנס המערער לחנות סופר בראשון לציון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החנות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כשהוא אוחז במברגה אשר קצה ראשה עשוי ברזל מחודד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המברגה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מבלי כל סיבה נראית לעין תקף המערער תחילה עובד בחנות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בכך שהכה אותו באמצעות המברגה בלחיו השמאלית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בהמשך עלה המערער לקומה השניה של החנות שם ממוקמים משרדי החנות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באחד המשרדים תקף המערער עובד נוסף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בכך שהיכה בראשו פעמיים באמצעות המברגה ומיד לאחר מכן הפעיל את המברגה וקדח באמצעותה בעינו השמאלית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ניסה להתחמק מהמערער אך זה המשיך לרדוף אחריו בכוונה לפגוע בו עד שלבסוף הצליח 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לברוח מהמקום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בהמשך עלה המערער על שולחן במקום ונתלה עם גופו על התקרה הצפה עד שהביא לקריסה של חלק מהתקרה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נפל מהתקרה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התיישב בכיסא מאחורי שולחן וחסם באמצעות השולחן את דלת המשרד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 הצית באמצעות מצית ניירות שהיו על השולחן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הניירות התלקחו ובערו וגרמו לעשן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המערער חדל ממעשיו רק עם בוא השוטרים למקום כשאקדחים שלופים בידיהם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כתוצאה ממעשי המערער נגרמו לעובד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חתך באורך של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 בראשו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קרע בדרכי הדמעות העליונים בעין השמאלית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חבלה חודרת סמוך לעין שמאל ושברים מרוסקים ברצפת העין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בעקבות הפגיעה 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אושפז למשך תקופה של 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ימים ונזקק לשחזור דרכי הדמעות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לעובד א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נגרם חתך באורך של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 בלחיו השמאלית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המערער הודה בעובדות אלו והורשע בביצוע העבירות הבאות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חבלה חמורה בנסיבות מחמירות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בנסיבות </w:t>
      </w:r>
      <w:hyperlink r:id="rId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פציעה בנסיבות מחמירות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בנסיבות </w:t>
      </w:r>
      <w:hyperlink r:id="rId2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335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הצתה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לפי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448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והיזק בזדון </w:t>
      </w:r>
      <w:r>
        <w:rPr>
          <w:rFonts w:cs="Times New Roman" w:ascii="Times New Roman" w:hAnsi="Times New Roman"/>
          <w:rtl w:val="true"/>
        </w:rPr>
        <w:t>(</w:t>
      </w:r>
      <w:hyperlink r:id="rId2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452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בית המשפט דחה את טענת ההגנה כי המעשים בוצעו על ידי המערער על רקע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שכרות פתלוגית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וקרבה לסייג אי שפיות הדעת והעדיף את עמדת מומחה התביעה לפיה המעשים בוצעו על רקע שתיית אלכוהול והרעלה עצמית רצונית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שאינה מקימה קרבה לסייג לפי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'(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בהתייחסו לנסיבות ביצוע העבירות קבע בית המשפט כי מדובר באירוע חמור במהלכו נפגעו שני קורבנות על לא עוול בכפם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כי הפגיעות הפיסיות והנפשיות שנותרו אצל 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הן צמיתות וקשות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ביצוע המעשים על רקע שתיית אלכוהול רצונית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שימוש בכלי בו קיים פוטנציאל לגרימת נזק הן נסיבות לחומרא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שעמד על התוצאות הקשות של מעשי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וסקר פסיקה רלבנטית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מתחם ענישה שנע בין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לנוכח הודיית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הבעת הצער והחרטה מצדו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העדר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גזר בית המשפט את דינו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לריצוי בפועל וחייב אותו בתשלום פיצויים לעובד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בסך </w:t>
      </w:r>
      <w:r>
        <w:rPr>
          <w:rFonts w:cs="Times New Roman" w:ascii="Times New Roman" w:hAnsi="Times New Roman"/>
        </w:rPr>
        <w:t>40,000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ולעובד א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 xml:space="preserve">סך של </w:t>
      </w:r>
      <w:r>
        <w:rPr>
          <w:rFonts w:cs="Times New Roman" w:ascii="Times New Roman" w:hAnsi="Times New Roman"/>
        </w:rPr>
        <w:t>7,500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בהודעת הערעור שבכתב התמקדה באת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כוחו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הקודמת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של המערער בתקיפת קביעת בית המשפט המחוזי שדחתה את טענת ההגנה שהמעשה נעשה על רקע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שכרות פתולוגית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וקרבה לסייג לפי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ט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לגישתה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טעה בית המשפט המחוזי בדחיית הטענה אף שההגנה הצליחה בהוכחת הטענה בהתבסס על חוות דעתו של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פוקס שהעיד כעד מומחה מטעם ההגנה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בטיעון שבעל פה התמקד הטיעון במדיניות הענישה הנוהגת וכפי שאוזכרה על ידי בית המשפט המחוזי כאחד הקריטריונים לקביעת מתחם הענישה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בנסיבותיו האישיות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בהודאתו המהירה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בעברו הנקי ובתשלום הפיצויים המיידי לאחר מתן גזר הדין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ובהתחשב בכל אלה ביקשה באת כוחו הנוכחית כי נקל בדינו של המערער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המשיבה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מצידה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ביקשה לדחות את הערעור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לשיטתה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משנקבע כי אין המדובר בתסמינים של הפרעה פסיכיאטרית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כל מקום לטעון לקירבה לסייג לאחריות הפלילית והדברים נדונו בהרחבה בגזר דינו של בית המשפט קמא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גם מתחם הענישה שנקבע הולם את מעשיו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שהוכתרו על ידי בית המשפט המחוזי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סרט אימה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המתלונן העיקרי העיד לפני בית משפט קמא על חוויותיו ועל נזקיו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אובדן מקום העבודה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חיים בצל חרדה ואי חזרה לתפקוד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גם העובדה כי הפיצוי שולם במלואו אינה מצדיקה הקלה בעונשו של המערער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תחילה אדון בטענה המשפטית שעלתה בנימוקי הערעור הכתובים והנוגעת לשאלת התקיימות הקרבה לסייג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עיון בגזר דינו של בית המשפט המחוזי מעלה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בהכריעו בשאלה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העדיף בית המשפט את חוות דעתה של הפסיכיאטרית המחוזית מטעם התביעה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חוות דעת מיום </w:t>
      </w:r>
      <w:r>
        <w:rPr>
          <w:rFonts w:cs="Times New Roman" w:ascii="Times New Roman" w:hAnsi="Times New Roman"/>
        </w:rPr>
        <w:t>3.8.2016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וחוות דעת מיום </w:t>
      </w:r>
      <w:r>
        <w:rPr>
          <w:rFonts w:cs="Times New Roman" w:ascii="Times New Roman" w:hAnsi="Times New Roman"/>
        </w:rPr>
        <w:t>11.9.2016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ששללו אפשרות של קרבה לסייג על פני חוות דעתו ועדותו של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פוקס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המומחה מטעם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שטען לקיומה של שכרות פתולוגית וקרבה לסייג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בפסקאות </w:t>
      </w:r>
      <w:r>
        <w:rPr>
          <w:rFonts w:cs="Times New Roman" w:ascii="Times New Roman" w:hAnsi="Times New Roman"/>
        </w:rPr>
        <w:t>25-24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לגזר הדין מפרט בית המשפט המחוזי את הנימוקים שהביאו אותו למסקנה זו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בין היתר מסביר בית המשפט כי עריכת בדיקה פסיכיאטרית בודדת אחת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ידי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פוקס ושימושו באבחנה שאין לה תיקוף וגיבוש מסקנתו על רקע צורך למתן הסבר להתנהגות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שנראתה לו כביזארית הם נימוקים מספיקים כדי שלא לסמוך על חוות דעתו ועדותו של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ר פוקס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ציין בית המשפט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מומחה ההגנה ד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ר פוקס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לא יכול היה למסור פרטים של המקרים הספורים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 xml:space="preserve">של שכרות פתולוגית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ג</w:t>
      </w:r>
      <w:r>
        <w:rPr>
          <w:rFonts w:cs="Times New Roman" w:ascii="Times New Roman" w:hAnsi="Times New Roman"/>
          <w:rtl w:val="true"/>
        </w:rPr>
        <w:t>'.</w:t>
      </w:r>
      <w:r>
        <w:rPr>
          <w:rFonts w:ascii="Times New Roman" w:hAnsi="Times New Roman" w:cs="Times New Roman"/>
          <w:rtl w:val="true"/>
        </w:rPr>
        <w:t>ק</w:t>
      </w:r>
      <w:r>
        <w:rPr>
          <w:rFonts w:cs="Times New Roman" w:ascii="Times New Roman" w:hAnsi="Times New Roman"/>
          <w:rtl w:val="true"/>
        </w:rPr>
        <w:t xml:space="preserve">.] </w:t>
      </w:r>
      <w:r>
        <w:rPr>
          <w:rFonts w:ascii="Times New Roman" w:hAnsi="Times New Roman" w:cs="Times New Roman"/>
          <w:rtl w:val="true"/>
        </w:rPr>
        <w:t xml:space="preserve">בהם נתקל מלפני </w:t>
      </w:r>
      <w:r>
        <w:rPr>
          <w:rFonts w:cs="Times New Roman" w:ascii="Times New Roman" w:hAnsi="Times New Roman"/>
        </w:rPr>
        <w:t>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שנה </w:t>
      </w:r>
      <w:r>
        <w:rPr>
          <w:rFonts w:cs="Times New Roman" w:ascii="Times New Roman" w:hAnsi="Times New Roman"/>
          <w:rtl w:val="true"/>
        </w:rPr>
        <w:t xml:space="preserve">... </w:t>
      </w:r>
      <w:r>
        <w:rPr>
          <w:rFonts w:ascii="Times New Roman" w:hAnsi="Times New Roman" w:cs="Times New Roman"/>
          <w:rtl w:val="true"/>
        </w:rPr>
        <w:t>ולא יכול היה לבסס קיומם של קריטריונים המבססים את האבחנה העכשוויות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כאשר מדובר באבחנה נדירה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מאידך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חוות הדעת שנמסרו על ידי הפסיכיאטרית המחוזית היו מבוססות על בדיקות קליניות חוזרות מתקופת ההסתכלות באשפוז ותוצאות אבחון פסיכודיאגנוסטיים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לאור קביעות אלה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אימץ בית המשפט המחוזי את ממצאי חוות הדעת של התביעה ודחה את חוות הדעת ועדות ההגנה בקביעה נוקבת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שלא ניתן לאמץ את חוות דעת מומחה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בכל מקרה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המצב הוא שהנאשם לא עמד ברף ההוכחה הנדרש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על כן אני קובעת כי הנאשם לא הוכיח קירבה לסייג לאחריות פלילית </w:t>
      </w:r>
      <w:r>
        <w:rPr>
          <w:rFonts w:cs="Times New Roman" w:ascii="Times New Roman" w:hAnsi="Times New Roman"/>
          <w:rtl w:val="true"/>
        </w:rPr>
        <w:t xml:space="preserve">...". </w:t>
      </w:r>
      <w:r>
        <w:rPr>
          <w:rFonts w:ascii="Times New Roman" w:hAnsi="Times New Roman" w:cs="Times New Roman"/>
          <w:rtl w:val="true"/>
        </w:rPr>
        <w:t>לא מצאתי מקום להתערב בקביעותיו של בית המשפט המחוזי לעניין העדפת גרסת מומחה התביעה על פני גרסת מומחה ההגנה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שכן הלכה ידועה היא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בנקל תתערב ערכאת הערעור בממצאים עובדתיים שקבעה הערכאה הדיונית ובכלל זה העדפת חוות דעתו המקצועית של מומחה אחד על פני משנהו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שעה שהמומחים נחקרו ועומתו עם חוות דעתם ולערכאה הדיונית היתה האפשרות להתרשם ממהימנותם וממקצועיותם של המומחים</w:t>
      </w:r>
      <w:r>
        <w:rPr>
          <w:rFonts w:cs="Times New Roman" w:ascii="Times New Roman" w:hAnsi="Times New Roman"/>
          <w:rtl w:val="true"/>
        </w:rPr>
        <w:t>" (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7876/15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חמאמרה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30.8.2017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אחת מטענותיו העיקריות של המערער בערעור על חומרת העונש היתה כי לצורך קביעת מתחם הענישה הסתמך בית המשפט המחוזי על פסיקה שאינה דומה לעניינו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בנסיבות ביצועה ולא בתוצאותיה ושאין בה כדי ללמד על מדיניות הענישה הנוהגת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אין בידי לקבל טענה זו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המשפט המחוזי היה ער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ייחודיות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נסיבות המעשה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וציין בגזר דינו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ניתן היה לאתר בפסיקה מקרה אלימות דומה בו נאשם עשה שימוש במברגה כדי לפגוע באדם לא מוכר לו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לפיכך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נדרש בית המשפט למקרים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קלים יותר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שנעשו על ידי נאשמים שהיו בגילופין ללא שימוש במברגה ומבלי שנלוותה למעשה התקיפה מעשה הצתה שהסתיימו בפגיעות קשות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כדי ללמוד מהם על מידת העונש תוך עשיית האבחנות וההתאמות המתחייבות לענייננו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כאן המקום לשוב ולהזכיר את הוראת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40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עונש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לעקרון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המנחה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יתחשב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במדיניות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'"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מלשון הסעיף עולה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מדיניות הענישה הנוהגת הינה אך אחד מהשיקולים המשמשים בידי בית המשפט בקביעת מתחם העונש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שיקולים נוספים וביניהם נסיבות הקשורות בביצוע העבירה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דווקא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הייחודיות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של המקרה שלפנינו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שימוש המערער במברגה כדי לתקוף ללא סיבה אדם שאינו מוכר לו והותרת צלקות ונזקים צמיתים בגופו ובנפשו של מי שהותקף 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ובהמשך ביצוע הצתה במשרד 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cs="Times New Roman"/>
          <w:rtl w:val="true"/>
        </w:rPr>
        <w:t>מצדיקה מתן משקל משמעותי לנסיבות הקשורות בביצוע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נסיבות אלה אינן מן הקלות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בהינתן נסיבות חריגות אלה והצלקות הפיסיות והנפשיות שנותרו לעובד 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עקב ההתקפה מעוררת האימה שחווה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כשלמעשה זה קדמה תקיפה של עובד אחר באמצעות המברגה ובהמשך הצתת ניירות במשרד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נראה כי המתחם שנקבע בין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הולם את הנסיבות המיוחדות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את הערכים החברתיים שנפגעו ואת הנזקים שנגרמו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לאור עברו הנקי של המערער ובהינתן העובדה שעד להסתבכותו הנוכחית המערער עבד ותפקד ככל האדם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והתנהגותו כאן היתה בבחינת התנהגות חריגה שאינה אופיינית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והוא מתמודד עם רגשי אשם והביע חרטה עמוקה על כך שפגע באחרים ללא סיבה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כשהראיה לכך היא תשלום הפיצויים בהם חוייב על אתר והיות מאסרו זה מאסרו הראשון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אציע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נעמיד את עונשו בתחתית המתחם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 שעונשו של המערער יעמוד על חמש שנות מאסר תחת שש שנות מאסר ושיתר רכיבי גזר הדין ייוותרו בעינם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נשיאה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חיות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מסכימה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סולברג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לפיכך 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באייר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22.4.2018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5" w:name="Start_Write"/>
      <w:bookmarkStart w:id="16" w:name="Start_Write"/>
      <w:bookmarkEnd w:id="1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17099540</w:t>
      </w:r>
      <w:r>
        <w:rPr>
          <w:sz w:val="16"/>
          <w:rtl w:val="true"/>
        </w:rPr>
        <w:t>_</w:t>
      </w:r>
      <w:r>
        <w:rPr>
          <w:sz w:val="16"/>
        </w:rPr>
        <w:t>Q02.doc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54678313-9954/17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9954/17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אנסטס זילברשטיין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475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i.a.9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4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448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1547588" TargetMode="External"/><Relationship Id="rId15" Type="http://schemas.openxmlformats.org/officeDocument/2006/relationships/hyperlink" Target="http://www.nevo.co.il/law/70301/44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1" TargetMode="External"/><Relationship Id="rId19" Type="http://schemas.openxmlformats.org/officeDocument/2006/relationships/hyperlink" Target="http://www.nevo.co.il/law/70301/334" TargetMode="External"/><Relationship Id="rId20" Type="http://schemas.openxmlformats.org/officeDocument/2006/relationships/hyperlink" Target="http://www.nevo.co.il/law/70301/335.a.1" TargetMode="External"/><Relationship Id="rId21" Type="http://schemas.openxmlformats.org/officeDocument/2006/relationships/hyperlink" Target="http://www.nevo.co.il/law/70301/448.a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/40i.a.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i.a.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685046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2018-05-22T10:56:00Z</dcterms:created>
  <dc:creator> </dc:creator>
  <dc:description/>
  <cp:keywords/>
  <dc:language>en-IL</dc:language>
  <cp:lastModifiedBy>orly</cp:lastModifiedBy>
  <cp:lastPrinted>2018-04-16T16:00:00Z</cp:lastPrinted>
  <dcterms:modified xsi:type="dcterms:W3CDTF">2018-05-22T10:56:00Z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אנסטס זילברשטיין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ProcID=213&amp;PartA=25&amp;PartC=24</vt:lpwstr>
  </property>
  <property fmtid="{D5CDD505-2E9C-101B-9397-08002B2CF9AE}" pid="9" name="CASESLISTTMP1">
    <vt:lpwstr>21547588:2;20685046</vt:lpwstr>
  </property>
  <property fmtid="{D5CDD505-2E9C-101B-9397-08002B2CF9AE}" pid="10" name="CITY">
    <vt:lpwstr/>
  </property>
  <property fmtid="{D5CDD505-2E9C-101B-9397-08002B2CF9AE}" pid="11" name="DATE">
    <vt:lpwstr>20180422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סולברג;ג' קרא;ה א' חיות</vt:lpwstr>
  </property>
  <property fmtid="{D5CDD505-2E9C-101B-9397-08002B2CF9AE}" pid="15" name="LAWLISTTMP1">
    <vt:lpwstr>70301/448;333;335.a.1:2;334;448.a;452;040i.a.9:2;040c.a</vt:lpwstr>
  </property>
  <property fmtid="{D5CDD505-2E9C-101B-9397-08002B2CF9AE}" pid="16" name="LAWYER">
    <vt:lpwstr>סיגל בלום;איריס אהרונוב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</vt:lpwstr>
  </property>
  <property fmtid="{D5CDD505-2E9C-101B-9397-08002B2CF9AE}" pid="49" name="NOSE31">
    <vt:lpwstr>מתחם הענישה</vt:lpwstr>
  </property>
  <property fmtid="{D5CDD505-2E9C-101B-9397-08002B2CF9AE}" pid="50" name="NOSE310">
    <vt:lpwstr/>
  </property>
  <property fmtid="{D5CDD505-2E9C-101B-9397-08002B2CF9AE}" pid="51" name="NOSE32">
    <vt:lpwstr>מדיניות ענישה</vt:lpwstr>
  </property>
  <property fmtid="{D5CDD505-2E9C-101B-9397-08002B2CF9AE}" pid="52" name="NOSE33">
    <vt:lpwstr>שיקולי ענישה</vt:lpwstr>
  </property>
  <property fmtid="{D5CDD505-2E9C-101B-9397-08002B2CF9AE}" pid="53" name="NOSE34">
    <vt:lpwstr>אי-התערבות בהכרעה בין חוות דעת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14985;8981;15506;17424</vt:lpwstr>
  </property>
  <property fmtid="{D5CDD505-2E9C-101B-9397-08002B2CF9AE}" pid="60" name="PADIDATE">
    <vt:lpwstr>20180424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9954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410120180422</vt:lpwstr>
  </property>
  <property fmtid="{D5CDD505-2E9C-101B-9397-08002B2CF9AE}" pid="70" name="TYPE_N_DATE">
    <vt:lpwstr>41020180422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