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9965/17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בבאר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שבע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47265-04-17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6.11.2017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טיפול והשגחה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ך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תגרה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בנימוקי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שהוגבלו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לנזקי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תגובתם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המהירה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בהימנעות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מלשתף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ובהתקדמות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הממושך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תסייע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במניעת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ובהשבתו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רלוונטי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לפעול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פציעתו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הצליח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להניעו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דרסטית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אימפולסיביות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ומסוכנות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לחפוף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1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ערעור על גזר דינו של בית המשפט המחוזי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בבאר שבע בשבתו כבית משפט לנוער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השופט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)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</w:t>
      </w:r>
      <w:hyperlink r:id="rId12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47265-04-17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מיום </w:t>
      </w:r>
      <w:r>
        <w:rPr>
          <w:rFonts w:cs="Franklin Gothic Medium" w:ascii="Franklin Gothic Medium" w:hAnsi="Franklin Gothic Medium"/>
          <w:sz w:val="28"/>
        </w:rPr>
        <w:t>6.11.2017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בגדרו נגזרו על המערער </w:t>
      </w:r>
      <w:r>
        <w:rPr>
          <w:rFonts w:cs="Franklin Gothic Medium" w:ascii="Franklin Gothic Medium" w:hAnsi="Franklin Gothic Medium"/>
          <w:sz w:val="28"/>
        </w:rPr>
        <w:t>27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חודשי מאסר בפועל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cs="Franklin Gothic Medium" w:ascii="Franklin Gothic Medium" w:hAnsi="Franklin Gothic Medium"/>
          <w:sz w:val="28"/>
        </w:rPr>
        <w:t>9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חודשי מאסר על תנאי למשך שלוש שנים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לבל יעבור עבירה לפי </w:t>
      </w:r>
      <w:hyperlink r:id="rId13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448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</w:t>
      </w:r>
      <w:hyperlink r:id="rId14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התשל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ז</w:t>
      </w:r>
      <w:r>
        <w:rPr>
          <w:rFonts w:cs="Franklin Gothic Medium" w:ascii="Franklin Gothic Medium" w:hAnsi="Franklin Gothic Medium"/>
          <w:sz w:val="28"/>
          <w:rtl w:val="true"/>
        </w:rPr>
        <w:t>-</w:t>
      </w:r>
      <w:r>
        <w:rPr>
          <w:rFonts w:cs="Franklin Gothic Medium" w:ascii="Franklin Gothic Medium" w:hAnsi="Franklin Gothic Medium"/>
          <w:sz w:val="28"/>
        </w:rPr>
        <w:t>1977</w:t>
      </w:r>
      <w:r>
        <w:rPr>
          <w:rFonts w:cs="Franklin Gothic Medium" w:ascii="Franklin Gothic Medium" w:hAnsi="Franklin Gothic Medium"/>
          <w:sz w:val="28"/>
          <w:rtl w:val="true"/>
        </w:rPr>
        <w:t xml:space="preserve"> 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להלן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cs="Franklin Gothic Medium" w:ascii="Franklin Gothic Medium" w:hAnsi="Franklin Gothic Medium"/>
          <w:sz w:val="28"/>
          <w:rtl w:val="true"/>
        </w:rPr>
        <w:t>);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cs="Franklin Gothic Medium" w:ascii="Franklin Gothic Medium" w:hAnsi="Franklin Gothic Medium"/>
          <w:sz w:val="28"/>
        </w:rPr>
        <w:t>6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חודשי מאסר על תנאי למשך שלוש שנים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לבל יעבור על אחת מן העבירות שבהן הורשע או על עבירה לפי </w:t>
      </w:r>
      <w:hyperlink r:id="rId15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452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 העונשין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כן קנס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כספי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בסך </w:t>
      </w:r>
      <w:r>
        <w:rPr>
          <w:rFonts w:cs="Franklin Gothic Medium" w:ascii="Franklin Gothic Medium" w:hAnsi="Franklin Gothic Medium"/>
          <w:sz w:val="28"/>
        </w:rPr>
        <w:t>3000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ח או </w:t>
      </w:r>
      <w:r>
        <w:rPr>
          <w:rFonts w:cs="Franklin Gothic Medium" w:ascii="Franklin Gothic Medium" w:hAnsi="Franklin Gothic Medium"/>
          <w:sz w:val="28"/>
        </w:rPr>
        <w:t>20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ימי מאסר תמורתו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כמו כן הופעל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מאסר מותנה בן </w:t>
      </w:r>
      <w:r>
        <w:rPr>
          <w:rFonts w:cs="Franklin Gothic Medium" w:ascii="Franklin Gothic Medium" w:hAnsi="Franklin Gothic Medium"/>
          <w:sz w:val="28"/>
        </w:rPr>
        <w:t>5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חודשים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שהוטל על המערער ב</w:t>
      </w:r>
      <w:hyperlink r:id="rId16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48010-11-15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בחופף לעונש המאסר שהוטל לריצוי בפועל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להליך </w:t>
      </w:r>
      <w:r>
        <w:rPr>
          <w:rFonts w:cs="Franklin Gothic Medium" w:ascii="Franklin Gothic Medium" w:hAnsi="Franklin Gothic Medium"/>
          <w:sz w:val="28"/>
        </w:rPr>
        <w:t>3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תיקים נוספים אשר היו תלויים ועומדים נגדו באותה העת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במסגרת כתבי האישום יוחסו למערער עבירות שונות אשר בוצעו על ידו בהיותו קטין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כפי שיפורט בהמשך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3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על פי עובדות כתב האישום המתוקן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מושא </w:t>
      </w:r>
      <w:r>
        <w:rPr>
          <w:rtl w:val="true"/>
        </w:rPr>
        <w:t>ההליך דנן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במועד לא ידוע שקדם ליום </w:t>
      </w:r>
      <w:r>
        <w:rPr>
          <w:rFonts w:cs="Arial TUR;Arial" w:ascii="Arial TUR;Arial" w:hAnsi="Arial TUR;Arial"/>
          <w:sz w:val="22"/>
        </w:rPr>
        <w:t>30.3.2017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קבע המערער עם תמיר שיטרית ודורון אפרמוב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בהתאמה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השותפים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בהופיעם יחד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ascii="Arial TUR;Arial" w:hAnsi="Arial TUR;Arial" w:cs="Arial TUR;Arial"/>
          <w:sz w:val="22"/>
          <w:sz w:val="22"/>
          <w:rtl w:val="true"/>
        </w:rPr>
        <w:t>להצית מבנה עשוי פלסטיק אשר נמצא בקומת הקרקע בבניין דירות דו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קומתי באשדוד שבו התגוררה סבתו של המערער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המבנה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בתקופה המתוארת בכתב האישום התגורר במבנה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לפרקים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בן דודו של 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tl w:val="true"/>
        </w:rPr>
        <w:t>אשר בינו לבין המערער פרץ סכסוך בסמוך לביצוע ההצתה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30.3.2017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הגיעו השותפים</w:t>
      </w:r>
      <w:r>
        <w:rPr>
          <w:rtl w:val="true"/>
        </w:rPr>
        <w:t xml:space="preserve">, </w:t>
      </w:r>
      <w:r>
        <w:rPr>
          <w:rtl w:val="true"/>
        </w:rPr>
        <w:t>בהנחייתו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אל תחנת הדלק </w:t>
      </w:r>
      <w:r>
        <w:rPr>
          <w:rtl w:val="true"/>
        </w:rPr>
        <w:t>"</w:t>
      </w:r>
      <w:r>
        <w:rPr>
          <w:rtl w:val="true"/>
        </w:rPr>
        <w:t>סונול</w:t>
      </w:r>
      <w:r>
        <w:rPr>
          <w:rtl w:val="true"/>
        </w:rPr>
        <w:t xml:space="preserve">"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  <w:r>
        <w:rPr>
          <w:rtl w:val="true"/>
        </w:rPr>
        <w:t>לאחר שמילאו דלק בשני בקבוקים במטרה להצית באמצעותו את המבנה</w:t>
      </w:r>
      <w:r>
        <w:rPr>
          <w:rtl w:val="true"/>
        </w:rPr>
        <w:t xml:space="preserve">, </w:t>
      </w:r>
      <w:r>
        <w:rPr>
          <w:rtl w:val="true"/>
        </w:rPr>
        <w:t>צעדו לעבר המבנה כשכל אחד מהם אוחז בידו בקבוק ובו החומר הדליק</w:t>
      </w:r>
      <w:r>
        <w:rPr>
          <w:rtl w:val="true"/>
        </w:rPr>
        <w:t xml:space="preserve">. </w:t>
      </w:r>
      <w:r>
        <w:rPr>
          <w:rtl w:val="true"/>
        </w:rPr>
        <w:t>תמיר נכנס אל המבנה ודורון עמד בסמוך לו</w:t>
      </w:r>
      <w:r>
        <w:rPr>
          <w:rtl w:val="true"/>
        </w:rPr>
        <w:t xml:space="preserve">. </w:t>
      </w:r>
      <w:r>
        <w:rPr>
          <w:rtl w:val="true"/>
        </w:rPr>
        <w:t>המערער שוחח עם תמיר טלפונית והנחה אותו כיצד לבצע את ההצתה</w:t>
      </w:r>
      <w:r>
        <w:rPr>
          <w:rtl w:val="true"/>
        </w:rPr>
        <w:t xml:space="preserve">. </w:t>
      </w:r>
      <w:r>
        <w:rPr>
          <w:rtl w:val="true"/>
        </w:rPr>
        <w:t>תמיר פעל בהתאם להנחיותיו של המערער</w:t>
      </w:r>
      <w:r>
        <w:rPr>
          <w:rtl w:val="true"/>
        </w:rPr>
        <w:t xml:space="preserve">, </w:t>
      </w:r>
      <w:r>
        <w:rPr>
          <w:rtl w:val="true"/>
        </w:rPr>
        <w:t>שפך את החומר הדליק בתוך המבנה והצית אותו באמצעות גפרור</w:t>
      </w:r>
      <w:r>
        <w:rPr>
          <w:rtl w:val="true"/>
        </w:rPr>
        <w:t xml:space="preserve">. </w:t>
      </w:r>
      <w:r>
        <w:rPr>
          <w:rtl w:val="true"/>
        </w:rPr>
        <w:t>המערער שמע את המתרחש בטלפון ווידא את ביצוע ההצתה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והתפשטה</w:t>
      </w:r>
      <w:r>
        <w:rPr>
          <w:rtl w:val="true"/>
        </w:rPr>
        <w:t xml:space="preserve">,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ומשטרה</w:t>
      </w:r>
      <w:r>
        <w:rPr>
          <w:rtl w:val="true"/>
        </w:rPr>
        <w:t xml:space="preserve">, </w:t>
      </w:r>
      <w:r>
        <w:rPr>
          <w:rtl w:val="true"/>
        </w:rPr>
        <w:t>שהוזעקו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כיבו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ניזוקו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והחיצוניים</w:t>
      </w:r>
      <w:r>
        <w:rPr>
          <w:rtl w:val="true"/>
        </w:rPr>
        <w:t xml:space="preserve">, </w:t>
      </w:r>
      <w:r>
        <w:rPr>
          <w:rtl w:val="true"/>
        </w:rPr>
        <w:t>בחלונות</w:t>
      </w:r>
      <w:r>
        <w:rPr>
          <w:rtl w:val="true"/>
        </w:rPr>
        <w:t xml:space="preserve">, </w:t>
      </w:r>
      <w:r>
        <w:rPr>
          <w:rtl w:val="true"/>
        </w:rPr>
        <w:t>בתריסים</w:t>
      </w:r>
      <w:r>
        <w:rPr>
          <w:rtl w:val="true"/>
        </w:rPr>
        <w:t xml:space="preserve">, </w:t>
      </w:r>
      <w:r>
        <w:rPr>
          <w:rtl w:val="true"/>
        </w:rPr>
        <w:t>בצנרת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", </w:t>
      </w:r>
      <w:r>
        <w:rPr>
          <w:rtl w:val="true"/>
        </w:rPr>
        <w:t>ואושפז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51319-02-16</w:t>
        </w:r>
      </w:hyperlink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28.2.2015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הפריע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tl w:val="true"/>
        </w:rPr>
        <w:t xml:space="preserve">)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והתנגד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7376-07-16</w:t>
        </w:r>
      </w:hyperlink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16.2.16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מונד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55322-12-16</w:t>
        </w:r>
      </w:hyperlink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16.3.2016</w:t>
      </w:r>
      <w:r>
        <w:rPr>
          <w:rtl w:val="true"/>
        </w:rPr>
        <w:t xml:space="preserve">, </w:t>
      </w:r>
      <w:r>
        <w:rPr>
          <w:rtl w:val="true"/>
        </w:rPr>
        <w:t>התקוטט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5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ביום </w:t>
      </w:r>
      <w:r>
        <w:rPr>
          <w:rFonts w:cs="Franklin Gothic Medium" w:ascii="Franklin Gothic Medium" w:hAnsi="Franklin Gothic Medium"/>
          <w:sz w:val="28"/>
        </w:rPr>
        <w:t>6.7.2017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הורשע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המערער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על פי הודאתו במסגרת הסדר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טיעון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בעבירות של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הצתה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20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448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רישא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</w:t>
      </w:r>
      <w:hyperlink r:id="rId21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Franklin Gothic Medium" w:ascii="Franklin Gothic Medium" w:hAnsi="Franklin Gothic Medium"/>
          <w:sz w:val="28"/>
          <w:rtl w:val="true"/>
        </w:rPr>
        <w:t>;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הפרעה לשוטר בשעת מילוי תפקידו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22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275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העונשין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תגרה במקום ציבורי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23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191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 העונשין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החזקת סכין שלא כדין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לפי </w:t>
      </w:r>
      <w:hyperlink r:id="rId24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186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)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לחוק העונשין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עונ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lin Gothic Medium" w:ascii="Franklin Gothic Medium" w:hAnsi="Franklin Gothic Medium"/>
          <w:sz w:val="28"/>
        </w:rPr>
        <w:t>7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בתסקיר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שירות המבחן לנוער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שהוגש לבית משפט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קמא ביום </w:t>
      </w:r>
      <w:r>
        <w:rPr>
          <w:rFonts w:cs="Franklin Gothic Medium" w:ascii="Franklin Gothic Medium" w:hAnsi="Franklin Gothic Medium"/>
          <w:sz w:val="28"/>
        </w:rPr>
        <w:t>16.5.2017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והשגחה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>-</w:t>
      </w:r>
      <w:r>
        <w:rPr/>
        <w:t>1960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נסקרו קשיי התמודדותו של המערער במסגרות חינוכיות וטיפוליות שונות שאליהן </w:t>
      </w:r>
      <w:r>
        <w:rPr>
          <w:rtl w:val="true"/>
        </w:rPr>
        <w:t>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ובתנודתיות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ביולי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ולסביבה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וההתנהגותיים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8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פתח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גזר דינו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עמד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 ייחודיותו של מערך השיקולים המופעל ביחס לענישת קטינים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בהדגישו את הצורך במתן משקל יתר לשיקולים אינדיבידואליים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כמו גם לעריכת איזון זהיר בין שיקולי שיקום לשיקולי הרתעה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באופן שיקדם ככל הניתן את תכלית שיקום הקטין והשבתו לתפקוד נורמטיבי בחברה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  <w:r>
        <w:rPr>
          <w:rtl w:val="true"/>
        </w:rPr>
        <w:t>לצד זאת הבהיר בית משפט קמא כי ייתכנו מקרים שבהם דווקא העדפת שיקול השיקום תוביל להטלת מאסר בפועל</w:t>
      </w:r>
      <w:r>
        <w:rPr>
          <w:rtl w:val="true"/>
        </w:rPr>
        <w:t xml:space="preserve">, </w:t>
      </w:r>
      <w:r>
        <w:rPr>
          <w:rtl w:val="true"/>
        </w:rPr>
        <w:t>וזאת במצבים שבהם מתרשם בית המשפט כי כל עוד לא יעשה הנאשם שינוי בתפיסת עולמו</w:t>
      </w:r>
      <w:r>
        <w:rPr>
          <w:rtl w:val="true"/>
        </w:rPr>
        <w:t xml:space="preserve">, </w:t>
      </w:r>
      <w:r>
        <w:rPr>
          <w:rtl w:val="true"/>
        </w:rPr>
        <w:t>לא ניתן יהיה לגבש תכנית טיפולית שתהלום את צרכיו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על הערכים החברתיים המוגנים שנפגעו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כתוצאה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מביצוע העבירות ועל הנסיבות הקשורות בביצוען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אשר לערכים המוגנים שנפגעו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מנה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בית משפט קמא את ההגנה על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שלום הציבור ורכושו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בהדגישו את פגיעתה המשמעותית של העבירה בערכים המוגנים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הנלמדת מעונש המאסר הממושך אשר קבוע לצידה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לעניין 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נסיבות הקשורות בביצוע העבירות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התייחס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לקיומו של תכנון מוקדם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לתפקידו הדומיננטי של המערער בביצוע העבירה</w:t>
      </w:r>
      <w:r>
        <w:rPr>
          <w:rFonts w:cs="Franklin Gothic Medium" w:ascii="Franklin Gothic Medium" w:hAnsi="Franklin Gothic Medium"/>
          <w:sz w:val="28"/>
          <w:rtl w:val="true"/>
        </w:rPr>
        <w:t>;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לעובדה שההצתה בוצעה במקום מגורים בשעת לילה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לנזקים שנגרמו כתוצאה מההצתה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ביחס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למדיניות הענישה הנהוגה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סקר בית משפט קמא את גזרי הדין שהגישו הצדדים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ועמד על העונשים אשר הושתו במסגרתם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11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בעת גזירת עונשו של המערער שקל בית המשפט לחומר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את עברו הפלילי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אשר בגינו תלוי ועומד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נגד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עונש מאסר על תנאי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כמו גם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את התרשמותו השלילית של שירות המבחן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לנוער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כפי ש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עלתה מהתסקירים שהוגשו בעניינו של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מנגד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שקל בית המשפט לקולא את הודאתו של 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מערער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במיוחס לו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את נתוני אישיותו ומורכבותן של נסיבותיו האישיות והמשפחתיות ואת היותו קטין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–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אף אם 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על סף בגירות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" </w:t>
      </w:r>
      <w:r>
        <w:rPr>
          <w:rFonts w:cs="Franklin Gothic Medium" w:ascii="Franklin Gothic Medium" w:hAnsi="Franklin Gothic Medium"/>
          <w:sz w:val="28"/>
          <w:rtl w:val="true"/>
        </w:rPr>
        <w:t>–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בעת ביצוע עבירת ההצתה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12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לנוכח האמור</w:t>
      </w:r>
      <w:r>
        <w:rPr>
          <w:rFonts w:cs="Franklin Gothic Medium" w:ascii="Franklin Gothic Medium" w:hAnsi="Franklin Gothic Medium"/>
          <w:sz w:val="28"/>
          <w:rtl w:val="true"/>
        </w:rPr>
        <w:t>,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נקבע עונשו של המערער כ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מפורט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בפסקה </w:t>
      </w:r>
      <w:r>
        <w:rPr>
          <w:rFonts w:cs="Franklin Gothic Medium" w:ascii="Franklin Gothic Medium" w:hAnsi="Franklin Gothic Medium"/>
          <w:sz w:val="28"/>
        </w:rPr>
        <w:t>1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לעיל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</w:rPr>
        <w:t>13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נסוב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לחומרא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היותו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בקנה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לקטינים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בידי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לבוא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בהמלצה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טוען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ייחס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המשקל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הראוי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המקלות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לרבות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הקשות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שעלו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מתסקיר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לנוער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פציעתו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עובר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ההצתה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פציעה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לטענת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השפיעה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בשלביו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המוקדמים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שלקח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התחרט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והביע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תקווה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לשינוי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באורחות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pacing w:val="10"/>
          <w:sz w:val="28"/>
          <w:szCs w:val="28"/>
        </w:rPr>
      </w:pPr>
      <w:r>
        <w:rPr>
          <w:rFonts w:cs="Franklin Gothic Medium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14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מנגד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סבורה המשיבה כי יש לדחות את הערעור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בתוך כך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מדגישה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המשיבה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את חומרת מעשיו של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וטוענת כי בנסיבות ביצועה החמורות של העבירה יש כדי למקם את מעשיו של המערער ברף העליון של עבירת ההצתה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ולהצדיק את העונש שהוטל עליו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כן מפנה המשיבה לגיליון ההרשעות של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המעיד על עבר פלילי משמעותי ומתמשך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ולתסקיר העדכני שהוגש לבית משפט זה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אשר במסגרתו לא בא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שירות המבחן בהמלצה טיפולית בעניינו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של המערער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מהתסקיר המשלים שהוכן לקראת הדיון בערעור עולה כי המערער לוקח לראשונה אחריות על מעשיו ומביע חרטה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תוך שהוא מבהיר כי המניע למעשה היה נקמה בבן דודו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עם זאת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מאחר שמדובר אך ב</w:t>
      </w:r>
      <w:r>
        <w:rPr>
          <w:rFonts w:cs="Franklin Gothic Medium" w:ascii="Franklin Gothic Medium" w:hAnsi="Franklin Gothic Medium"/>
          <w:sz w:val="28"/>
          <w:rtl w:val="true"/>
        </w:rPr>
        <w:t>"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ניצנים ראשונים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"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של חרטה ומוטיבציה לשיקום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לא מצא שירות המבחן לנוער לתמוך באפשרות קיצור העונש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16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לאחר עיון בגזר דינו של בית משפט קמא ולאחר שמיעת הצדדים לפנינו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הגענו לכלל מסקנה כי דין הערעור להידחות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17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הלכה היא כי ערכאת הערעור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לא תתערב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בחומרת העונש שנקבע על ידי הערכאה הדיונית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זולת בנסיבות חריגות שבהן נפלה על פני הדברים טעות מהותית ובולטת בגזר הדין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או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כאשר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העונש שהוטל חורג באופן קיצוני מהענישה המקובלת במקרים דומים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וראו </w:t>
      </w:r>
      <w:hyperlink r:id="rId26"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b/>
            <w:color w:val="0000FF"/>
            <w:sz w:val="28"/>
            <w:u w:val="single"/>
          </w:rPr>
          <w:t>8360/17</w:t>
        </w:r>
      </w:hyperlink>
      <w:r>
        <w:rPr>
          <w:rFonts w:cs="Franklin Gothic Medium" w:ascii="Franklin Gothic Medium" w:hAnsi="Franklin Gothic Medium"/>
          <w:b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פסקה </w:t>
      </w:r>
      <w:r>
        <w:rPr>
          <w:rFonts w:cs="Franklin Gothic Medium" w:ascii="Franklin Gothic Medium" w:hAnsi="Franklin Gothic Medium"/>
          <w:sz w:val="28"/>
        </w:rPr>
        <w:t>12</w:t>
      </w:r>
      <w:r>
        <w:rPr>
          <w:rFonts w:cs="Franklin Gothic Medium" w:ascii="Franklin Gothic Medium" w:hAnsi="Franklin Gothic Medium"/>
          <w:sz w:val="28"/>
          <w:rtl w:val="true"/>
        </w:rPr>
        <w:t xml:space="preserve"> (</w:t>
      </w:r>
      <w:r>
        <w:rPr>
          <w:rFonts w:cs="Franklin Gothic Medium" w:ascii="Franklin Gothic Medium" w:hAnsi="Franklin Gothic Medium"/>
          <w:sz w:val="28"/>
        </w:rPr>
        <w:t>22.3</w:t>
      </w:r>
      <w:r>
        <w:rPr>
          <w:rFonts w:cs="Franklin Gothic Medium" w:ascii="Franklin Gothic Medium" w:hAnsi="Franklin Gothic Medium"/>
          <w:sz w:val="28"/>
        </w:rPr>
        <w:t>.201</w:t>
      </w:r>
      <w:r>
        <w:rPr>
          <w:rFonts w:cs="Franklin Gothic Medium" w:ascii="Franklin Gothic Medium" w:hAnsi="Franklin Gothic Medium"/>
          <w:sz w:val="28"/>
        </w:rPr>
        <w:t>8</w:t>
      </w:r>
      <w:r>
        <w:rPr>
          <w:rFonts w:cs="Franklin Gothic Medium" w:ascii="Franklin Gothic Medium" w:hAnsi="Franklin Gothic Medium"/>
          <w:sz w:val="28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18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איננו סבורים כי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יש בנימוקיו של המערער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–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לרבות אלה הקשורים במדיניות הענישה הנוהגת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בנסיבות ביצוען של העבירות וב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נסיבות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יו האישיות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–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כדי להצביע על שגיאה בדרך הילוכו של בית משפט קמא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וודאי שלא באופן אשר מצדיק את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 של ערכאת הערעור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בתוצאה שאליה הגיעה הערכאה הדיונית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Franklin Gothic Medium" w:ascii="Franklin Gothic Medium" w:hAnsi="Franklin Gothic Medium"/>
          <w:sz w:val="28"/>
        </w:rPr>
        <w:t>19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חומרתן של העבירות שבהן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עבירת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חומרה זו נובעת הן מהסיכון הגלום במעשה ההצתה ובהיעדרה של שליטה בתוצאותיו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דבר שהודגש בפסיקתו של בית משפט זה לא אחת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וראו 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3116/13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15.10.2013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2599/07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30.4.2007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3210/06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18.3.2007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הן ממכלול הנסיבות הפרטניות המתוארות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ובכללן העובדה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שהמעשים כוונו כלפי בית מגורים ובוצעו בשעה שאנשים מצויים בבתיהם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וכן </w:t>
      </w:r>
      <w:r>
        <w:rPr>
          <w:rFonts w:ascii="Century" w:hAnsi="Century" w:cs="Century"/>
          <w:sz w:val="22"/>
          <w:sz w:val="22"/>
          <w:rtl w:val="true"/>
        </w:rPr>
        <w:t>תוצאותיה החמורות של ההצתה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הוגבלו לנזקי רכוש רק בזכות תגובתם המהירה של דיירי הבניין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lin Gothic Medium" w:ascii="Franklin Gothic Medium" w:hAnsi="Franklin Gothic Medium"/>
          <w:sz w:val="28"/>
        </w:rPr>
        <w:t>20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לנוכח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חומרתם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האמורה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של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מעשי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ולאחר עיון בשורת פסקי הדין שסקר בית משפט קמא בגזר דינו ושהניחו לפנינו הצדדים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ראו והשוו </w:t>
      </w:r>
      <w:hyperlink r:id="rId30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907/14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18.11.2014</w:t>
      </w:r>
      <w:r>
        <w:rPr>
          <w:rFonts w:cs="Franklin Gothic Medium" w:ascii="Franklin Gothic Medium" w:hAnsi="Franklin Gothic Medium"/>
          <w:sz w:val="28"/>
          <w:rtl w:val="true"/>
        </w:rPr>
        <w:t xml:space="preserve">); </w:t>
      </w:r>
      <w:hyperlink r:id="rId31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60/12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7.11.2012</w:t>
      </w:r>
      <w:r>
        <w:rPr>
          <w:rFonts w:cs="Franklin Gothic Medium" w:ascii="Franklin Gothic Medium" w:hAnsi="Franklin Gothic Medium"/>
          <w:sz w:val="28"/>
          <w:rtl w:val="true"/>
        </w:rPr>
        <w:t xml:space="preserve">)),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לא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מצאנו כי סטה בית משפט קמא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לחומר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מ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רמת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הענישה המקובלת בנסיבות דומות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באופן אשר מצדיק את התערבותנו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וראו </w:t>
      </w:r>
      <w:hyperlink r:id="rId32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6716/16</w:t>
        </w:r>
      </w:hyperlink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lin Gothic Medium" w:ascii="Franklin Gothic Medium" w:hAnsi="Franklin Gothic Medium"/>
          <w:sz w:val="28"/>
          <w:rtl w:val="true"/>
        </w:rPr>
        <w:t>(</w:t>
      </w:r>
      <w:r>
        <w:rPr>
          <w:rFonts w:cs="Franklin Gothic Medium" w:ascii="Franklin Gothic Medium" w:hAnsi="Franklin Gothic Medium"/>
          <w:sz w:val="28"/>
        </w:rPr>
        <w:t>14.6.2017</w:t>
      </w:r>
      <w:r>
        <w:rPr>
          <w:rFonts w:cs="Franklin Gothic Medium" w:ascii="Franklin Gothic Medium" w:hAnsi="Franklin Gothic Medium"/>
          <w:sz w:val="28"/>
          <w:rtl w:val="true"/>
        </w:rPr>
        <w:t>))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21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כמו כן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איננו סבורים כי נסיבות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יו האישיות של המערער מצדיקות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התערבות ב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אופן שבו גזר בית משפט קמא את דינו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בהיעדרה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לתלם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21.9.2014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בעת גזירת דינו בבית משפט קמא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אנו רואים צורך להתערב במשקל שניתן לה</w:t>
      </w:r>
      <w:r>
        <w:rPr>
          <w:rFonts w:cs="Century" w:ascii="Century" w:hAnsi="Century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דרסטית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ולהצביע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יש לייחס משקל מכריע לשיקול ההרתעה בעניינו של המערער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24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מן העבר השני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היעדר לקיחת האחריות מצד המערער על מעשיו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האמור בתסקירי המבחן השליליים שניתנו בעניינו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עברו הפלילי המשמעותי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לרבות כתבי האישום הנוספים שצורפו להליך</w:t>
      </w:r>
      <w:r>
        <w:rPr>
          <w:rFonts w:cs="Franklin Gothic Medium" w:ascii="Franklin Gothic Medium" w:hAnsi="Franklin Gothic Medium"/>
          <w:sz w:val="28"/>
          <w:rtl w:val="true"/>
        </w:rPr>
        <w:t xml:space="preserve">;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וכן העובדה שביצע את עבירת ההצתה בזמן שעונש מאסר על תנאי תלוי ועומד נגדו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הם שיקולים לטובת החמרת הענישה בנסיבות דנן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lin Gothic Medium" w:ascii="Franklin Gothic Medium" w:hAnsi="Franklin Gothic Medium"/>
          <w:sz w:val="28"/>
          <w:rtl w:val="true"/>
        </w:rPr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לנוכח נסיבות אלה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בחירתו של בית משפט קמא לחפוף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את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עונש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המאסר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המותנה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באופן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מלא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עם עונש המאסר בפועל אינה טריוויאלית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והינה בבחינת חסד שנעשה עם המערער</w:t>
      </w:r>
      <w:r>
        <w:rPr>
          <w:rFonts w:cs="Franklin Gothic Medium" w:ascii="Franklin Gothic Medium" w:hAnsi="Franklin Gothic Medium"/>
          <w:sz w:val="28"/>
          <w:rtl w:val="true"/>
        </w:rPr>
        <w:t xml:space="preserve">.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חפיפה זו נועדה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כפי שהסביר בית משפט קמא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לתת ביטוי לשיקולים לקולא שנמנו בגזר הדין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בדגש על גילו של המערער בעת ביצוע עבירת ההצתה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25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בסיכומם של דברים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אנו סבורים כי גזר דינו של בית משפט קמא מגלם איזון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ראוי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דיו בין כלל השיקולים המנויים במסגרת </w:t>
      </w:r>
      <w:hyperlink r:id="rId34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lin Gothic Medium" w:ascii="Franklin Gothic Medium" w:hAnsi="Franklin Gothic Medium"/>
            <w:color w:val="0000FF"/>
            <w:sz w:val="28"/>
            <w:u w:val="single"/>
          </w:rPr>
          <w:t>40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יא</w:t>
        </w:r>
      </w:hyperlink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ל</w:t>
      </w:r>
      <w:hyperlink r:id="rId35"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lin Gothic Medium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והראויים להישקל בנסיבות העניין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ומשכך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איננו רואים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 xml:space="preserve"> מקום ל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התערב בו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</w:rPr>
        <w:t>26</w:t>
      </w:r>
      <w:r>
        <w:rPr>
          <w:rFonts w:cs="Franklin Gothic Medium" w:ascii="Franklin Gothic Medium" w:hAnsi="Franklin Gothic Medium"/>
          <w:sz w:val="28"/>
          <w:rtl w:val="true"/>
        </w:rPr>
        <w:t>.</w:t>
        <w:tab/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אשר על כן</w:t>
      </w:r>
      <w:r>
        <w:rPr>
          <w:rFonts w:cs="Franklin Gothic Medium" w:ascii="Franklin Gothic Medium" w:hAnsi="Franklin Gothic Medium"/>
          <w:sz w:val="28"/>
          <w:rtl w:val="true"/>
        </w:rPr>
        <w:t xml:space="preserve">, </w:t>
      </w:r>
      <w:r>
        <w:rPr>
          <w:rFonts w:ascii="Franklin Gothic Medium" w:hAnsi="Franklin Gothic Medium" w:cs="Franklin Gothic Medium"/>
          <w:sz w:val="28"/>
          <w:sz w:val="28"/>
          <w:rtl w:val="true"/>
        </w:rPr>
        <w:t>הערעור נדחה</w:t>
      </w:r>
      <w:r>
        <w:rPr>
          <w:rFonts w:cs="Franklin Gothic Medium" w:ascii="Franklin Gothic Medium" w:hAnsi="Franklin Gothic Medium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lin Gothic Medium" w:hAnsi="Franklin Gothic Medium" w:cs="Franklin Gothic Medium"/>
          <w:sz w:val="28"/>
        </w:rPr>
      </w:pPr>
      <w:r>
        <w:rPr>
          <w:rFonts w:cs="Franklin Gothic Medium" w:ascii="Franklin Gothic Medium" w:hAnsi="Franklin Gothic Medium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start="1776"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</w:rPr>
        <w:t>17099650</w:t>
      </w:r>
      <w:r>
        <w:rPr>
          <w:sz w:val="16"/>
          <w:rtl w:val="true"/>
        </w:rPr>
        <w:t>_</w:t>
      </w:r>
      <w:r>
        <w:rPr>
          <w:sz w:val="16"/>
        </w:rPr>
        <w:t>J01.doc</w:t>
      </w:r>
      <w:r>
        <w:rPr>
          <w:sz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54678313-9965/17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9965/17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557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91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47" TargetMode="External"/><Relationship Id="rId12" Type="http://schemas.openxmlformats.org/officeDocument/2006/relationships/hyperlink" Target="http://www.nevo.co.il/case/22555708" TargetMode="External"/><Relationship Id="rId13" Type="http://schemas.openxmlformats.org/officeDocument/2006/relationships/hyperlink" Target="http://www.nevo.co.il/law/70301/44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case/20743954" TargetMode="External"/><Relationship Id="rId17" Type="http://schemas.openxmlformats.org/officeDocument/2006/relationships/hyperlink" Target="http://www.nevo.co.il/case/20989185" TargetMode="External"/><Relationship Id="rId18" Type="http://schemas.openxmlformats.org/officeDocument/2006/relationships/hyperlink" Target="http://www.nevo.co.il/case/22065608" TargetMode="External"/><Relationship Id="rId19" Type="http://schemas.openxmlformats.org/officeDocument/2006/relationships/hyperlink" Target="http://www.nevo.co.il/case/21829257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75" TargetMode="External"/><Relationship Id="rId23" Type="http://schemas.openxmlformats.org/officeDocument/2006/relationships/hyperlink" Target="http://www.nevo.co.il/law/70301/191" TargetMode="External"/><Relationship Id="rId24" Type="http://schemas.openxmlformats.org/officeDocument/2006/relationships/hyperlink" Target="http://www.nevo.co.il/law/70301/186.a" TargetMode="External"/><Relationship Id="rId25" Type="http://schemas.openxmlformats.org/officeDocument/2006/relationships/hyperlink" Target="http://www.nevo.co.il/law/70347" TargetMode="External"/><Relationship Id="rId26" Type="http://schemas.openxmlformats.org/officeDocument/2006/relationships/hyperlink" Target="http://www.nevo.co.il/case/23237999" TargetMode="External"/><Relationship Id="rId27" Type="http://schemas.openxmlformats.org/officeDocument/2006/relationships/hyperlink" Target="http://www.nevo.co.il/case/6959068" TargetMode="External"/><Relationship Id="rId28" Type="http://schemas.openxmlformats.org/officeDocument/2006/relationships/hyperlink" Target="http://www.nevo.co.il/case/5845414" TargetMode="External"/><Relationship Id="rId29" Type="http://schemas.openxmlformats.org/officeDocument/2006/relationships/hyperlink" Target="http://www.nevo.co.il/case/5882592" TargetMode="External"/><Relationship Id="rId30" Type="http://schemas.openxmlformats.org/officeDocument/2006/relationships/hyperlink" Target="http://www.nevo.co.il/case/11309013" TargetMode="External"/><Relationship Id="rId31" Type="http://schemas.openxmlformats.org/officeDocument/2006/relationships/hyperlink" Target="http://www.nevo.co.il/case/5570864" TargetMode="External"/><Relationship Id="rId32" Type="http://schemas.openxmlformats.org/officeDocument/2006/relationships/hyperlink" Target="http://www.nevo.co.il/case/21478686" TargetMode="External"/><Relationship Id="rId33" Type="http://schemas.openxmlformats.org/officeDocument/2006/relationships/hyperlink" Target="http://www.nevo.co.il/case/18052275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2018-05-01T10:54:00Z</dcterms:created>
  <dc:creator> </dc:creator>
  <dc:description/>
  <cp:keywords/>
  <dc:language>en-IL</dc:language>
  <cp:lastModifiedBy>orly</cp:lastModifiedBy>
  <cp:lastPrinted>2018-04-26T12:45:00Z</cp:lastPrinted>
  <dcterms:modified xsi:type="dcterms:W3CDTF">2018-05-01T10:54:00Z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22555708:2;20743954;20989185;22065608;21829257;23237999;6959068;5845414;5882592;11309013;5570864;21478686;18052275</vt:lpwstr>
  </property>
  <property fmtid="{D5CDD505-2E9C-101B-9397-08002B2CF9AE}" pid="9" name="CITY">
    <vt:lpwstr/>
  </property>
  <property fmtid="{D5CDD505-2E9C-101B-9397-08002B2CF9AE}" pid="10" name="DATE">
    <vt:lpwstr>20180429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אלרון;ח' מלצר</vt:lpwstr>
  </property>
  <property fmtid="{D5CDD505-2E9C-101B-9397-08002B2CF9AE}" pid="14" name="LAWLISTTMP1">
    <vt:lpwstr>70301/448;452;448.a;275;191;186.a;40ja</vt:lpwstr>
  </property>
  <property fmtid="{D5CDD505-2E9C-101B-9397-08002B2CF9AE}" pid="15" name="LAWLISTTMP2">
    <vt:lpwstr>70347</vt:lpwstr>
  </property>
  <property fmtid="{D5CDD505-2E9C-101B-9397-08002B2CF9AE}" pid="16" name="LAWYER">
    <vt:lpwstr>קובי מושקוביץ;שי גבאי;שירי ניר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הצתה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מדיניות ענישה: שיקום</vt:lpwstr>
  </property>
  <property fmtid="{D5CDD505-2E9C-101B-9397-08002B2CF9AE}" pid="53" name="NOSE34">
    <vt:lpwstr>מדיניות ענישה: קטינים</vt:lpwstr>
  </property>
  <property fmtid="{D5CDD505-2E9C-101B-9397-08002B2CF9AE}" pid="54" name="NOSE35">
    <vt:lpwstr>מדיניות ענישה: התערבות ערכאת ערעור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15357;8994;14346;15724;8982</vt:lpwstr>
  </property>
  <property fmtid="{D5CDD505-2E9C-101B-9397-08002B2CF9AE}" pid="60" name="PADIDATE">
    <vt:lpwstr>20180501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9965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410120180429</vt:lpwstr>
  </property>
  <property fmtid="{D5CDD505-2E9C-101B-9397-08002B2CF9AE}" pid="70" name="TYPE_N_DATE">
    <vt:lpwstr>41020180429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