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פתחי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איובי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3533-04-20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03.10.2021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30.11.2021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05.06.2023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המערער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ר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חגית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לרנאו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bookmarkStart w:id="3" w:name="FirstLawyer"/>
            <w:bookmarkEnd w:id="3"/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המשיב</w:t>
            </w:r>
            <w:r>
              <w:rPr>
                <w:rFonts w:ascii="Century" w:hAnsi="Century" w:cs="FrankRuehl"/>
                <w:spacing w:val="10"/>
                <w:rtl w:val="true"/>
              </w:rPr>
              <w:t>ה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מירי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קולומבוס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4" w:name="Links_Kitvei_Start"/>
      <w:bookmarkStart w:id="5" w:name="Links_Kitvei_Start"/>
      <w:bookmarkEnd w:id="5"/>
    </w:p>
    <w:p>
      <w:pPr>
        <w:pStyle w:val="Ruller31"/>
        <w:spacing w:lineRule="exact" w:line="240" w:before="120" w:after="120"/>
        <w:ind w:hanging="283" w:start="283" w:end="0"/>
        <w:jc w:val="both"/>
        <w:rPr>
          <w:rStyle w:val="Hyperlink"/>
        </w:rPr>
      </w:pPr>
      <w:bookmarkStart w:id="6" w:name="Links_Kitvei_Start"/>
      <w:bookmarkEnd w:id="6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גיא בן דוד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עדות מפי השמועה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כפולה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בהליך הפלילי – מעמדה בדין הישראלי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הקשיים בקבלת הדין הקיים והצעה לפתרון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דין ודברים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יא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2018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147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טליה פישר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דיני הראיות בראי התיאוריה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לט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2016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107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Links_Kitvei_End"/>
      <w:bookmarkStart w:id="8" w:name="Links_Kitvei_End"/>
      <w:bookmarkEnd w:id="8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9" w:name="Links_Start"/>
      <w:bookmarkEnd w:id="9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>: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דיני ראיות 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7">
        <w:r>
          <w:rPr>
            <w:rtl w:val="true"/>
          </w:rPr>
        </w:r>
      </w:hyperlink>
      <w:bookmarkStart w:id="10" w:name="LawTable"/>
      <w:bookmarkStart w:id="11" w:name="Links_End"/>
      <w:bookmarkStart w:id="12" w:name="LawTable"/>
      <w:bookmarkStart w:id="13" w:name="Links_End"/>
      <w:bookmarkEnd w:id="12"/>
      <w:bookmarkEnd w:id="13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3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כב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3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54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55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6" w:name="ABSTRACT_START"/>
      <w:bookmarkEnd w:id="16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שבמרכזו </w:t>
      </w:r>
      <w:r>
        <w:rPr>
          <w:rFonts w:ascii="Times New Roman" w:hAnsi="Times New Roman" w:cs="Times New Roman"/>
          <w:spacing w:val="0"/>
          <w:szCs w:val="26"/>
          <w:rtl w:val="true"/>
        </w:rPr>
        <w:t>סוגיית קבילותן ומשקלן של אִמרות חוץ שנאמרו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קורבן 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, (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המנוחה 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>),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בסמוך לאחר מעשה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שעדות על אמירתן נשמעה בבי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לפקודת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נדרשת תוספת ראייתית לאמרת קורבן אלימות המוגשת מכוח סעיף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ascii="Times New Roman" w:hAnsi="Times New Roman" w:cs="Times New Roman"/>
          <w:spacing w:val="0"/>
          <w:szCs w:val="26"/>
          <w:rtl w:val="true"/>
        </w:rPr>
        <w:t>אמרות המנוחה קבילות כראיה לאמיתות תוכנן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</w:t>
      </w:r>
      <w:r>
        <w:rPr>
          <w:rFonts w:ascii="Times New Roman" w:hAnsi="Times New Roman" w:cs="Times New Roman"/>
          <w:spacing w:val="0"/>
          <w:szCs w:val="26"/>
          <w:rtl w:val="true"/>
        </w:rPr>
        <w:t>הוּכחה אשמת המערער בעבירות האלימות והרכוש שיוחסו 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מעבר לספק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אך לא </w:t>
      </w:r>
      <w:r>
        <w:rPr>
          <w:rFonts w:ascii="Times New Roman" w:hAnsi="Times New Roman" w:cs="Times New Roman"/>
          <w:spacing w:val="0"/>
          <w:szCs w:val="26"/>
          <w:rtl w:val="true"/>
        </w:rPr>
        <w:t>הוּכחה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מעבר לספק סביר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אשמתו בעבירה של מעשה מגונה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ולפיכך עונש המאסר בפועל הופחת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אימרת קורבן אלימות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קבילות – עדות שמיעה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קבילות – קיומה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הרשעה – ספק סביר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</w:t>
      </w:r>
      <w:r>
        <w:rPr>
          <w:rFonts w:ascii="Times New Roman" w:hAnsi="Times New Roman" w:cs="Times New Roman"/>
          <w:spacing w:val="0"/>
          <w:szCs w:val="26"/>
          <w:rtl w:val="true"/>
        </w:rPr>
        <w:t>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שבה הורשע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בעבירות של שוד מזוין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חבלה ופציעה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ומעשה מגונה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כלפי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נגזר עונש של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וגם על כך נסב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יצוין כי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שהוגש כתב האישום נגד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המנוחה כבר לא הייתה בין החיים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והוא התבסס בעיקר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אמרות המנוחה בסמוך לאחר האירוע האלים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במוקד 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נמצאת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סוגיית קבילותן ומשקלן של אִמרות חוץ שנאמרו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קורבן 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המנוחה כאן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בסמוך לאחר מעשה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שעדות על אמירתן נשמעה בבי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לפקודת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כבוב ובהסכמת השופטים סולברג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בחלקו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>קבילות אמרות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קורבן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שנאמרו מחוץ לבית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הכלל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אוסר עדות שמיעה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קובע כי עדות על אמרה שאמר אדם מחוץ לבית המשפט אינה קבילה כראיה לאמיתות תוכנה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לצד </w:t>
      </w:r>
      <w:r>
        <w:rPr>
          <w:rFonts w:ascii="Times New Roman" w:hAnsi="Times New Roman" w:cs="Times New Roman"/>
          <w:spacing w:val="0"/>
          <w:szCs w:val="26"/>
          <w:rtl w:val="true"/>
        </w:rPr>
        <w:t>הכלל הפוסל עדות שמיעה התפתחו 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ובהם חריגי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רס גסטה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בקבוצה של מקרים שבהם רשאי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להסתמך על אמרות חוץ שנאמרו כ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חלק מהאירוע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שעליו הן נסובות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כראיה לאמיתות תוכנן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גם אם בנסיבות אחרות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האמרות הללו היו נפסלות מכוח הכלל הפוסל עדות שמיעה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אחד מ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חריגי ה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רס גסטה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 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פקודת הראיות העוסק </w:t>
      </w:r>
      <w:r>
        <w:rPr>
          <w:rFonts w:ascii="Times New Roman" w:hAnsi="Times New Roman" w:cs="Times New Roman"/>
          <w:spacing w:val="0"/>
          <w:szCs w:val="26"/>
          <w:rtl w:val="true"/>
        </w:rPr>
        <w:t>באמרת קורבן אלימות שנאמרה בסמוך לאחר מעשה האלימות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הצדדים נחלקו האם ניתן היה להרשיע את המערער בהתבסס על אמרות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שהובאה כל תוספת ראייתית שתתמוך באמרות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אמרה מוגשת מכוח סעיף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לפקודה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קיימת הצדקה חברתית ממשית לקבל את האמרה כראיה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ואף קיימת מעין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חזקה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המעוגנת בניסיון החיים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נותן האמרה לא מסר דבר שקר ביודעין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רוב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המקרים לא יהא די בחזקה זו לבדה כדי לשכנע מעבר לספק סביר כי האמרה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 משקפת את המציאות כהווייתה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להבדיל מהעובדה שהאמרה משקפת את המציאות כפי שזו נתפסה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נותן האמרה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הרגיל לא ניתן לבסס את אשמת הנאשם מעבר לספק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בסיס אמרה כזו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ראיות מפלילות 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 התנאים הנדרשים לשם קבילות אמרות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הוכחו במשפט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המנוחה אמרה כי נעשה בה מעשה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אמרותיה נגעו במישרין למעשה האלימות שנעשה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ניתן היה להביא אותה להעיד במשפט מחמת פטירתה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התנאי בדבר סמיכות הזמנים למעשה האלימות התקיים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</w:t>
      </w:r>
      <w:r>
        <w:rPr>
          <w:rFonts w:ascii="Times New Roman" w:hAnsi="Times New Roman" w:cs="Times New Roman"/>
          <w:spacing w:val="0"/>
          <w:szCs w:val="26"/>
          <w:rtl w:val="true"/>
        </w:rPr>
        <w:t>מרות ק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רבן אלימות שנאמרו מספר שעות לאחר האירוע האלים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תוכלנה להיחשב כאמרות שנאמרו בסמוך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ובלבד שלא נאמרו בתשובה לשאלות מדריכות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חרף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סבור כי אמרות המנוחה בענייננו אינן קבילות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הטעם לכך שאמרות קורבן אלימות הוכרו כקבילות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לנוכח החזקה שלפיה אמרות מעין אלו משקפות את המציאות כהווייתה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משנמצא כי אמרות המנוחה אינן משקפות את המציאות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נשמט הבסיס תחת הקביעה כי אמרותיה יכולות לשמש כראיה קבילה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</w:t>
      </w:r>
      <w:r>
        <w:rPr>
          <w:rFonts w:ascii="Times New Roman" w:hAnsi="Times New Roman" w:cs="Times New Roman"/>
          <w:spacing w:val="0"/>
          <w:szCs w:val="26"/>
          <w:rtl w:val="true"/>
        </w:rPr>
        <w:t>חזקת המהימנות המיוחסת לאמרות קורבן אלימות איננה נובעת מתפיסה שדבריו משקפים בהכרח את המציאות כהווייתה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מכך שקיימת חזקה שקורבן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בנסיבות המנויות בסעיף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פקודה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יאמר דבר שקר ביודעין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 חזקה זו בענייננו ברורה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המנוחה מסרה את אמרותיה בסמוך לאחר אירוע טראומתי שבמהלכו נפצעה בחלקים רבים בגופה באופן משמעותי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וברי כי לא היה בידה שהות לבדות מליבה את שאירע בדירה באותם רגעים שבהם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לתחושתה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נאבקה על חייה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עם שודד חמוש בסכין שפרץ לדירתה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חזקת המהימנות מלמדת כי המנוחה אמרה את שאמרה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בסמוך לאחר מכן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המשקף את המציאות לפי מיטב הבנתה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טענת המערער כי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שהמנוחה מסרה מידע שהתברר בדיעבד כשגוי סותרת את החזקה בדבר מהימנות אמרותיה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זה מ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ן </w:t>
      </w:r>
      <w:r>
        <w:rPr>
          <w:rFonts w:ascii="Times New Roman" w:hAnsi="Times New Roman" w:cs="Times New Roman"/>
          <w:spacing w:val="0"/>
          <w:szCs w:val="26"/>
          <w:rtl w:val="true"/>
        </w:rPr>
        <w:t>הנמנע שקורבן 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שחווה טראומה 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יטעה בהבנתו את המציאות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נכון לדקדק עם קורבן אלימות שחווה טראומה ממשית ביחס לכל פרט בעדותו אלא יש לתור אחר ליבת העדות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התרשמות מהתנהגות העדים ואותות האמת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השתלבות העדות במארג הראיות הכולל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די להראות כי המנוחה טעתה כדי לשלול אפשרות לקבל את אמרותיה כראיה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שניתן ללמוד מכך הוא כי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שהייתה בטראומה ממשית לא דייקה בתיאורה את האירוע האלים שהתחולל בדירה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בכך כדי לחתור תחת החזקה לפיה המנוחה מסרה את האמת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 מיטב הבנתה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העובדה שתיאורי המנוחה השתנו מעט מאמרה לאמרה אינה מצביעה על כוונה מצדה להעליל על המערער עלילות שווא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אדרבה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שעבר הזמן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המציאות כהווייתה החלה להתבהר אצל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וזו עדכנה את גרסתה על מנת לדייק אותה ככל האפשר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ההצדקה החברתית לקבלת אמרות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הגלומה בכך שמדובר בשריד הראיה האחרון שנותר ביחס לתקיפתה האלימה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פטירתה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מתקיים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אמרות המנוחה מקיימות את כל תנאי סעיף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פקודה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וניתן היה לקבלן כראיה לחובת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שונים פני הדברים ביחס למשקל שניתן לייחס לאמרות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המנוחה סיפרה את כל האמת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מנקודת ראותה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להסיק מכך כי העובדות שהיא תיארה משקפות את המציאות כהווייתה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לשם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נדרש לבחון את האופן שבו משתלבות האמרות עם מארג הראיות הכולל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להכריע מה המשקל שראוי ליתן לאמרות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מחלוקת על כך שאמרותיה הספונטניות ביותר של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מיד לאחר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שיקפו את המציאות באופן מדויק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כלל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נפלו בעדות נפגע עבירה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אלו דיוקים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בכך כדי לשלול את מהימנות גרסתו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יש לתור אחר ליבת העדות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אמרות המנוחה בנוגע לעבירות האלימות והרכוש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משתלבות היטב במארג הראיות הכולל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 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צדק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הורשע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בעבירות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שהוכחו מעבר לספק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בקשר לעבירת המעשה המגונה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אשמת המערער לא הוכחה מעבר לספק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ספק אם קיימות לאשמה זו תימוכין באמרותיה הקבילות של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ומכל מקום לא הובאה כל ראיה מפלילה נוספת להוכחת אשמת המערער בעבירה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לזכות את המערער מעבירה 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ולהעמיד את עונשו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>).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השופטת 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סברה כי </w:t>
      </w:r>
      <w:r>
        <w:rPr>
          <w:rFonts w:ascii="Times New Roman" w:hAnsi="Times New Roman" w:cs="Times New Roman"/>
          <w:spacing w:val="0"/>
          <w:szCs w:val="26"/>
          <w:rtl w:val="true"/>
        </w:rPr>
        <w:t>אמרות המנוחה אינן מותירות ספק כי המנוחה אכן סברה כל העת שהותקפה מינית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הפערים בין אמרותיה בסוגיה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וביניהן לבין המציאות העובדתית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הפוגמים במשקלן הראייתי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ובאין תוספת ראייתית מחזקת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קם ספק סביר באשר לאשמת המערער בעבירה של מעשה מגונה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7" w:name="ABSTRACT_END"/>
      <w:bookmarkStart w:id="18" w:name="ABSTRACT_END"/>
      <w:bookmarkEnd w:id="1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9" w:name="PsakDin"/>
            <w:bookmarkStart w:id="20" w:name="BeginProtocol"/>
            <w:bookmarkStart w:id="21" w:name="secretary"/>
            <w:bookmarkEnd w:id="19"/>
            <w:bookmarkEnd w:id="20"/>
            <w:bookmarkEnd w:id="2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2" w:name="Writer_Name"/>
      <w:bookmarkEnd w:id="2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bookmarkStart w:id="23" w:name="Start_Write"/>
      <w:bookmarkEnd w:id="23"/>
      <w:r>
        <w:rPr>
          <w:rtl w:val="true"/>
        </w:rPr>
        <w:t xml:space="preserve">לפנינו ערעור על הכרעת דינו וגזר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כבוד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3533-04-20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03.10.2021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30.11.2021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בהכרעת הדין</w:t>
      </w:r>
      <w:r>
        <w:rPr>
          <w:rtl w:val="true"/>
        </w:rPr>
        <w:t xml:space="preserve">, </w:t>
      </w:r>
      <w:r>
        <w:rPr>
          <w:rtl w:val="true"/>
        </w:rPr>
        <w:t>המערער הורשע בעבירות של שוד מזוין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חבלה ופציעה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9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ומעשה מגונה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על המערער נגזר עונש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במוקד הערעור</w:t>
      </w:r>
      <w:r>
        <w:rPr>
          <w:rtl w:val="true"/>
        </w:rPr>
        <w:t xml:space="preserve">, </w:t>
      </w:r>
      <w:r>
        <w:rPr>
          <w:rtl w:val="true"/>
        </w:rPr>
        <w:t xml:space="preserve">סוגיית קבילותן ומשקלן של </w:t>
      </w:r>
      <w:r>
        <w:rPr>
          <w:rtl w:val="true"/>
        </w:rPr>
        <w:t>א</w:t>
      </w:r>
      <w:r>
        <w:rPr>
          <w:rtl w:val="true"/>
        </w:rPr>
        <w:t>ִ</w:t>
      </w:r>
      <w:r>
        <w:rPr>
          <w:rtl w:val="true"/>
        </w:rPr>
        <w:t>מר</w:t>
      </w:r>
      <w:r>
        <w:rPr>
          <w:rtl w:val="true"/>
        </w:rPr>
        <w:t>ות חוץ</w:t>
      </w:r>
      <w:r>
        <w:rPr>
          <w:rtl w:val="true"/>
        </w:rPr>
        <w:t xml:space="preserve"> </w:t>
      </w:r>
      <w:r>
        <w:rPr>
          <w:rtl w:val="true"/>
        </w:rPr>
        <w:t>שנאמרו על</w:t>
      </w:r>
      <w:r>
        <w:rPr>
          <w:rtl w:val="true"/>
        </w:rPr>
        <w:t>-</w:t>
      </w:r>
      <w:r>
        <w:rPr>
          <w:rtl w:val="true"/>
        </w:rPr>
        <w:t>ידי קורבן עבירה בסמוך לאחר מעשה אלימות</w:t>
      </w:r>
      <w:r>
        <w:rPr>
          <w:rtl w:val="true"/>
        </w:rPr>
        <w:t xml:space="preserve">, </w:t>
      </w:r>
      <w:r>
        <w:rPr>
          <w:rtl w:val="true"/>
        </w:rPr>
        <w:t xml:space="preserve">אשר עדות על אמירתן נשמעה בבית המשפט בהתאם להוראת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עובר ליום </w:t>
      </w:r>
      <w:r>
        <w:rPr/>
        <w:t>05.06.2008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tl w:val="true"/>
        </w:rPr>
        <w:t xml:space="preserve">), </w:t>
      </w:r>
      <w:r>
        <w:rPr>
          <w:rtl w:val="true"/>
        </w:rPr>
        <w:t>עברה ד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), </w:t>
      </w:r>
      <w:r>
        <w:rPr>
          <w:rtl w:val="true"/>
        </w:rPr>
        <w:t xml:space="preserve">ילידת שנת </w:t>
      </w:r>
      <w:r>
        <w:rPr/>
        <w:t>1947</w:t>
      </w:r>
      <w:r>
        <w:rPr>
          <w:rtl w:val="true"/>
        </w:rPr>
        <w:t xml:space="preserve">, </w:t>
      </w:r>
      <w:r>
        <w:rPr>
          <w:rtl w:val="true"/>
        </w:rPr>
        <w:t xml:space="preserve">להתגורר בדירת חברתה </w:t>
      </w:r>
      <w:r>
        <w:rPr>
          <w:rtl w:val="true"/>
        </w:rPr>
        <w:t>(</w:t>
      </w:r>
      <w:r>
        <w:rPr>
          <w:rtl w:val="true"/>
        </w:rPr>
        <w:t>להלן 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הדירה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החברה</w:t>
      </w:r>
      <w:r>
        <w:rPr>
          <w:rtl w:val="true"/>
        </w:rPr>
        <w:t xml:space="preserve">), </w:t>
      </w:r>
      <w:r>
        <w:rPr>
          <w:rtl w:val="true"/>
        </w:rPr>
        <w:t>בעת שהחברה שהתה בחוץ לארץ</w:t>
      </w:r>
      <w:r>
        <w:rPr>
          <w:rtl w:val="true"/>
        </w:rPr>
        <w:t xml:space="preserve">. </w:t>
      </w:r>
      <w:r>
        <w:rPr>
          <w:rtl w:val="true"/>
        </w:rPr>
        <w:t>ביום האירוע</w:t>
      </w:r>
      <w:r>
        <w:rPr>
          <w:rtl w:val="true"/>
        </w:rPr>
        <w:t xml:space="preserve">, </w:t>
      </w:r>
      <w:r>
        <w:rPr>
          <w:rtl w:val="true"/>
        </w:rPr>
        <w:t xml:space="preserve">בסביבות השעה </w:t>
      </w:r>
      <w:r>
        <w:rPr/>
        <w:t>16:00</w:t>
      </w:r>
      <w:r>
        <w:rPr>
          <w:rtl w:val="true"/>
        </w:rPr>
        <w:t xml:space="preserve">, </w:t>
      </w:r>
      <w:r>
        <w:rPr>
          <w:rtl w:val="true"/>
        </w:rPr>
        <w:t>המערער דפק על דלת הדירה והציג עצמו בפני המנוחה כמכר של החברה</w:t>
      </w:r>
      <w:r>
        <w:rPr>
          <w:rtl w:val="true"/>
        </w:rPr>
        <w:t xml:space="preserve">. </w:t>
      </w:r>
      <w:r>
        <w:rPr>
          <w:rtl w:val="true"/>
        </w:rPr>
        <w:t>המנוחה הכניסה את המערער לדירה</w:t>
      </w:r>
      <w:r>
        <w:rPr>
          <w:rtl w:val="true"/>
        </w:rPr>
        <w:t xml:space="preserve">, </w:t>
      </w:r>
      <w:r>
        <w:rPr>
          <w:rtl w:val="true"/>
        </w:rPr>
        <w:t>הכינה עבורו קפה</w:t>
      </w:r>
      <w:r>
        <w:rPr>
          <w:rtl w:val="true"/>
        </w:rPr>
        <w:t xml:space="preserve">, </w:t>
      </w:r>
      <w:r>
        <w:rPr>
          <w:rtl w:val="true"/>
        </w:rPr>
        <w:t>והשניים ישבו ושוחחו בפינת האוכל למשך כעשרים דקות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בסביבות השעה </w:t>
      </w:r>
      <w:r>
        <w:rPr/>
        <w:t>16:30</w:t>
      </w:r>
      <w:r>
        <w:rPr>
          <w:rtl w:val="true"/>
        </w:rPr>
        <w:t xml:space="preserve">, </w:t>
      </w:r>
      <w:r>
        <w:rPr>
          <w:rtl w:val="true"/>
        </w:rPr>
        <w:t xml:space="preserve">הבחין אחד השכנים בבניין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השכן</w:t>
      </w:r>
      <w:r>
        <w:rPr>
          <w:rtl w:val="true"/>
        </w:rPr>
        <w:t xml:space="preserve">) </w:t>
      </w:r>
      <w:r>
        <w:rPr>
          <w:rtl w:val="true"/>
        </w:rPr>
        <w:t>בקולות זעקה שבקעו מתוך הדירה</w:t>
      </w:r>
      <w:r>
        <w:rPr>
          <w:rtl w:val="true"/>
        </w:rPr>
        <w:t xml:space="preserve">. </w:t>
      </w:r>
      <w:r>
        <w:rPr>
          <w:rtl w:val="true"/>
        </w:rPr>
        <w:t xml:space="preserve">השכן נעמד מחוץ לדלת הדירה וקרא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". </w:t>
      </w:r>
      <w:r>
        <w:rPr>
          <w:rtl w:val="true"/>
        </w:rPr>
        <w:t>דממה השתררה</w:t>
      </w:r>
      <w:r>
        <w:rPr>
          <w:rtl w:val="true"/>
        </w:rPr>
        <w:t xml:space="preserve">. </w:t>
      </w:r>
      <w:r>
        <w:rPr>
          <w:rtl w:val="true"/>
        </w:rPr>
        <w:t>סמוך לאחר מכן נפתחה דלת הדירה</w:t>
      </w:r>
      <w:r>
        <w:rPr>
          <w:rtl w:val="true"/>
        </w:rPr>
        <w:t xml:space="preserve">, </w:t>
      </w:r>
      <w:r>
        <w:rPr>
          <w:rtl w:val="true"/>
        </w:rPr>
        <w:t>והמנוחה נגלתה לעיני השכן לבושה בחולצה ובתחתונים</w:t>
      </w:r>
      <w:r>
        <w:rPr>
          <w:rtl w:val="true"/>
        </w:rPr>
        <w:t xml:space="preserve">, </w:t>
      </w:r>
      <w:r>
        <w:rPr>
          <w:rtl w:val="true"/>
        </w:rPr>
        <w:t>כשהיא חבולה בראש</w:t>
      </w:r>
      <w:r>
        <w:rPr>
          <w:rtl w:val="true"/>
        </w:rPr>
        <w:t xml:space="preserve">, </w:t>
      </w:r>
      <w:r>
        <w:rPr>
          <w:rtl w:val="true"/>
        </w:rPr>
        <w:t>בעין</w:t>
      </w:r>
      <w:r>
        <w:rPr>
          <w:rtl w:val="true"/>
        </w:rPr>
        <w:t xml:space="preserve">, </w:t>
      </w:r>
      <w:r>
        <w:rPr>
          <w:rtl w:val="true"/>
        </w:rPr>
        <w:t>במצח ובאף</w:t>
      </w:r>
      <w:r>
        <w:rPr>
          <w:rtl w:val="true"/>
        </w:rPr>
        <w:t xml:space="preserve">, </w:t>
      </w:r>
      <w:r>
        <w:rPr>
          <w:rtl w:val="true"/>
        </w:rPr>
        <w:t>כפות ידיה חתוכות</w:t>
      </w:r>
      <w:r>
        <w:rPr>
          <w:rtl w:val="true"/>
        </w:rPr>
        <w:t xml:space="preserve">, </w:t>
      </w:r>
      <w:r>
        <w:rPr>
          <w:rtl w:val="true"/>
        </w:rPr>
        <w:t>ודם נוטף מגופה</w:t>
      </w:r>
      <w:r>
        <w:rPr>
          <w:rtl w:val="true"/>
        </w:rPr>
        <w:t xml:space="preserve">. </w:t>
      </w:r>
      <w:r>
        <w:rPr>
          <w:rtl w:val="true"/>
        </w:rPr>
        <w:t>בהתאם לעדות השכן</w:t>
      </w:r>
      <w:r>
        <w:rPr>
          <w:rtl w:val="true"/>
        </w:rPr>
        <w:t xml:space="preserve">, </w:t>
      </w:r>
      <w:r>
        <w:rPr>
          <w:rtl w:val="true"/>
        </w:rPr>
        <w:t>המנוחה צעקה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והחדירו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tl w:val="true"/>
        </w:rPr>
        <w:t xml:space="preserve">". </w:t>
      </w:r>
      <w:r>
        <w:rPr>
          <w:rtl w:val="true"/>
        </w:rPr>
        <w:t xml:space="preserve">המנוחה הוסיפה ואמרה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תכשיטים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חתך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tl w:val="true"/>
        </w:rPr>
        <w:t xml:space="preserve">". </w:t>
      </w:r>
      <w:r>
        <w:rPr>
          <w:rtl w:val="true"/>
        </w:rPr>
        <w:t>השכן המתין עם המנוחה ליד דלת הדירה עד להגעת כוחות המשטרה</w:t>
      </w:r>
      <w:r>
        <w:rPr>
          <w:rtl w:val="true"/>
        </w:rPr>
        <w:t xml:space="preserve">, </w:t>
      </w:r>
      <w:r>
        <w:rPr>
          <w:rtl w:val="true"/>
        </w:rPr>
        <w:t>אך המערער נמלט דרך מרפסת הדירה ולא אותר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המנוחה נלקחה לטיפול רפואי בבית החולים הדסה עין כרם</w:t>
      </w:r>
      <w:r>
        <w:rPr>
          <w:rtl w:val="true"/>
        </w:rPr>
        <w:t xml:space="preserve">, </w:t>
      </w:r>
      <w:r>
        <w:rPr>
          <w:rtl w:val="true"/>
        </w:rPr>
        <w:t xml:space="preserve">שם היא אושפזה מיום האירוע ועד ליום </w:t>
      </w:r>
      <w:r>
        <w:rPr/>
        <w:t>26.06.2008</w:t>
      </w:r>
      <w:r>
        <w:rPr>
          <w:rtl w:val="true"/>
        </w:rPr>
        <w:t xml:space="preserve">, </w:t>
      </w:r>
      <w:r>
        <w:rPr>
          <w:rtl w:val="true"/>
        </w:rPr>
        <w:t>ונזקקה לניתוח לתיקון גידים ועצבים בכף יד שמאל</w:t>
      </w:r>
      <w:r>
        <w:rPr>
          <w:rtl w:val="true"/>
        </w:rPr>
        <w:t xml:space="preserve">. </w:t>
      </w:r>
      <w:r>
        <w:rPr>
          <w:rtl w:val="true"/>
        </w:rPr>
        <w:t>לאחר האירוע</w:t>
      </w:r>
      <w:r>
        <w:rPr>
          <w:rtl w:val="true"/>
        </w:rPr>
        <w:t xml:space="preserve">, </w:t>
      </w:r>
      <w:r>
        <w:rPr>
          <w:rtl w:val="true"/>
        </w:rPr>
        <w:t>חלה התדרדרות במצבה הנפשי של המנוחה</w:t>
      </w:r>
      <w:r>
        <w:rPr>
          <w:rtl w:val="true"/>
        </w:rPr>
        <w:t xml:space="preserve">. </w:t>
      </w:r>
      <w:r>
        <w:rPr>
          <w:rtl w:val="true"/>
        </w:rPr>
        <w:t>היא סבלה מפוסט</w:t>
      </w:r>
      <w:r>
        <w:rPr>
          <w:rtl w:val="true"/>
        </w:rPr>
        <w:t>-</w:t>
      </w:r>
      <w:r>
        <w:rPr>
          <w:rtl w:val="true"/>
        </w:rPr>
        <w:t>טראומה ונזקקה לטיפול נפשי ממושך</w:t>
      </w:r>
      <w:r>
        <w:rPr>
          <w:rtl w:val="true"/>
        </w:rPr>
        <w:t xml:space="preserve">. </w:t>
      </w:r>
      <w:r>
        <w:rPr>
          <w:rtl w:val="true"/>
        </w:rPr>
        <w:t xml:space="preserve">מצבה הנפשי הוסיף להתדרדר עד למותה בשנת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כתשע שנים לאחר האירוע</w:t>
      </w:r>
      <w:r>
        <w:rPr>
          <w:rtl w:val="true"/>
        </w:rPr>
        <w:t xml:space="preserve">, </w:t>
      </w:r>
      <w:r>
        <w:rPr>
          <w:rtl w:val="true"/>
        </w:rPr>
        <w:t xml:space="preserve">מעט לפני הגיעהּ לגיל </w:t>
      </w:r>
      <w:r>
        <w:rPr/>
        <w:t>70</w:t>
      </w:r>
      <w:r>
        <w:rPr>
          <w:rtl w:val="true"/>
        </w:rPr>
        <w:t xml:space="preserve">. </w:t>
      </w:r>
      <w:r>
        <w:rPr>
          <w:rtl w:val="true"/>
        </w:rPr>
        <w:t>וכך תוארו הדברים בהכרעת הדין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המנוחה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להידרדר</w:t>
      </w:r>
      <w:r>
        <w:rPr>
          <w:rtl w:val="true"/>
        </w:rPr>
        <w:t xml:space="preserve">, </w:t>
      </w:r>
      <w:r>
        <w:rPr>
          <w:rtl w:val="true"/>
        </w:rPr>
        <w:t>קרובי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הספורטיבית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טופלה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הידרדר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החברה</w:t>
      </w:r>
      <w:r>
        <w:rPr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הזניחה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בהדרגה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והחמיר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ניקתה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ביתה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3.3.2017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סביבתה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>."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מאז האירוע</w:t>
      </w:r>
      <w:r>
        <w:rPr>
          <w:rtl w:val="true"/>
        </w:rPr>
        <w:t xml:space="preserve">, </w:t>
      </w:r>
      <w:r>
        <w:rPr>
          <w:rtl w:val="true"/>
        </w:rPr>
        <w:t>משך שנים ארוכות</w:t>
      </w:r>
      <w:r>
        <w:rPr>
          <w:rtl w:val="true"/>
        </w:rPr>
        <w:t xml:space="preserve">, </w:t>
      </w:r>
      <w:r>
        <w:rPr>
          <w:rtl w:val="true"/>
        </w:rPr>
        <w:t>התיק נותר לא מפוענח</w:t>
      </w:r>
      <w:r>
        <w:rPr>
          <w:rtl w:val="true"/>
        </w:rPr>
        <w:t xml:space="preserve">. </w:t>
      </w:r>
      <w:r>
        <w:rPr>
          <w:rtl w:val="true"/>
        </w:rPr>
        <w:t xml:space="preserve">הדברים השתנו במהלך חודש ינואר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 xml:space="preserve">אז נמצאה התאמה בין טביעת אצבעו של המערער </w:t>
      </w:r>
      <w:r>
        <w:rPr>
          <w:rtl w:val="true"/>
        </w:rPr>
        <w:t>–</w:t>
      </w:r>
      <w:r>
        <w:rPr>
          <w:rtl w:val="true"/>
        </w:rPr>
        <w:t xml:space="preserve"> פועל בניין</w:t>
      </w:r>
      <w:r>
        <w:rPr>
          <w:rtl w:val="true"/>
        </w:rPr>
        <w:t xml:space="preserve">, </w:t>
      </w:r>
      <w:r>
        <w:rPr>
          <w:rtl w:val="true"/>
        </w:rPr>
        <w:t>תושב כפר עקב</w:t>
      </w:r>
      <w:r>
        <w:rPr>
          <w:rtl w:val="true"/>
        </w:rPr>
        <w:t xml:space="preserve">, </w:t>
      </w:r>
      <w:r>
        <w:rPr>
          <w:rtl w:val="true"/>
        </w:rPr>
        <w:t xml:space="preserve">יליד שנת </w:t>
      </w:r>
      <w:r>
        <w:rPr/>
        <w:t>1976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ובין טביעת אצבע שאותרה בכתם דם על מעקה המרפסת הסמוכה לדירה</w:t>
      </w:r>
      <w:r>
        <w:rPr>
          <w:rtl w:val="true"/>
        </w:rPr>
        <w:t xml:space="preserve">, </w:t>
      </w:r>
      <w:r>
        <w:rPr>
          <w:rtl w:val="true"/>
        </w:rPr>
        <w:t>מעקה ששימש את המערער כדי להימלט מהדירה דרך המרפסת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בחודש פברואר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אותרו גם ממצאי דנ</w:t>
      </w:r>
      <w:r>
        <w:rPr>
          <w:rtl w:val="true"/>
        </w:rPr>
        <w:t>"</w:t>
      </w:r>
      <w:r>
        <w:rPr>
          <w:rtl w:val="true"/>
        </w:rPr>
        <w:t>א של המערער על גבי חולצה שלבשה המנוחה בעת האירוע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24.03.2020</w:t>
      </w:r>
      <w:r>
        <w:rPr>
          <w:rtl w:val="true"/>
        </w:rPr>
        <w:t xml:space="preserve"> </w:t>
      </w:r>
      <w:r>
        <w:rPr>
          <w:rtl w:val="true"/>
        </w:rPr>
        <w:t>אותר המערער ונעצר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עובדות אלו</w:t>
      </w:r>
      <w:r>
        <w:rPr>
          <w:rtl w:val="true"/>
        </w:rPr>
        <w:t xml:space="preserve">, </w:t>
      </w:r>
      <w:r>
        <w:rPr>
          <w:rtl w:val="true"/>
        </w:rPr>
        <w:t>שפורטו בהכרעת הדין</w:t>
      </w:r>
      <w:r>
        <w:rPr>
          <w:rtl w:val="true"/>
        </w:rPr>
        <w:t xml:space="preserve">, </w:t>
      </w:r>
      <w:r>
        <w:rPr>
          <w:rtl w:val="true"/>
        </w:rPr>
        <w:t>אינן נתונות עוד במחלוקת בין הצדדים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הצדדים נחלקו </w:t>
      </w:r>
      <w:r>
        <w:rPr>
          <w:rtl w:val="true"/>
        </w:rPr>
        <w:t>–</w:t>
      </w:r>
      <w:r>
        <w:rPr>
          <w:rtl w:val="true"/>
        </w:rPr>
        <w:t xml:space="preserve"> הן בבית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הן בערעור שלפנינו </w:t>
      </w:r>
      <w:r>
        <w:rPr>
          <w:rtl w:val="true"/>
        </w:rPr>
        <w:t>–</w:t>
      </w:r>
      <w:r>
        <w:rPr>
          <w:rtl w:val="true"/>
        </w:rPr>
        <w:t xml:space="preserve"> באשר אירע באותם רגעים</w:t>
      </w:r>
      <w:r>
        <w:rPr>
          <w:rtl w:val="true"/>
        </w:rPr>
        <w:t xml:space="preserve">, </w:t>
      </w:r>
      <w:r>
        <w:rPr>
          <w:rtl w:val="true"/>
        </w:rPr>
        <w:t>לא ארוכים</w:t>
      </w:r>
      <w:r>
        <w:rPr>
          <w:rtl w:val="true"/>
        </w:rPr>
        <w:t xml:space="preserve">, </w:t>
      </w:r>
      <w:r>
        <w:rPr>
          <w:rtl w:val="true"/>
        </w:rPr>
        <w:t>שחלפו מעת שהמערער והמנוחה שוחחו בדירה</w:t>
      </w:r>
      <w:r>
        <w:rPr>
          <w:rtl w:val="true"/>
        </w:rPr>
        <w:t xml:space="preserve">, </w:t>
      </w:r>
      <w:r>
        <w:rPr>
          <w:rtl w:val="true"/>
        </w:rPr>
        <w:t>ועד לרגע שבו בקעו משם זעקותיה</w:t>
      </w:r>
      <w:r>
        <w:rPr>
          <w:rtl w:val="true"/>
        </w:rPr>
        <w:t xml:space="preserve">.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 xml:space="preserve">המנוחה נפטרה כאמור בשנת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בטרם נעצר המערער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עדותה הובאה מפי אלו ששמעו את אמרותיה בסמוך לאחר המעשה</w:t>
      </w:r>
      <w:r>
        <w:rPr>
          <w:rtl w:val="true"/>
        </w:rPr>
        <w:t xml:space="preserve">, </w:t>
      </w:r>
      <w:r>
        <w:rPr>
          <w:rtl w:val="true"/>
        </w:rPr>
        <w:t xml:space="preserve">וזאת בהתאם להוראות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בנקודה זו אפנה לתיאור העובדתי שהובא בכתב האישום בכל הקשור לאירוע שהתפתח בדירה ברגעים אלו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בכתב האישום מתואר כי לאחר שהמערער והמנוחה שוחחו בסלון הדירה למשך כעשרים דקות</w:t>
      </w:r>
      <w:r>
        <w:rPr>
          <w:rtl w:val="true"/>
        </w:rPr>
        <w:t xml:space="preserve">, </w:t>
      </w:r>
      <w:r>
        <w:rPr>
          <w:rtl w:val="true"/>
        </w:rPr>
        <w:t>המנוחה הודיעה למערער כי היא צריכה להתארגן ליציאה מהדירה</w:t>
      </w:r>
      <w:r>
        <w:rPr>
          <w:rtl w:val="true"/>
        </w:rPr>
        <w:t xml:space="preserve">. </w:t>
      </w:r>
      <w:r>
        <w:rPr>
          <w:rtl w:val="true"/>
        </w:rPr>
        <w:t>המנוחה ליוותה את המערער עד ליציאתו מדלת הדירה</w:t>
      </w:r>
      <w:r>
        <w:rPr>
          <w:rtl w:val="true"/>
        </w:rPr>
        <w:t xml:space="preserve">, </w:t>
      </w:r>
      <w:r>
        <w:rPr>
          <w:rtl w:val="true"/>
        </w:rPr>
        <w:t>נעלה את הדלת</w:t>
      </w:r>
      <w:r>
        <w:rPr>
          <w:rtl w:val="true"/>
        </w:rPr>
        <w:t xml:space="preserve">, </w:t>
      </w:r>
      <w:r>
        <w:rPr>
          <w:rtl w:val="true"/>
        </w:rPr>
        <w:t>ונכנסה אל המקלחת</w:t>
      </w:r>
      <w:r>
        <w:rPr>
          <w:rtl w:val="true"/>
        </w:rPr>
        <w:t xml:space="preserve">. </w:t>
      </w:r>
      <w:r>
        <w:rPr>
          <w:rtl w:val="true"/>
        </w:rPr>
        <w:t>עם יציאתה מהמקלחת</w:t>
      </w:r>
      <w:r>
        <w:rPr>
          <w:rtl w:val="true"/>
        </w:rPr>
        <w:t xml:space="preserve">, </w:t>
      </w:r>
      <w:r>
        <w:rPr>
          <w:rtl w:val="true"/>
        </w:rPr>
        <w:t>כשהיא לבושה בחולצה ובתחתונים בלבד</w:t>
      </w:r>
      <w:r>
        <w:rPr>
          <w:rtl w:val="true"/>
        </w:rPr>
        <w:t xml:space="preserve">, </w:t>
      </w:r>
      <w:r>
        <w:rPr>
          <w:rtl w:val="true"/>
        </w:rPr>
        <w:t>המנוחה נתקלה לפתע במערער שעמד בסלון הדירה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המערער התנפל על המנוחה</w:t>
      </w:r>
      <w:r>
        <w:rPr>
          <w:rtl w:val="true"/>
        </w:rPr>
        <w:t xml:space="preserve">, </w:t>
      </w:r>
      <w:r>
        <w:rPr>
          <w:rtl w:val="true"/>
        </w:rPr>
        <w:t>השכיב אותה בכוח על הרצפה</w:t>
      </w:r>
      <w:r>
        <w:rPr>
          <w:rtl w:val="true"/>
        </w:rPr>
        <w:t xml:space="preserve">, </w:t>
      </w:r>
      <w:r>
        <w:rPr>
          <w:rtl w:val="true"/>
        </w:rPr>
        <w:t>התיישב על ברכיה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להוריד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תחתוניה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גירוי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סיפוק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ביזוי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הצלחה</w:t>
      </w:r>
      <w:r>
        <w:rPr>
          <w:rtl w:val="true"/>
        </w:rPr>
        <w:t xml:space="preserve">". </w:t>
      </w:r>
      <w:r>
        <w:rPr>
          <w:rtl w:val="true"/>
        </w:rPr>
        <w:t>המנוחה החלה לזעוק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המערער הטיח את ראשה בקרקע</w:t>
      </w:r>
      <w:r>
        <w:rPr>
          <w:rtl w:val="true"/>
        </w:rPr>
        <w:t xml:space="preserve">, </w:t>
      </w:r>
      <w:r>
        <w:rPr>
          <w:rtl w:val="true"/>
        </w:rPr>
        <w:t xml:space="preserve">נגח </w:t>
      </w:r>
      <w:r>
        <w:rPr>
          <w:rFonts w:ascii="Century" w:hAnsi="Century" w:cs="Century"/>
          <w:sz w:val="22"/>
          <w:sz w:val="22"/>
          <w:rtl w:val="true"/>
        </w:rPr>
        <w:t>בה עם ראשו מספר פעמים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וסתם את פיה בידו</w:t>
      </w:r>
      <w:r>
        <w:rPr>
          <w:rtl w:val="true"/>
        </w:rPr>
        <w:t xml:space="preserve">. </w:t>
      </w:r>
      <w:r>
        <w:rPr>
          <w:rtl w:val="true"/>
        </w:rPr>
        <w:t>המערער המשיך ותלש את שרשרת הזהב שענדה המנוחה על צווארה</w:t>
      </w:r>
      <w:r>
        <w:rPr>
          <w:rtl w:val="true"/>
        </w:rPr>
        <w:t xml:space="preserve">, </w:t>
      </w:r>
      <w:r>
        <w:rPr>
          <w:rtl w:val="true"/>
        </w:rPr>
        <w:t>דרש ממנה את טבעת הזהב שעל אצבעה</w:t>
      </w:r>
      <w:r>
        <w:rPr>
          <w:rtl w:val="true"/>
        </w:rPr>
        <w:t xml:space="preserve">, </w:t>
      </w:r>
      <w:r>
        <w:rPr>
          <w:rtl w:val="true"/>
        </w:rPr>
        <w:t>ולאחר שמסרה לו את טבעתהּ</w:t>
      </w:r>
      <w:r>
        <w:rPr>
          <w:rtl w:val="true"/>
        </w:rPr>
        <w:t xml:space="preserve">, </w:t>
      </w:r>
      <w:r>
        <w:rPr>
          <w:rtl w:val="true"/>
        </w:rPr>
        <w:t>איים עליה כי יהרוג אותה אם לא תחדל מלצעוק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המערער גרר את המנוחה בכוח למטבח</w:t>
      </w:r>
      <w:r>
        <w:rPr>
          <w:rtl w:val="true"/>
        </w:rPr>
        <w:t xml:space="preserve">, </w:t>
      </w:r>
      <w:r>
        <w:rPr>
          <w:rtl w:val="true"/>
        </w:rPr>
        <w:t xml:space="preserve">נטל סכין בעלת להב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ואיים עליה באמצעות הסכין</w:t>
      </w:r>
      <w:r>
        <w:rPr>
          <w:rtl w:val="true"/>
        </w:rPr>
        <w:t xml:space="preserve">. </w:t>
      </w:r>
      <w:r>
        <w:rPr>
          <w:rtl w:val="true"/>
        </w:rPr>
        <w:t>המנוחה ניסתה לתפוס את הסכין</w:t>
      </w:r>
      <w:r>
        <w:rPr>
          <w:rtl w:val="true"/>
        </w:rPr>
        <w:t xml:space="preserve">, </w:t>
      </w:r>
      <w:r>
        <w:rPr>
          <w:rtl w:val="true"/>
        </w:rPr>
        <w:t>ובעת המאבק היא נפצעה בידה</w:t>
      </w:r>
      <w:r>
        <w:rPr>
          <w:rtl w:val="true"/>
        </w:rPr>
        <w:t xml:space="preserve">. </w:t>
      </w:r>
      <w:r>
        <w:rPr>
          <w:rtl w:val="true"/>
        </w:rPr>
        <w:t>המערער הוסיף ומשך את המנוחה לעבר החדרים בדירה</w:t>
      </w:r>
      <w:r>
        <w:rPr>
          <w:rtl w:val="true"/>
        </w:rPr>
        <w:t xml:space="preserve">, </w:t>
      </w:r>
      <w:r>
        <w:rPr>
          <w:rtl w:val="true"/>
        </w:rPr>
        <w:t>הפיל אותה על הרצפה ושב ואיים עליה שלא תצעק</w:t>
      </w:r>
      <w:r>
        <w:rPr>
          <w:rtl w:val="true"/>
        </w:rPr>
        <w:t xml:space="preserve">, </w:t>
      </w:r>
      <w:r>
        <w:rPr>
          <w:rtl w:val="true"/>
        </w:rPr>
        <w:t>תוך שהוא מצמיד את הסכין לבטנה התחתונה</w:t>
      </w:r>
      <w:r>
        <w:rPr>
          <w:rtl w:val="true"/>
        </w:rPr>
        <w:t xml:space="preserve">. </w:t>
      </w:r>
      <w:r>
        <w:rPr>
          <w:rtl w:val="true"/>
        </w:rPr>
        <w:t>המנוחה הצליחה לבסוף להשתחרר מלפיתת המערער</w:t>
      </w:r>
      <w:r>
        <w:rPr>
          <w:rtl w:val="true"/>
        </w:rPr>
        <w:t xml:space="preserve">, </w:t>
      </w:r>
      <w:r>
        <w:rPr>
          <w:rtl w:val="true"/>
        </w:rPr>
        <w:t>אך לא לפני שנפצעה מהסכין גם בידה השנייה</w:t>
      </w:r>
      <w:r>
        <w:rPr>
          <w:rtl w:val="true"/>
        </w:rPr>
        <w:t xml:space="preserve">. </w:t>
      </w:r>
      <w:r>
        <w:rPr>
          <w:rtl w:val="true"/>
        </w:rPr>
        <w:t>לאחר שהמערער שמע את קריאתו של השכן מחוץ לדירה</w:t>
      </w:r>
      <w:r>
        <w:rPr>
          <w:rtl w:val="true"/>
        </w:rPr>
        <w:t xml:space="preserve">, </w:t>
      </w:r>
      <w:r>
        <w:rPr>
          <w:rtl w:val="true"/>
        </w:rPr>
        <w:t>הוא עזב את המנוחה וברח דרך המרפסת אל מחוץ לדירה</w:t>
      </w:r>
      <w:r>
        <w:rPr>
          <w:rtl w:val="true"/>
        </w:rPr>
        <w:t>.</w:t>
      </w:r>
    </w:p>
    <w:p>
      <w:pPr>
        <w:pStyle w:val="Ruller42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בפתח הכרעת הדין הודגש</w:t>
      </w:r>
      <w:r>
        <w:rPr>
          <w:rtl w:val="true"/>
        </w:rPr>
        <w:t xml:space="preserve">, </w:t>
      </w:r>
      <w:r>
        <w:rPr>
          <w:rtl w:val="true"/>
        </w:rPr>
        <w:t>כי בין הצדדים לא הייתה מחלוקת בכל הנוגע להימצאות המערער בדירה בעת האירוע</w:t>
      </w:r>
      <w:r>
        <w:rPr>
          <w:rtl w:val="true"/>
        </w:rPr>
        <w:t xml:space="preserve">, </w:t>
      </w:r>
      <w:r>
        <w:rPr>
          <w:rtl w:val="true"/>
        </w:rPr>
        <w:t>עובדה שנתמכה בטביעת אצבע של המערער שאותרה בזירה</w:t>
      </w:r>
      <w:r>
        <w:rPr>
          <w:rtl w:val="true"/>
        </w:rPr>
        <w:t xml:space="preserve">, </w:t>
      </w:r>
      <w:r>
        <w:rPr>
          <w:rtl w:val="true"/>
        </w:rPr>
        <w:t>וכן בממצאי דנ</w:t>
      </w:r>
      <w:r>
        <w:rPr>
          <w:rtl w:val="true"/>
        </w:rPr>
        <w:t>"</w:t>
      </w:r>
      <w:r>
        <w:rPr>
          <w:rtl w:val="true"/>
        </w:rPr>
        <w:t>א שלו שאותרו על גבי חולצתה של המנוחה</w:t>
      </w:r>
      <w:r>
        <w:rPr>
          <w:rtl w:val="true"/>
        </w:rPr>
        <w:t xml:space="preserve">. </w:t>
      </w:r>
      <w:r>
        <w:rPr>
          <w:rtl w:val="true"/>
        </w:rPr>
        <w:t>המחלוקת בין הצדדים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התמקדה אך בנסיבות האירוע האלים שאירע בדירה</w:t>
      </w:r>
      <w:r>
        <w:rPr>
          <w:rtl w:val="true"/>
        </w:rPr>
        <w:t xml:space="preserve">. </w:t>
      </w:r>
      <w:r>
        <w:rPr>
          <w:rtl w:val="true"/>
        </w:rPr>
        <w:t>על מנת להכריע במחלוקת זו</w:t>
      </w:r>
      <w:r>
        <w:rPr>
          <w:rtl w:val="true"/>
        </w:rPr>
        <w:t xml:space="preserve">, </w:t>
      </w:r>
      <w:r>
        <w:rPr>
          <w:rtl w:val="true"/>
        </w:rPr>
        <w:t>נדרש בית משפט קמא</w:t>
      </w:r>
      <w:r>
        <w:rPr>
          <w:rtl w:val="true"/>
        </w:rPr>
        <w:t xml:space="preserve">,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למארג הראיות שהובא על</w:t>
      </w:r>
      <w:r>
        <w:rPr>
          <w:rtl w:val="true"/>
        </w:rPr>
        <w:t>-</w:t>
      </w:r>
      <w:r>
        <w:rPr>
          <w:rtl w:val="true"/>
        </w:rPr>
        <w:t>ידי המדינה</w:t>
      </w:r>
      <w:r>
        <w:rPr>
          <w:rtl w:val="true"/>
        </w:rPr>
        <w:t xml:space="preserve">. </w:t>
      </w:r>
      <w:r>
        <w:rPr>
          <w:rtl w:val="true"/>
        </w:rPr>
        <w:t>ראיות אלו כללו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שש אמרות שנאמרו על</w:t>
      </w:r>
      <w:r>
        <w:rPr>
          <w:rtl w:val="true"/>
        </w:rPr>
        <w:t>-</w:t>
      </w:r>
      <w:r>
        <w:rPr>
          <w:rtl w:val="true"/>
        </w:rPr>
        <w:t xml:space="preserve">ידי המנוחה בסמוך לאחר מעשה האלימות </w:t>
      </w:r>
      <w:r>
        <w:rPr>
          <w:rtl w:val="true"/>
        </w:rPr>
        <w:t>–</w:t>
      </w:r>
      <w:r>
        <w:rPr>
          <w:rtl w:val="true"/>
        </w:rPr>
        <w:t xml:space="preserve"> לשכן</w:t>
      </w:r>
      <w:r>
        <w:rPr>
          <w:rtl w:val="true"/>
        </w:rPr>
        <w:t xml:space="preserve">, </w:t>
      </w:r>
      <w:r>
        <w:rPr>
          <w:rtl w:val="true"/>
        </w:rPr>
        <w:t>לשוטר הסיור</w:t>
      </w:r>
      <w:r>
        <w:rPr>
          <w:rtl w:val="true"/>
        </w:rPr>
        <w:t xml:space="preserve">, </w:t>
      </w:r>
      <w:r>
        <w:rPr>
          <w:rtl w:val="true"/>
        </w:rPr>
        <w:t>לשני חוקרי משטרה</w:t>
      </w:r>
      <w:r>
        <w:rPr>
          <w:rtl w:val="true"/>
        </w:rPr>
        <w:t xml:space="preserve">, </w:t>
      </w:r>
      <w:r>
        <w:rPr>
          <w:rtl w:val="true"/>
        </w:rPr>
        <w:t xml:space="preserve">ולאחותה ובנה </w:t>
      </w:r>
      <w:r>
        <w:rPr>
          <w:rtl w:val="true"/>
        </w:rPr>
        <w:t>(</w:t>
      </w:r>
      <w:r>
        <w:rPr>
          <w:rtl w:val="true"/>
        </w:rPr>
        <w:t>של המנוחה</w:t>
      </w:r>
      <w:r>
        <w:rPr>
          <w:rtl w:val="true"/>
        </w:rPr>
        <w:t xml:space="preserve">) </w:t>
      </w:r>
      <w:r>
        <w:rPr>
          <w:rtl w:val="true"/>
        </w:rPr>
        <w:t>שבאו לבקרה בבית החולים</w:t>
      </w:r>
      <w:r>
        <w:rPr>
          <w:rtl w:val="true"/>
        </w:rPr>
        <w:t xml:space="preserve">; </w:t>
      </w:r>
      <w:r>
        <w:rPr>
          <w:rtl w:val="true"/>
        </w:rPr>
        <w:t>וכן עדויות וראיות פורנזיות שהובאו לתמיכה בתוכן אמרות אלו</w:t>
      </w:r>
      <w:r>
        <w:rPr>
          <w:rtl w:val="true"/>
        </w:rPr>
        <w:t xml:space="preserve">. </w:t>
      </w:r>
      <w:r>
        <w:rPr>
          <w:rtl w:val="true"/>
        </w:rPr>
        <w:t>מאידך גיסא</w:t>
      </w:r>
      <w:r>
        <w:rPr>
          <w:rtl w:val="true"/>
        </w:rPr>
        <w:t xml:space="preserve">, </w:t>
      </w:r>
      <w:r>
        <w:rPr>
          <w:rtl w:val="true"/>
        </w:rPr>
        <w:t>נבחנו גרסאותיו המתפתחות של המערער למול התמונה הראייתית כולה</w:t>
      </w:r>
      <w:r>
        <w:rPr>
          <w:rtl w:val="true"/>
        </w:rPr>
        <w:t xml:space="preserve">. </w:t>
      </w:r>
      <w:r>
        <w:rPr>
          <w:rtl w:val="true"/>
        </w:rPr>
        <w:t>הכול כפי שיפורט מיד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בעת שהוגש כתב האישום נגד המערער</w:t>
      </w:r>
      <w:r>
        <w:rPr>
          <w:rtl w:val="true"/>
        </w:rPr>
        <w:t xml:space="preserve">, </w:t>
      </w:r>
      <w:r>
        <w:rPr>
          <w:rtl w:val="true"/>
        </w:rPr>
        <w:t>המנוחה כבר לא הייתה בין החיים</w:t>
      </w:r>
      <w:r>
        <w:rPr>
          <w:rtl w:val="true"/>
        </w:rPr>
        <w:t xml:space="preserve">. </w:t>
      </w:r>
      <w:r>
        <w:rPr>
          <w:rtl w:val="true"/>
        </w:rPr>
        <w:t>כתב האישום התבסס אפוא</w:t>
      </w:r>
      <w:r>
        <w:rPr>
          <w:rtl w:val="true"/>
        </w:rPr>
        <w:t xml:space="preserve">, </w:t>
      </w:r>
      <w:r>
        <w:rPr>
          <w:rtl w:val="true"/>
        </w:rPr>
        <w:t>במידה רבה</w:t>
      </w:r>
      <w:r>
        <w:rPr>
          <w:rtl w:val="true"/>
        </w:rPr>
        <w:t xml:space="preserve">, </w:t>
      </w:r>
      <w:r>
        <w:rPr>
          <w:rtl w:val="true"/>
        </w:rPr>
        <w:t>על אמרותיה של המנוחה בסמוך לאחר האירוע האלים</w:t>
      </w:r>
      <w:r>
        <w:rPr>
          <w:rtl w:val="true"/>
        </w:rPr>
        <w:t xml:space="preserve">. </w:t>
      </w:r>
      <w:r>
        <w:rPr>
          <w:rtl w:val="true"/>
        </w:rPr>
        <w:t>גם הרשעת המערער בבית משפט קמא התבססה</w:t>
      </w:r>
      <w:r>
        <w:rPr>
          <w:rtl w:val="true"/>
        </w:rPr>
        <w:t xml:space="preserve">, </w:t>
      </w:r>
      <w:r>
        <w:rPr>
          <w:rtl w:val="true"/>
        </w:rPr>
        <w:t>במידה רבה</w:t>
      </w:r>
      <w:r>
        <w:rPr>
          <w:rtl w:val="true"/>
        </w:rPr>
        <w:t xml:space="preserve">, </w:t>
      </w:r>
      <w:r>
        <w:rPr>
          <w:rtl w:val="true"/>
        </w:rPr>
        <w:t>על העדפת אמרות המנוחה על פני גרסאות המערער</w:t>
      </w:r>
      <w:r>
        <w:rPr>
          <w:rtl w:val="true"/>
        </w:rPr>
        <w:t xml:space="preserve">, </w:t>
      </w:r>
      <w:r>
        <w:rPr>
          <w:rtl w:val="true"/>
        </w:rPr>
        <w:t>ואף הערעור דנא מופנה כלפי האפשרות להרשיעו על בסיס אמרות אלו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אפתח את הדיון בהצגת אמרות המנוחה כפי שאלו הובאו בפני בית משפט קמא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אמרתה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 של המנוחה לאחר האירוע</w:t>
      </w:r>
      <w:r>
        <w:rPr>
          <w:rtl w:val="true"/>
        </w:rPr>
        <w:t xml:space="preserve">, </w:t>
      </w:r>
      <w:r>
        <w:rPr>
          <w:rtl w:val="true"/>
        </w:rPr>
        <w:t>הובאה מפי השכן</w:t>
      </w:r>
      <w:r>
        <w:rPr>
          <w:rtl w:val="true"/>
        </w:rPr>
        <w:t xml:space="preserve">. </w:t>
      </w:r>
      <w:r>
        <w:rPr>
          <w:rtl w:val="true"/>
        </w:rPr>
        <w:t>בבית המשפט העיד הלה</w:t>
      </w:r>
      <w:r>
        <w:rPr>
          <w:rtl w:val="true"/>
        </w:rPr>
        <w:t xml:space="preserve">, </w:t>
      </w:r>
      <w:r>
        <w:rPr>
          <w:rtl w:val="true"/>
        </w:rPr>
        <w:t>כי עם פתיחת דלת הדירה נגלתה לעיניו המנוחה כשהיא נסערת ובמצב נפשי קשה</w:t>
      </w:r>
      <w:r>
        <w:rPr>
          <w:rtl w:val="true"/>
        </w:rPr>
        <w:t xml:space="preserve">, </w:t>
      </w:r>
      <w:r>
        <w:rPr>
          <w:rtl w:val="true"/>
        </w:rPr>
        <w:t>לבושה רק בבגדים תחתונים ונוטפת דם מגופה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המנוחה צעקה לעברו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והחדירו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tl w:val="true"/>
        </w:rPr>
        <w:t xml:space="preserve">". </w:t>
      </w:r>
      <w:r>
        <w:rPr>
          <w:rtl w:val="true"/>
        </w:rPr>
        <w:t>השכן הוסיף והעיד כי המנוחה המשיכה באומרה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הוציא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התכשיטים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תכשיטים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חתך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tl w:val="true"/>
        </w:rPr>
        <w:t>".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אמרתה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 של המנוחה הובאה מפי שוטר הסיור שהוזעק לזירה</w:t>
      </w:r>
      <w:r>
        <w:rPr>
          <w:rtl w:val="true"/>
        </w:rPr>
        <w:t xml:space="preserve">. </w:t>
      </w:r>
      <w:r>
        <w:rPr>
          <w:rtl w:val="true"/>
        </w:rPr>
        <w:t>ביום האירוע</w:t>
      </w:r>
      <w:r>
        <w:rPr>
          <w:rtl w:val="true"/>
        </w:rPr>
        <w:t xml:space="preserve">, </w:t>
      </w:r>
      <w:r>
        <w:rPr>
          <w:rtl w:val="true"/>
        </w:rPr>
        <w:t>הכין שוטר הסיור דו</w:t>
      </w:r>
      <w:r>
        <w:rPr>
          <w:rtl w:val="true"/>
        </w:rPr>
        <w:t>"</w:t>
      </w:r>
      <w:r>
        <w:rPr>
          <w:rtl w:val="true"/>
        </w:rPr>
        <w:t xml:space="preserve">ח פעולה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שבו נכתב כי המנוחה סיפרה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התנגדה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מהחלון</w:t>
      </w:r>
      <w:r>
        <w:rPr>
          <w:rtl w:val="true"/>
        </w:rPr>
        <w:t xml:space="preserve">". </w:t>
      </w:r>
      <w:r>
        <w:rPr>
          <w:rtl w:val="true"/>
        </w:rPr>
        <w:t>שוטר הסיור אישר בעדותו בבית המשפט את נכונות האמור בדו</w:t>
      </w:r>
      <w:r>
        <w:rPr>
          <w:rtl w:val="true"/>
        </w:rPr>
        <w:t>"</w:t>
      </w:r>
      <w:r>
        <w:rPr>
          <w:rtl w:val="true"/>
        </w:rPr>
        <w:t>ח הפעולה</w:t>
      </w:r>
      <w:r>
        <w:rPr>
          <w:rtl w:val="true"/>
        </w:rPr>
        <w:t xml:space="preserve">. </w:t>
      </w:r>
      <w:r>
        <w:rPr>
          <w:rtl w:val="true"/>
        </w:rPr>
        <w:t>עוד נכתב בדו</w:t>
      </w:r>
      <w:r>
        <w:rPr>
          <w:rtl w:val="true"/>
        </w:rPr>
        <w:t>"</w:t>
      </w:r>
      <w:r>
        <w:rPr>
          <w:rtl w:val="true"/>
        </w:rPr>
        <w:t>ח הפעולה כי נהג האמבולנס שפינה את המנוחה לבית החולים סיפר</w:t>
      </w:r>
      <w:r>
        <w:rPr>
          <w:rtl w:val="true"/>
        </w:rPr>
        <w:t xml:space="preserve">, </w:t>
      </w:r>
      <w:r>
        <w:rPr>
          <w:rtl w:val="true"/>
        </w:rPr>
        <w:t xml:space="preserve">כי המנוחה מסרה לו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שהחשוד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מצווארה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שרשרת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מיהלומים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וביקש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באצבעה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חושדת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שגנב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הארנק</w:t>
      </w:r>
      <w:r>
        <w:rPr>
          <w:rtl w:val="true"/>
        </w:rPr>
        <w:t>".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אמרתה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rtl w:val="true"/>
        </w:rPr>
        <w:t xml:space="preserve"> של המנוחה הובאה מפי חוקר המשטרה שהגיע לבית החולים בשעה </w:t>
      </w:r>
      <w:r>
        <w:rPr/>
        <w:t>18:20</w:t>
      </w:r>
      <w:r>
        <w:rPr>
          <w:rtl w:val="true"/>
        </w:rPr>
        <w:t xml:space="preserve"> </w:t>
      </w:r>
      <w:r>
        <w:rPr>
          <w:rtl w:val="true"/>
        </w:rPr>
        <w:t xml:space="preserve">ביום האירוע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המנוחה תיארה בפני חוקר המשטרה כי לאחר שסיימה להתלבש בחדר המקלחת</w:t>
      </w:r>
      <w:r>
        <w:rPr>
          <w:rtl w:val="true"/>
        </w:rPr>
        <w:t xml:space="preserve">, </w:t>
      </w:r>
      <w:r>
        <w:rPr>
          <w:rtl w:val="true"/>
        </w:rPr>
        <w:t>היא שמעה רעש ויצאה לסלון הדירה</w:t>
      </w:r>
      <w:r>
        <w:rPr>
          <w:rtl w:val="true"/>
        </w:rPr>
        <w:t xml:space="preserve">, </w:t>
      </w:r>
      <w:r>
        <w:rPr>
          <w:rtl w:val="true"/>
        </w:rPr>
        <w:t>שם הופתעה לראות את המערער</w:t>
      </w:r>
      <w:r>
        <w:rPr>
          <w:rtl w:val="true"/>
        </w:rPr>
        <w:t xml:space="preserve">, </w:t>
      </w:r>
      <w:r>
        <w:rPr>
          <w:rtl w:val="true"/>
        </w:rPr>
        <w:t>אותו היא ליוותה קודם לכן אל מחוץ לדירה</w:t>
      </w:r>
      <w:r>
        <w:rPr>
          <w:rtl w:val="true"/>
        </w:rPr>
        <w:t xml:space="preserve">. </w:t>
      </w:r>
      <w:r>
        <w:rPr>
          <w:rtl w:val="true"/>
        </w:rPr>
        <w:t>את שאירע מיד לאחר מכן תיארה המנוחה כך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טירוף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והשכיב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בפרוזדור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המחסן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לפתוח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המכנס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גדול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הברכיים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לסתום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צעקתי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אהרוג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והמשיך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לנסות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לפתוח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המכנס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בסלון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להכניס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לחדרים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ולמקלחת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בסלון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למטבח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ולקח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והכניס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החדרים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לסתום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שהארנק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בסלון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למסדרון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לסתום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נשכתי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האצבע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צעק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תפסתי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ולחצתי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והתחלתי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לצרוח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עזב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המרפסת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הגדר</w:t>
      </w:r>
      <w:r>
        <w:rPr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במענה לשאלה כיצד ניסה המערער לאנוס אותה</w:t>
      </w:r>
      <w:r>
        <w:rPr>
          <w:rtl w:val="true"/>
        </w:rPr>
        <w:t xml:space="preserve">, </w:t>
      </w:r>
      <w:r>
        <w:rPr>
          <w:rtl w:val="true"/>
        </w:rPr>
        <w:t xml:space="preserve">השיבה המנוחה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מהמרפסת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הסלון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והפיל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להוריד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המכנסיים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השרשרת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מהגרון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הפרוזדור</w:t>
      </w:r>
      <w:r>
        <w:rPr>
          <w:rtl w:val="true"/>
        </w:rPr>
        <w:t xml:space="preserve">".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חוקר המשטרה ביקש לברר האם המערער הצליח להוריד את בגדיה של המנוחה</w:t>
      </w:r>
      <w:r>
        <w:rPr>
          <w:rtl w:val="true"/>
        </w:rPr>
        <w:t xml:space="preserve">, </w:t>
      </w:r>
      <w:r>
        <w:rPr>
          <w:rtl w:val="true"/>
        </w:rPr>
        <w:t>אך הוא נאלץ להפסיק את התשאול בעקבות כניסת הרופא לחדר כדי לטפל במנוחה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בו ביום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20:34</w:t>
      </w:r>
      <w:r>
        <w:rPr>
          <w:rtl w:val="true"/>
        </w:rPr>
        <w:t xml:space="preserve"> </w:t>
      </w:r>
      <w:r>
        <w:rPr>
          <w:rtl w:val="true"/>
        </w:rPr>
        <w:t xml:space="preserve">גבתה חוקרת משטרה נוספת את עדות המנוחה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בהודעה זו</w:t>
      </w:r>
      <w:r>
        <w:rPr>
          <w:rtl w:val="true"/>
        </w:rPr>
        <w:t xml:space="preserve">, </w:t>
      </w:r>
      <w:r>
        <w:rPr>
          <w:rtl w:val="true"/>
        </w:rPr>
        <w:t xml:space="preserve">שהיא האמרה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הרביעית</w:t>
      </w:r>
      <w:r>
        <w:rPr>
          <w:rtl w:val="true"/>
        </w:rPr>
        <w:t xml:space="preserve"> שהתקבלה כראיה בבית המשפט</w:t>
      </w:r>
      <w:r>
        <w:rPr>
          <w:rtl w:val="true"/>
        </w:rPr>
        <w:t xml:space="preserve">, </w:t>
      </w:r>
      <w:r>
        <w:rPr>
          <w:rtl w:val="true"/>
        </w:rPr>
        <w:t>סיפרה המנוחה על אשר אירע לאחר שיצאה מהמקלחת</w:t>
      </w:r>
      <w:r>
        <w:rPr>
          <w:rtl w:val="true"/>
        </w:rPr>
        <w:t xml:space="preserve">, </w:t>
      </w:r>
      <w:r>
        <w:rPr>
          <w:rtl w:val="true"/>
        </w:rPr>
        <w:t>ביתר פירוט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נכנסתי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להתקלח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התקלחתי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ושמעתי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רעש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ולבשתי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מכנסיים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ובאתי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פתאום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המרפסת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השרירים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הצלחתי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לברוח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התנפל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הברכיים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להוריד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המכנסיים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ובינתיים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אצרח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נאבקתי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לדחוף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השרשרת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השרשרת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בשרשרת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מהצ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יהלומים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לדחוף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ולנסות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תורידי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הטבעת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נאבקת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וצורחת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תשתקי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רעיון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להציע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בסלון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הברכיים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אנחנו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נמצאים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בפרוזדור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המקלחת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ברצפה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עכשיו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בסלון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לברוח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מתקנת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מאחורי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הכתפיים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בשביל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הכסף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למטבח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ותפס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תופס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הכתפיים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להכניס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לבטן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לתפוס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להכניס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למקלח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פחדתי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שבמקלחת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נדחפתי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ושנינו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נפלנו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בפרוזדור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המקלחת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מחסן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להכניס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הרגליים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הושטתי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נחתכה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צרחתי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נשכתי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האצבע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ותפסתי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הביצים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תעזבי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האצבע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התפתל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מכאב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ופתאום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למרפסת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המרפסת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פתחתי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וצעקתי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מכנסיים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תחתונים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ואשתו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ולאמבולנס</w:t>
      </w:r>
      <w:r>
        <w:rPr>
          <w:rtl w:val="true"/>
        </w:rPr>
        <w:t xml:space="preserve">". </w:t>
      </w:r>
      <w:r>
        <w:rPr>
          <w:rtl w:val="true"/>
        </w:rPr>
        <w:t>במענה לשאלה מתי המערער הוריד את מכנסיה</w:t>
      </w:r>
      <w:r>
        <w:rPr>
          <w:rtl w:val="true"/>
        </w:rPr>
        <w:t xml:space="preserve">, </w:t>
      </w:r>
      <w:r>
        <w:rPr>
          <w:rtl w:val="true"/>
        </w:rPr>
        <w:t xml:space="preserve">השיבה המנוחה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זוכרת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מכנסיים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זוכרת</w:t>
      </w:r>
      <w:r>
        <w:rPr>
          <w:rtl w:val="true"/>
        </w:rPr>
        <w:t xml:space="preserve">". </w:t>
      </w:r>
      <w:r>
        <w:rPr>
          <w:rtl w:val="true"/>
        </w:rPr>
        <w:t>במענה לשאלות נוספות</w:t>
      </w:r>
      <w:r>
        <w:rPr>
          <w:rtl w:val="true"/>
        </w:rPr>
        <w:t xml:space="preserve">, </w:t>
      </w:r>
      <w:r>
        <w:rPr>
          <w:rtl w:val="true"/>
        </w:rPr>
        <w:t xml:space="preserve">המנוחה </w:t>
      </w:r>
      <w:r>
        <w:rPr>
          <w:rFonts w:ascii="Century" w:hAnsi="Century" w:cs="Century"/>
          <w:sz w:val="22"/>
          <w:sz w:val="22"/>
          <w:rtl w:val="true"/>
        </w:rPr>
        <w:t>שללה</w:t>
      </w:r>
      <w:r>
        <w:rPr>
          <w:rtl w:val="true"/>
        </w:rPr>
        <w:t xml:space="preserve"> את האפשרות שהמערער ניסה להחדיר את אצבעותיו לאיבר מינה</w:t>
      </w:r>
      <w:r>
        <w:rPr>
          <w:rtl w:val="true"/>
        </w:rPr>
        <w:t xml:space="preserve">, </w:t>
      </w:r>
      <w:r>
        <w:rPr>
          <w:rtl w:val="true"/>
        </w:rPr>
        <w:t>או נגע בה בגופה באיברים אינטימיים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אמרתה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החמישית</w:t>
      </w:r>
      <w:r>
        <w:rPr>
          <w:rtl w:val="true"/>
        </w:rPr>
        <w:t xml:space="preserve"> של המנוחה</w:t>
      </w:r>
      <w:r>
        <w:rPr>
          <w:rtl w:val="true"/>
        </w:rPr>
        <w:t xml:space="preserve">, </w:t>
      </w:r>
      <w:r>
        <w:rPr>
          <w:rtl w:val="true"/>
        </w:rPr>
        <w:t>נאמרה לאחותה בעת שהרופאים היו עסוקים בתפירת החתכים שהיו בידיה</w:t>
      </w:r>
      <w:r>
        <w:rPr>
          <w:rtl w:val="true"/>
        </w:rPr>
        <w:t xml:space="preserve">. </w:t>
      </w:r>
      <w:r>
        <w:rPr>
          <w:rtl w:val="true"/>
        </w:rPr>
        <w:t>בהתאם לעדותה של האחות בבית המשפט</w:t>
      </w:r>
      <w:r>
        <w:rPr>
          <w:rtl w:val="true"/>
        </w:rPr>
        <w:t xml:space="preserve">, </w:t>
      </w:r>
      <w:r>
        <w:rPr>
          <w:rtl w:val="true"/>
        </w:rPr>
        <w:t>המנוחה סיפרה לה כי לאחר שליוותה את המערער אל מחוץ לדירה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נכנסה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למקלחת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ובעודה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מתארגנת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תחתונים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רעש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מהמקלחת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הופתעה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ברצפה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בצוואר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לדקור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במפשעה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האצבעות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חתכים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להוריד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הצעקות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ברח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כאשר התבקשה לתאר בבית המשפט מה בדיוק עשה המערער למנוחה</w:t>
      </w:r>
      <w:r>
        <w:rPr>
          <w:rtl w:val="true"/>
        </w:rPr>
        <w:t xml:space="preserve">, </w:t>
      </w:r>
      <w:r>
        <w:rPr>
          <w:rtl w:val="true"/>
        </w:rPr>
        <w:t>השיבה האחות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מהמקלחת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דפק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בצווארה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תזוז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לכיוון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המפ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tl w:val="true"/>
        </w:rPr>
        <w:t xml:space="preserve">". </w:t>
      </w:r>
      <w:r>
        <w:rPr>
          <w:rtl w:val="true"/>
        </w:rPr>
        <w:t>כאשר נשאלה על אמרתה של המנוחה לחוקרת המשטרה</w:t>
      </w:r>
      <w:r>
        <w:rPr>
          <w:rtl w:val="true"/>
        </w:rPr>
        <w:t xml:space="preserve">, </w:t>
      </w:r>
      <w:r>
        <w:rPr>
          <w:rtl w:val="true"/>
        </w:rPr>
        <w:t>לפיה המערער ניסה להוריד את מכנסיה</w:t>
      </w:r>
      <w:r>
        <w:rPr>
          <w:rtl w:val="true"/>
        </w:rPr>
        <w:t xml:space="preserve">, </w:t>
      </w:r>
      <w:r>
        <w:rPr>
          <w:rtl w:val="true"/>
        </w:rPr>
        <w:t xml:space="preserve">השיבה האחות כי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מהמקלחת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תחתונים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הספיקה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המכנסיים</w:t>
      </w:r>
      <w:r>
        <w:rPr>
          <w:rtl w:val="true"/>
        </w:rPr>
        <w:t>".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האמרה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השישית</w:t>
      </w:r>
      <w:r>
        <w:rPr>
          <w:rtl w:val="true"/>
        </w:rPr>
        <w:t xml:space="preserve"> הוצגה בעדות בנה של המנוחה בבית המשפט</w:t>
      </w:r>
      <w:r>
        <w:rPr>
          <w:rtl w:val="true"/>
        </w:rPr>
        <w:t xml:space="preserve">. </w:t>
      </w:r>
      <w:r>
        <w:rPr>
          <w:rtl w:val="true"/>
        </w:rPr>
        <w:t>הוא העיד כך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לעומק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צעקה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התנגדה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ובגלל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והחתכים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מהצעקות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דפקו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צעקו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נכנסו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ברח</w:t>
      </w:r>
      <w:r>
        <w:rPr>
          <w:rtl w:val="true"/>
        </w:rPr>
        <w:t>".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לאחר בחינת מכלול אמרות המנוחה</w:t>
      </w:r>
      <w:r>
        <w:rPr>
          <w:rtl w:val="true"/>
        </w:rPr>
        <w:t xml:space="preserve">, </w:t>
      </w:r>
      <w:r>
        <w:rPr>
          <w:rtl w:val="true"/>
        </w:rPr>
        <w:t>הגיע בית משפט קמא למסקנה כי המנוחה הייתה עקבית בגרסתה שלפיה המערער שדד אותה</w:t>
      </w:r>
      <w:r>
        <w:rPr>
          <w:rtl w:val="true"/>
        </w:rPr>
        <w:t xml:space="preserve">, </w:t>
      </w:r>
      <w:r>
        <w:rPr>
          <w:rtl w:val="true"/>
        </w:rPr>
        <w:t>תקף אותה פיזית תוך שגרם לפציעות בכל חלקי גופה</w:t>
      </w:r>
      <w:r>
        <w:rPr>
          <w:rtl w:val="true"/>
        </w:rPr>
        <w:t xml:space="preserve">, </w:t>
      </w:r>
      <w:r>
        <w:rPr>
          <w:rtl w:val="true"/>
        </w:rPr>
        <w:t>וניסה לתקוף אותה תקיפה מינית</w:t>
      </w:r>
      <w:r>
        <w:rPr>
          <w:rtl w:val="true"/>
        </w:rPr>
        <w:t xml:space="preserve">. </w:t>
      </w:r>
      <w:r>
        <w:rPr>
          <w:rtl w:val="true"/>
        </w:rPr>
        <w:t>בית המשפט מצא כי הוכח שאמרותיה של המנוחה נאמרו בסמוך לאירוע האלים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 xml:space="preserve">ניתן לקבל אותן כראיה לאמיתות תוכנן בהתאם </w:t>
      </w:r>
      <w:hyperlink r:id="rId37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בית המשפט פנה לבחון את עיקרי אמרות המנוחה כפי שהוכחו במשפט</w:t>
      </w:r>
      <w:r>
        <w:rPr>
          <w:rtl w:val="true"/>
        </w:rPr>
        <w:t xml:space="preserve">, </w:t>
      </w:r>
      <w:r>
        <w:rPr>
          <w:rtl w:val="true"/>
        </w:rPr>
        <w:t>למול גרסאותיו המתפתחות של המערער</w:t>
      </w:r>
      <w:r>
        <w:rPr>
          <w:rtl w:val="true"/>
        </w:rPr>
        <w:t xml:space="preserve">. </w:t>
      </w:r>
      <w:r>
        <w:rPr>
          <w:rtl w:val="true"/>
        </w:rPr>
        <w:t>לתיאורן של אלה אפנה כעת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נעצר ביום </w:t>
      </w:r>
      <w:r>
        <w:rPr/>
        <w:t>24.03.2020</w:t>
      </w:r>
      <w:r>
        <w:rPr>
          <w:rtl w:val="true"/>
        </w:rPr>
        <w:t xml:space="preserve"> </w:t>
      </w:r>
      <w:r>
        <w:rPr>
          <w:rtl w:val="true"/>
        </w:rPr>
        <w:t xml:space="preserve">ובו ביום הוא נלקח לחקירה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המערער הכחיש את האירוע מכול וכול</w:t>
      </w:r>
      <w:r>
        <w:rPr>
          <w:rtl w:val="true"/>
        </w:rPr>
        <w:t xml:space="preserve">, </w:t>
      </w:r>
      <w:r>
        <w:rPr>
          <w:rtl w:val="true"/>
        </w:rPr>
        <w:t>תוך שטען כי מעולם לא היה בשכונה שבה הדירה מצויה</w:t>
      </w:r>
      <w:r>
        <w:rPr>
          <w:rtl w:val="true"/>
        </w:rPr>
        <w:t xml:space="preserve">. </w:t>
      </w:r>
      <w:r>
        <w:rPr>
          <w:rtl w:val="true"/>
        </w:rPr>
        <w:t>לאחר שעומת המערער עם סרטון שבו הוא נראה ביום האירוע הולך סמוך לדירה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tl w:val="true"/>
        </w:rPr>
        <w:t>'</w:t>
      </w:r>
      <w:r>
        <w:rPr>
          <w:rtl w:val="true"/>
        </w:rPr>
        <w:t>נזכר</w:t>
      </w:r>
      <w:r>
        <w:rPr>
          <w:rtl w:val="true"/>
        </w:rPr>
        <w:t xml:space="preserve">' </w:t>
      </w:r>
      <w:r>
        <w:rPr>
          <w:rtl w:val="true"/>
        </w:rPr>
        <w:t>שהוא אכן נכנס אל הדירה באותו יום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 עבד בריצוף בקומה מעל הדירה שבה שהתה המנוחה</w:t>
      </w:r>
      <w:r>
        <w:rPr>
          <w:rtl w:val="true"/>
        </w:rPr>
        <w:t xml:space="preserve">, </w:t>
      </w:r>
      <w:r>
        <w:rPr>
          <w:rtl w:val="true"/>
        </w:rPr>
        <w:t>שתה מספר כוסות של ערק במהלך העבודה</w:t>
      </w:r>
      <w:r>
        <w:rPr>
          <w:rtl w:val="true"/>
        </w:rPr>
        <w:t xml:space="preserve">, </w:t>
      </w:r>
      <w:r>
        <w:rPr>
          <w:rtl w:val="true"/>
        </w:rPr>
        <w:t>ולאחר מכן</w:t>
      </w:r>
      <w:r>
        <w:rPr>
          <w:rtl w:val="true"/>
        </w:rPr>
        <w:t xml:space="preserve">, </w:t>
      </w:r>
      <w:r>
        <w:rPr>
          <w:rtl w:val="true"/>
        </w:rPr>
        <w:t>החליט לרדת לדירה ולדפוק על הדלת</w:t>
      </w:r>
      <w:r>
        <w:rPr>
          <w:rtl w:val="true"/>
        </w:rPr>
        <w:t xml:space="preserve">. </w:t>
      </w:r>
      <w:r>
        <w:rPr>
          <w:rtl w:val="true"/>
        </w:rPr>
        <w:t>המערער המשיך וסיפר כי המנוחה הכניסה אותו לדירה והכינה עבורם קפה</w:t>
      </w:r>
      <w:r>
        <w:rPr>
          <w:rtl w:val="true"/>
        </w:rPr>
        <w:t xml:space="preserve">, </w:t>
      </w:r>
      <w:r>
        <w:rPr>
          <w:rtl w:val="true"/>
        </w:rPr>
        <w:t>ובשלב מסוים הוא ראה את שרשרת הזהב שהייתה על צווארה והחליט לתלוש אותה ממנה</w:t>
      </w:r>
      <w:r>
        <w:rPr>
          <w:rtl w:val="true"/>
        </w:rPr>
        <w:t xml:space="preserve">. </w:t>
      </w:r>
      <w:r>
        <w:rPr>
          <w:rtl w:val="true"/>
        </w:rPr>
        <w:t>מיד לאחר תלישת השרשרת</w:t>
      </w:r>
      <w:r>
        <w:rPr>
          <w:rtl w:val="true"/>
        </w:rPr>
        <w:t xml:space="preserve">, </w:t>
      </w:r>
      <w:r>
        <w:rPr>
          <w:rtl w:val="true"/>
        </w:rPr>
        <w:t>הוא דחף את המנוחה לעבר הרצפה</w:t>
      </w:r>
      <w:r>
        <w:rPr>
          <w:rtl w:val="true"/>
        </w:rPr>
        <w:t xml:space="preserve">, </w:t>
      </w:r>
      <w:r>
        <w:rPr>
          <w:rtl w:val="true"/>
        </w:rPr>
        <w:t>חסם את פיה בידו</w:t>
      </w:r>
      <w:r>
        <w:rPr>
          <w:rtl w:val="true"/>
        </w:rPr>
        <w:t xml:space="preserve">, </w:t>
      </w:r>
      <w:r>
        <w:rPr>
          <w:rtl w:val="true"/>
        </w:rPr>
        <w:t>ואיים עליה באמצעות סכין לבל תצעק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המערער הכחיש את הטענות שלפיהן הוא דקר את המנוחה או נגע בתחתוניה</w:t>
      </w:r>
      <w:r>
        <w:rPr>
          <w:rtl w:val="true"/>
        </w:rPr>
        <w:t xml:space="preserve">, </w:t>
      </w:r>
      <w:r>
        <w:rPr>
          <w:rtl w:val="true"/>
        </w:rPr>
        <w:t>וטען כי שרשרת הזהב אבדה לו במהלך מנוסתו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שב על עיקרי גרסה זו גם בשחזור שנערך עמו בדירה עוד באותו היום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); </w:t>
      </w:r>
      <w:r>
        <w:rPr>
          <w:rtl w:val="true"/>
        </w:rPr>
        <w:t xml:space="preserve">והתמיד בה בחקירתו במשטרה ביום </w:t>
      </w:r>
      <w:r>
        <w:rPr/>
        <w:t>25.03.2020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>).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גרסת המערער החלה להתפתח במסגרת חקירותיו מיום </w:t>
      </w:r>
      <w:r>
        <w:rPr/>
        <w:t>29.03.2020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27</w:t>
      </w:r>
      <w:r>
        <w:rPr>
          <w:rtl w:val="true"/>
        </w:rPr>
        <w:t xml:space="preserve">) </w:t>
      </w:r>
      <w:r>
        <w:rPr>
          <w:rtl w:val="true"/>
        </w:rPr>
        <w:t xml:space="preserve">ומיום </w:t>
      </w:r>
      <w:r>
        <w:rPr/>
        <w:t>30.03.2020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28</w:t>
      </w:r>
      <w:r>
        <w:rPr>
          <w:rtl w:val="true"/>
        </w:rPr>
        <w:t xml:space="preserve">). </w:t>
      </w:r>
      <w:r>
        <w:rPr>
          <w:rtl w:val="true"/>
        </w:rPr>
        <w:t>עיקר ההתפתחות בגרסה בא לידי ביטוי בטענה שלפיה הייתה זו המנוחה שהביאה מהמטבח את הסכין במטרה לאיים עליו</w:t>
      </w:r>
      <w:r>
        <w:rPr>
          <w:rtl w:val="true"/>
        </w:rPr>
        <w:t xml:space="preserve">. </w:t>
      </w:r>
      <w:r>
        <w:rPr>
          <w:rtl w:val="true"/>
        </w:rPr>
        <w:t>לפי גרסה זו</w:t>
      </w:r>
      <w:r>
        <w:rPr>
          <w:rtl w:val="true"/>
        </w:rPr>
        <w:t xml:space="preserve">, </w:t>
      </w:r>
      <w:r>
        <w:rPr>
          <w:rtl w:val="true"/>
        </w:rPr>
        <w:t>המערער נאלץ להדוף את המנוחה וליטול את הסכין מידיה במטרה להגן על עצמו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המערער לא כפר בכך שהוא תלש את השרשרת מצווארה של המנוחה</w:t>
      </w:r>
      <w:r>
        <w:rPr>
          <w:rtl w:val="true"/>
        </w:rPr>
        <w:t xml:space="preserve">, </w:t>
      </w:r>
      <w:r>
        <w:rPr>
          <w:rtl w:val="true"/>
        </w:rPr>
        <w:t>אך טען כי השרשרת נותרה בדירה בעת מנוסתו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המערער דבק בחלקים מגרסתו המתפתחת בעת תשובתו לכתב האישום שניתנה בבית המשפט ביום </w:t>
      </w:r>
      <w:r>
        <w:rPr/>
        <w:t>11.11.2020</w:t>
      </w:r>
      <w:r>
        <w:rPr>
          <w:rtl w:val="true"/>
        </w:rPr>
        <w:t xml:space="preserve">. </w:t>
      </w:r>
      <w:r>
        <w:rPr>
          <w:rtl w:val="true"/>
        </w:rPr>
        <w:t>בהזדמנות זו הוסיף המערער</w:t>
      </w:r>
      <w:r>
        <w:rPr>
          <w:rtl w:val="true"/>
        </w:rPr>
        <w:t xml:space="preserve">, </w:t>
      </w:r>
      <w:r>
        <w:rPr>
          <w:rtl w:val="true"/>
        </w:rPr>
        <w:t>כי לאחר ששוחח עם המנוחה בסלון הדירה</w:t>
      </w:r>
      <w:r>
        <w:rPr>
          <w:rtl w:val="true"/>
        </w:rPr>
        <w:t xml:space="preserve">, </w:t>
      </w:r>
      <w:r>
        <w:rPr>
          <w:rtl w:val="true"/>
        </w:rPr>
        <w:t>הוא ביקש לעשן סיגריה והמנוחה הפנתה אותו לעבר המרפסת כדי לעשן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בשלב מסוים המנוחה החלה להיות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עצבנית</w:t>
      </w:r>
      <w:r>
        <w:rPr>
          <w:rtl w:val="true"/>
        </w:rPr>
        <w:t xml:space="preserve">" </w:t>
      </w:r>
      <w:r>
        <w:rPr>
          <w:rtl w:val="true"/>
        </w:rPr>
        <w:t>ולהאשים אותו כי בכוונתו לגנוב ממנה</w:t>
      </w:r>
      <w:r>
        <w:rPr>
          <w:rtl w:val="true"/>
        </w:rPr>
        <w:t xml:space="preserve">. </w:t>
      </w:r>
      <w:r>
        <w:rPr>
          <w:rtl w:val="true"/>
        </w:rPr>
        <w:t>ניסיונותיו להפיג את חשדותיה לא צלחו</w:t>
      </w:r>
      <w:r>
        <w:rPr>
          <w:rtl w:val="true"/>
        </w:rPr>
        <w:t xml:space="preserve">, </w:t>
      </w:r>
      <w:r>
        <w:rPr>
          <w:rtl w:val="true"/>
        </w:rPr>
        <w:t>והיא הלכה אל המטבח שהיה בקרבת מקום</w:t>
      </w:r>
      <w:r>
        <w:rPr>
          <w:rtl w:val="true"/>
        </w:rPr>
        <w:t xml:space="preserve">, </w:t>
      </w:r>
      <w:r>
        <w:rPr>
          <w:rtl w:val="true"/>
        </w:rPr>
        <w:t>הביאה סכין</w:t>
      </w:r>
      <w:r>
        <w:rPr>
          <w:rtl w:val="true"/>
        </w:rPr>
        <w:t xml:space="preserve">, </w:t>
      </w:r>
      <w:r>
        <w:rPr>
          <w:rtl w:val="true"/>
        </w:rPr>
        <w:t>והחלה לתקוף אותו בידו וברגלו</w:t>
      </w:r>
      <w:r>
        <w:rPr>
          <w:rtl w:val="true"/>
        </w:rPr>
        <w:t xml:space="preserve">. </w:t>
      </w:r>
      <w:r>
        <w:rPr>
          <w:rtl w:val="true"/>
        </w:rPr>
        <w:t>המערער טען כי בתגובה לכך</w:t>
      </w:r>
      <w:r>
        <w:rPr>
          <w:rtl w:val="true"/>
        </w:rPr>
        <w:t xml:space="preserve">, </w:t>
      </w:r>
      <w:r>
        <w:rPr>
          <w:rtl w:val="true"/>
        </w:rPr>
        <w:t>הוא הדף את המנוחה והפיל אותה על הקרקע</w:t>
      </w:r>
      <w:r>
        <w:rPr>
          <w:rtl w:val="true"/>
        </w:rPr>
        <w:t xml:space="preserve">, </w:t>
      </w:r>
      <w:r>
        <w:rPr>
          <w:rtl w:val="true"/>
        </w:rPr>
        <w:t>ויתכן שפעולות אלו הובילו לפציעתה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 כפר בכך שהמנוחה נכנסה להתקלח בעת שהותו בדירה</w:t>
      </w:r>
      <w:r>
        <w:rPr>
          <w:rtl w:val="true"/>
        </w:rPr>
        <w:t xml:space="preserve">; </w:t>
      </w:r>
      <w:r>
        <w:rPr>
          <w:rtl w:val="true"/>
        </w:rPr>
        <w:t>בכך שהוא נטל ממנה תכשיטים</w:t>
      </w:r>
      <w:r>
        <w:rPr>
          <w:rtl w:val="true"/>
        </w:rPr>
        <w:t xml:space="preserve">; </w:t>
      </w:r>
      <w:r>
        <w:rPr>
          <w:rtl w:val="true"/>
        </w:rPr>
        <w:t xml:space="preserve">ובכך שניסה להוריד את תחתוניה ללא הצלחה </w:t>
      </w:r>
      <w:r>
        <w:rPr>
          <w:rtl w:val="true"/>
        </w:rPr>
        <w:t>–</w:t>
      </w:r>
      <w:r>
        <w:rPr>
          <w:rtl w:val="true"/>
        </w:rPr>
        <w:t xml:space="preserve"> טענה שאותה הוא הגדיר כ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הזויה</w:t>
      </w:r>
      <w:r>
        <w:rPr>
          <w:rtl w:val="true"/>
        </w:rPr>
        <w:t xml:space="preserve">". </w:t>
      </w:r>
      <w:r>
        <w:rPr>
          <w:rtl w:val="true"/>
        </w:rPr>
        <w:t>המערער הוסיף וטען</w:t>
      </w:r>
      <w:r>
        <w:rPr>
          <w:rtl w:val="true"/>
        </w:rPr>
        <w:t xml:space="preserve">, </w:t>
      </w:r>
      <w:r>
        <w:rPr>
          <w:rtl w:val="true"/>
        </w:rPr>
        <w:t>כי הוא לא היה יכול להיכנס או לצאת מהדירה דרך המרפסת</w:t>
      </w:r>
      <w:r>
        <w:rPr>
          <w:rtl w:val="true"/>
        </w:rPr>
        <w:t xml:space="preserve">, </w:t>
      </w:r>
      <w:r>
        <w:rPr>
          <w:rtl w:val="true"/>
        </w:rPr>
        <w:t>בשל גובהה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במאמר מוסגר יצוין</w:t>
      </w:r>
      <w:r>
        <w:rPr>
          <w:rtl w:val="true"/>
        </w:rPr>
        <w:t xml:space="preserve">, </w:t>
      </w:r>
      <w:r>
        <w:rPr>
          <w:rtl w:val="true"/>
        </w:rPr>
        <w:t>כי במסגרת תשובתו לאישום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טען כי הודאתו בפני חוקרי המשטרה בביצוע עבירת השוד הייתה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שווא</w:t>
      </w:r>
      <w:r>
        <w:rPr>
          <w:rtl w:val="true"/>
        </w:rPr>
        <w:t xml:space="preserve">" </w:t>
      </w:r>
      <w:r>
        <w:rPr>
          <w:rtl w:val="true"/>
        </w:rPr>
        <w:t xml:space="preserve">שניתנה בעקבות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לחצים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אדירים</w:t>
      </w:r>
      <w:r>
        <w:rPr>
          <w:rtl w:val="true"/>
        </w:rPr>
        <w:t xml:space="preserve">" </w:t>
      </w:r>
      <w:r>
        <w:rPr>
          <w:rtl w:val="true"/>
        </w:rPr>
        <w:t>שהופעלו עליו</w:t>
      </w:r>
      <w:r>
        <w:rPr>
          <w:rtl w:val="true"/>
        </w:rPr>
        <w:t xml:space="preserve">. </w:t>
      </w:r>
      <w:r>
        <w:rPr>
          <w:rtl w:val="true"/>
        </w:rPr>
        <w:t>לפי הנטען</w:t>
      </w:r>
      <w:r>
        <w:rPr>
          <w:rtl w:val="true"/>
        </w:rPr>
        <w:t xml:space="preserve">, </w:t>
      </w:r>
      <w:r>
        <w:rPr>
          <w:rtl w:val="true"/>
        </w:rPr>
        <w:t>חוקרי המשטרה מסרו למערער כי אם יודה בביצוע עבירת השוד</w:t>
      </w:r>
      <w:r>
        <w:rPr>
          <w:rtl w:val="true"/>
        </w:rPr>
        <w:t xml:space="preserve">, </w:t>
      </w:r>
      <w:r>
        <w:rPr>
          <w:rtl w:val="true"/>
        </w:rPr>
        <w:t>הם יבטלו את האישומים של ניסיון רצח וניסיון אונס שיוחסו לו</w:t>
      </w:r>
      <w:r>
        <w:rPr>
          <w:rtl w:val="true"/>
        </w:rPr>
        <w:t xml:space="preserve">; </w:t>
      </w:r>
      <w:r>
        <w:rPr>
          <w:rtl w:val="true"/>
        </w:rPr>
        <w:t xml:space="preserve">ואם לא יודה </w:t>
      </w:r>
      <w:r>
        <w:rPr>
          <w:rtl w:val="true"/>
        </w:rPr>
        <w:t>–</w:t>
      </w:r>
      <w:r>
        <w:rPr>
          <w:rtl w:val="true"/>
        </w:rPr>
        <w:t xml:space="preserve"> ייגזרו עליו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מאחורי סורג ובריח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 זו בלבד שטענה זו הוכחה כשגויה עת נשמעו עדויותיהם של חוקרי המשטרה שחקרו את המערער</w:t>
      </w:r>
      <w:r>
        <w:rPr>
          <w:rtl w:val="true"/>
        </w:rPr>
        <w:t xml:space="preserve">; </w:t>
      </w:r>
      <w:r>
        <w:rPr>
          <w:rtl w:val="true"/>
        </w:rPr>
        <w:t>אלא שטענה זו נזנחה בהמשך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עת הודה מיוזמתו בפתח חקירתו הראשית</w:t>
      </w:r>
      <w:r>
        <w:rPr>
          <w:rtl w:val="true"/>
        </w:rPr>
        <w:t xml:space="preserve">, </w:t>
      </w:r>
      <w:r>
        <w:rPr>
          <w:rtl w:val="true"/>
        </w:rPr>
        <w:t>כי ביצע את עבירת השוד</w:t>
      </w:r>
      <w:r>
        <w:rPr>
          <w:rtl w:val="true"/>
        </w:rPr>
        <w:t xml:space="preserve">. </w:t>
      </w:r>
      <w:r>
        <w:rPr>
          <w:rtl w:val="true"/>
        </w:rPr>
        <w:t>ובלשונו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קיימתי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האמת</w:t>
      </w:r>
      <w:r>
        <w:rPr>
          <w:rtl w:val="true"/>
        </w:rPr>
        <w:t>".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שינויי גרסאותיו של המערער לא נסתיימו בכך</w:t>
      </w:r>
      <w:r>
        <w:rPr>
          <w:rtl w:val="true"/>
        </w:rPr>
        <w:t xml:space="preserve">. </w:t>
      </w:r>
      <w:r>
        <w:rPr>
          <w:rtl w:val="true"/>
        </w:rPr>
        <w:t>כפי שתואר בהכרעת הדין</w:t>
      </w:r>
      <w:r>
        <w:rPr>
          <w:rtl w:val="true"/>
        </w:rPr>
        <w:t xml:space="preserve">, </w:t>
      </w:r>
      <w:r>
        <w:rPr>
          <w:rtl w:val="true"/>
        </w:rPr>
        <w:t>עדות המערער כללה סתירות רבות ביחס לנושאים מהותיים שעל הפרק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tl w:val="true"/>
        </w:rPr>
        <w:t xml:space="preserve">, </w:t>
      </w:r>
      <w:r>
        <w:rPr>
          <w:rtl w:val="true"/>
        </w:rPr>
        <w:t>האופן והמועד שבו הוא תלש את שרשרת הזהב מצווארה של המנוחה</w:t>
      </w:r>
      <w:r>
        <w:rPr>
          <w:rtl w:val="true"/>
        </w:rPr>
        <w:t xml:space="preserve">; </w:t>
      </w:r>
      <w:r>
        <w:rPr>
          <w:rtl w:val="true"/>
        </w:rPr>
        <w:t>מידת הכוח שהפעיל כלפי המנוחה בעת שתקף אותה</w:t>
      </w:r>
      <w:r>
        <w:rPr>
          <w:rtl w:val="true"/>
        </w:rPr>
        <w:t xml:space="preserve">; </w:t>
      </w:r>
      <w:r>
        <w:rPr>
          <w:rtl w:val="true"/>
        </w:rPr>
        <w:t xml:space="preserve">האופן שבו הובאה הסכין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המערער או על</w:t>
      </w:r>
      <w:r>
        <w:rPr>
          <w:rtl w:val="true"/>
        </w:rPr>
        <w:t>-</w:t>
      </w:r>
      <w:r>
        <w:rPr>
          <w:rtl w:val="true"/>
        </w:rPr>
        <w:t>ידי המנוחה</w:t>
      </w:r>
      <w:r>
        <w:rPr>
          <w:rtl w:val="true"/>
        </w:rPr>
        <w:t xml:space="preserve">) </w:t>
      </w:r>
      <w:r>
        <w:rPr>
          <w:rtl w:val="true"/>
        </w:rPr>
        <w:t xml:space="preserve">ומה השימוש שנעשה בה </w:t>
      </w:r>
      <w:r>
        <w:rPr>
          <w:rtl w:val="true"/>
        </w:rPr>
        <w:t>(</w:t>
      </w:r>
      <w:r>
        <w:rPr>
          <w:rtl w:val="true"/>
        </w:rPr>
        <w:t>איומים או תקיפה ממשית</w:t>
      </w:r>
      <w:r>
        <w:rPr>
          <w:rtl w:val="true"/>
        </w:rPr>
        <w:t xml:space="preserve">); </w:t>
      </w:r>
      <w:r>
        <w:rPr>
          <w:rtl w:val="true"/>
        </w:rPr>
        <w:t>האם המערער היה שתוי בעת האירוע</w:t>
      </w:r>
      <w:r>
        <w:rPr>
          <w:rtl w:val="true"/>
        </w:rPr>
        <w:t xml:space="preserve">; </w:t>
      </w:r>
      <w:r>
        <w:rPr>
          <w:rtl w:val="true"/>
        </w:rPr>
        <w:t>ואילו פציעות נגרמו לו במהלך אירוע השוד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. </w:t>
      </w:r>
      <w:r>
        <w:rPr>
          <w:rtl w:val="true"/>
        </w:rPr>
        <w:t>המערער מסר גרסאות שונות ביחס לנושאים אלו</w:t>
      </w:r>
      <w:r>
        <w:rPr>
          <w:rtl w:val="true"/>
        </w:rPr>
        <w:t xml:space="preserve">, </w:t>
      </w:r>
      <w:r>
        <w:rPr>
          <w:rtl w:val="true"/>
        </w:rPr>
        <w:t>הן במשטרה הן בבית המשפט</w:t>
      </w:r>
      <w:r>
        <w:rPr>
          <w:rtl w:val="true"/>
        </w:rPr>
        <w:t xml:space="preserve">, </w:t>
      </w:r>
      <w:r>
        <w:rPr>
          <w:rtl w:val="true"/>
        </w:rPr>
        <w:t>ולא ידע ליישב את הסתירות שנתגלו בגרסאותיו כאשר הוא עומת עמן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אם הארכתי מעט בתיאור שלעיל</w:t>
      </w:r>
      <w:r>
        <w:rPr>
          <w:rtl w:val="true"/>
        </w:rPr>
        <w:t xml:space="preserve">, </w:t>
      </w:r>
      <w:r>
        <w:rPr>
          <w:rtl w:val="true"/>
        </w:rPr>
        <w:t xml:space="preserve">היה זה כדי להמחיש את הטעמים שבעטיים הגיע בית המשפט המחוזי לכלל מסקנה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בסתירות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בסתירה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אובייקטיביות</w:t>
      </w:r>
      <w:r>
        <w:rPr>
          <w:rtl w:val="true"/>
        </w:rPr>
        <w:t>".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האובייקטיביות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לבד מאמרות המנוחה</w:t>
      </w:r>
      <w:r>
        <w:rPr>
          <w:rtl w:val="true"/>
        </w:rPr>
        <w:t xml:space="preserve">, </w:t>
      </w:r>
      <w:r>
        <w:rPr>
          <w:rtl w:val="true"/>
        </w:rPr>
        <w:t>נבחנו ראיות אובייקטיביות נוספות שתמכו בגרסת המנוחה ושללו את גרסת המערער על אודות האירוע האלים שאירע בדירה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צוין כי עדות השכן על כך ששמע את צעקותיה של המנוחה בלבד</w:t>
      </w:r>
      <w:r>
        <w:rPr>
          <w:rtl w:val="true"/>
        </w:rPr>
        <w:t xml:space="preserve">, </w:t>
      </w:r>
      <w:r>
        <w:rPr>
          <w:rtl w:val="true"/>
        </w:rPr>
        <w:t>מחזקת את גרסת המנוחה שלפיה היא הותקפה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ולא ההיפך</w:t>
      </w:r>
      <w:r>
        <w:rPr>
          <w:rtl w:val="true"/>
        </w:rPr>
        <w:t xml:space="preserve">; </w:t>
      </w:r>
      <w:r>
        <w:rPr>
          <w:rtl w:val="true"/>
        </w:rPr>
        <w:t>וכי העובדה שהמנוחה הייתה בבגדים תחתונים כשפתחה את הדלת</w:t>
      </w:r>
      <w:r>
        <w:rPr>
          <w:rtl w:val="true"/>
        </w:rPr>
        <w:t xml:space="preserve">, </w:t>
      </w:r>
      <w:r>
        <w:rPr>
          <w:rtl w:val="true"/>
        </w:rPr>
        <w:t>מחזקת את גרסתה בדבר יציאת המערער מהדירה לפני כניסתה למקלחת</w:t>
      </w:r>
      <w:r>
        <w:rPr>
          <w:rtl w:val="true"/>
        </w:rPr>
        <w:t xml:space="preserve">, </w:t>
      </w:r>
      <w:r>
        <w:rPr>
          <w:rtl w:val="true"/>
        </w:rPr>
        <w:t>וסותרת את גרסת המערער שלפיה הוא לא יצא מהדירה וחזר אליה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ניתן להניח כי המנוחה לא הייתה פושטת את בגדיה ונכנסת אל המקלחת בעוד המערער שוהה בדירה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תיאור השכן על מה שראה מיד לאחר האירוע</w:t>
      </w:r>
      <w:r>
        <w:rPr>
          <w:rtl w:val="true"/>
        </w:rPr>
        <w:t xml:space="preserve">, </w:t>
      </w:r>
      <w:r>
        <w:rPr>
          <w:rtl w:val="true"/>
        </w:rPr>
        <w:t>עולה בקנה אחד עם תיאוריה הספונטניים של המנוחה וסותר את גרסתו המתפתחת של המערער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הדם</w:t>
      </w:r>
      <w:r>
        <w:rPr>
          <w:rtl w:val="true"/>
        </w:rPr>
        <w:t xml:space="preserve"> בכל חלקי הדירה</w:t>
      </w:r>
      <w:r>
        <w:rPr>
          <w:rtl w:val="true"/>
        </w:rPr>
        <w:t xml:space="preserve">, </w:t>
      </w:r>
      <w:r>
        <w:rPr>
          <w:rtl w:val="true"/>
        </w:rPr>
        <w:t xml:space="preserve">אשר כלל בין היתר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התזה</w:t>
      </w:r>
      <w:r>
        <w:rPr>
          <w:rtl w:val="true"/>
        </w:rPr>
        <w:t xml:space="preserve">" </w:t>
      </w:r>
      <w:r>
        <w:rPr>
          <w:rtl w:val="true"/>
        </w:rPr>
        <w:t>במסדרון</w:t>
      </w:r>
      <w:r>
        <w:rPr>
          <w:rtl w:val="true"/>
        </w:rPr>
        <w:t xml:space="preserve">, </w:t>
      </w:r>
      <w:r>
        <w:rPr>
          <w:rtl w:val="true"/>
        </w:rPr>
        <w:t>תואם את תיאורה של המנוחה בדבר גרירתה על</w:t>
      </w:r>
      <w:r>
        <w:rPr>
          <w:rtl w:val="true"/>
        </w:rPr>
        <w:t>-</w:t>
      </w:r>
      <w:r>
        <w:rPr>
          <w:rtl w:val="true"/>
        </w:rPr>
        <w:t>ידי המערער בחלקים שונים בדירה</w:t>
      </w:r>
      <w:r>
        <w:rPr>
          <w:rtl w:val="true"/>
        </w:rPr>
        <w:t xml:space="preserve">, </w:t>
      </w:r>
      <w:r>
        <w:rPr>
          <w:rtl w:val="true"/>
        </w:rPr>
        <w:t>וזאת בניגוד לגרסת המערער כי האירוע כולו אירע בסלון הדירה</w:t>
      </w:r>
      <w:r>
        <w:rPr>
          <w:rtl w:val="true"/>
        </w:rPr>
        <w:t xml:space="preserve">. </w:t>
      </w:r>
      <w:r>
        <w:rPr>
          <w:rtl w:val="true"/>
        </w:rPr>
        <w:t xml:space="preserve">גם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השרשרת</w:t>
      </w:r>
      <w:r>
        <w:rPr>
          <w:rtl w:val="true"/>
        </w:rPr>
        <w:t xml:space="preserve"> שנתלשה מצווארה של המנוחה</w:t>
      </w:r>
      <w:r>
        <w:rPr>
          <w:rtl w:val="true"/>
        </w:rPr>
        <w:t xml:space="preserve">, </w:t>
      </w:r>
      <w:r>
        <w:rPr>
          <w:rtl w:val="true"/>
        </w:rPr>
        <w:t>ואותרה במסדרון הדירה</w:t>
      </w:r>
      <w:r>
        <w:rPr>
          <w:rtl w:val="true"/>
        </w:rPr>
        <w:t xml:space="preserve">, </w:t>
      </w:r>
      <w:r>
        <w:rPr>
          <w:rtl w:val="true"/>
        </w:rPr>
        <w:t>נמצא תואם את גרסת המנוחה</w:t>
      </w:r>
      <w:r>
        <w:rPr>
          <w:rtl w:val="true"/>
        </w:rPr>
        <w:t xml:space="preserve">; </w:t>
      </w:r>
      <w:r>
        <w:rPr>
          <w:rtl w:val="true"/>
        </w:rPr>
        <w:t xml:space="preserve">וכך גם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שאותרה בצמוד לכניסה לחדר השירותים ולחדר השינה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גרסת המערער בעדותו</w:t>
      </w:r>
      <w:r>
        <w:rPr>
          <w:rtl w:val="true"/>
        </w:rPr>
        <w:t xml:space="preserve">, </w:t>
      </w:r>
      <w:r>
        <w:rPr>
          <w:rtl w:val="true"/>
        </w:rPr>
        <w:t>שלפיה בתום האירוע הוא יצא מדלת הדירה</w:t>
      </w:r>
      <w:r>
        <w:rPr>
          <w:rtl w:val="true"/>
        </w:rPr>
        <w:t xml:space="preserve">, </w:t>
      </w:r>
      <w:r>
        <w:rPr>
          <w:rtl w:val="true"/>
        </w:rPr>
        <w:t>נסתרה הן מעדות השכן שעמד ליד הדלת ולא ראה אדם יוצא מהדירה עד להגעת המשטרה</w:t>
      </w:r>
      <w:r>
        <w:rPr>
          <w:rtl w:val="true"/>
        </w:rPr>
        <w:t xml:space="preserve">; </w:t>
      </w:r>
      <w:r>
        <w:rPr>
          <w:rtl w:val="true"/>
        </w:rPr>
        <w:t>הן מטביעת האצבע של המערער שנותרה על מעקה המרפסת הסמוכה לדירה</w:t>
      </w:r>
      <w:r>
        <w:rPr>
          <w:rtl w:val="true"/>
        </w:rPr>
        <w:t xml:space="preserve">, </w:t>
      </w:r>
      <w:r>
        <w:rPr>
          <w:rtl w:val="true"/>
        </w:rPr>
        <w:t>ומסימני דם שנותרו במהלך מנוסת המערער דרך המרפסת</w:t>
      </w:r>
      <w:r>
        <w:rPr>
          <w:rtl w:val="true"/>
        </w:rPr>
        <w:t xml:space="preserve">. </w:t>
      </w:r>
      <w:r>
        <w:rPr>
          <w:rtl w:val="true"/>
        </w:rPr>
        <w:t>הסבריו של המערער לממצאים אלו</w:t>
      </w:r>
      <w:r>
        <w:rPr>
          <w:rtl w:val="true"/>
        </w:rPr>
        <w:t xml:space="preserve">, </w:t>
      </w:r>
      <w:r>
        <w:rPr>
          <w:rtl w:val="true"/>
        </w:rPr>
        <w:t>כך נקבע</w:t>
      </w:r>
      <w:r>
        <w:rPr>
          <w:rtl w:val="true"/>
        </w:rPr>
        <w:t xml:space="preserve">, </w:t>
      </w:r>
      <w:r>
        <w:rPr>
          <w:rtl w:val="true"/>
        </w:rPr>
        <w:t>סיבכו אותו בשקרים נוספים</w:t>
      </w:r>
      <w:r>
        <w:rPr>
          <w:rtl w:val="true"/>
        </w:rPr>
        <w:t xml:space="preserve">, </w:t>
      </w:r>
      <w:r>
        <w:rPr>
          <w:rtl w:val="true"/>
        </w:rPr>
        <w:t>והראו כי הוא אינו דובר אמת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בית משפט קמא מצא תימוכין נוספים לגרסת המנוחה בכך שנמצאו פריטי דנ</w:t>
      </w:r>
      <w:r>
        <w:rPr>
          <w:rtl w:val="true"/>
        </w:rPr>
        <w:t>"</w:t>
      </w:r>
      <w:r>
        <w:rPr>
          <w:rtl w:val="true"/>
        </w:rPr>
        <w:t>א של המערער על חולצת המנוחה</w:t>
      </w:r>
      <w:r>
        <w:rPr>
          <w:rtl w:val="true"/>
        </w:rPr>
        <w:t xml:space="preserve">. </w:t>
      </w:r>
      <w:r>
        <w:rPr>
          <w:rtl w:val="true"/>
        </w:rPr>
        <w:t>בהקשר זה צוין</w:t>
      </w:r>
      <w:r>
        <w:rPr>
          <w:rtl w:val="true"/>
        </w:rPr>
        <w:t xml:space="preserve">, </w:t>
      </w:r>
      <w:r>
        <w:rPr>
          <w:rtl w:val="true"/>
        </w:rPr>
        <w:t>כי בהתאם לחוות דעת סטטיסטית שהוגשה</w:t>
      </w:r>
      <w:r>
        <w:rPr>
          <w:rtl w:val="true"/>
        </w:rPr>
        <w:t xml:space="preserve">, </w:t>
      </w:r>
      <w:r>
        <w:rPr>
          <w:rtl w:val="true"/>
        </w:rPr>
        <w:t>ולא נסתרה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הסיכוי שאדם אחר הותיר את פריטי הדנ</w:t>
      </w:r>
      <w:r>
        <w:rPr>
          <w:rtl w:val="true"/>
        </w:rPr>
        <w:t>"</w:t>
      </w:r>
      <w:r>
        <w:rPr>
          <w:rtl w:val="true"/>
        </w:rPr>
        <w:t xml:space="preserve">א על חולצת המנוחה הוא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13.5</w:t>
      </w:r>
      <w:r>
        <w:rPr>
          <w:rtl w:val="true"/>
        </w:rPr>
        <w:t xml:space="preserve"> </w:t>
      </w:r>
      <w:r>
        <w:rPr>
          <w:rtl w:val="true"/>
        </w:rPr>
        <w:t>ביליון</w:t>
      </w:r>
      <w:r>
        <w:rPr>
          <w:rtl w:val="true"/>
        </w:rPr>
        <w:t xml:space="preserve">, </w:t>
      </w:r>
      <w:r>
        <w:rPr>
          <w:rtl w:val="true"/>
        </w:rPr>
        <w:t>כאשר מדובר באוכלוסייה היהודית</w:t>
      </w:r>
      <w:r>
        <w:rPr>
          <w:rtl w:val="true"/>
        </w:rPr>
        <w:t xml:space="preserve">; </w:t>
      </w:r>
      <w:r>
        <w:rPr>
          <w:rtl w:val="true"/>
        </w:rPr>
        <w:t xml:space="preserve">או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34.7</w:t>
      </w:r>
      <w:r>
        <w:rPr>
          <w:rtl w:val="true"/>
        </w:rPr>
        <w:t xml:space="preserve"> </w:t>
      </w:r>
      <w:r>
        <w:rPr>
          <w:rtl w:val="true"/>
        </w:rPr>
        <w:t>ביליון</w:t>
      </w:r>
      <w:r>
        <w:rPr>
          <w:rtl w:val="true"/>
        </w:rPr>
        <w:t xml:space="preserve">, </w:t>
      </w:r>
      <w:r>
        <w:rPr>
          <w:rtl w:val="true"/>
        </w:rPr>
        <w:t>כאשר מדובר באוכלוסייה הערבית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צוין כי גם על גבי התחתונים שלבשה המנוחה נמצאו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מרכיבים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גנטיים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", </w:t>
      </w:r>
      <w:r>
        <w:rPr>
          <w:rtl w:val="true"/>
        </w:rPr>
        <w:t xml:space="preserve">אך לגבי מרכיבים אלו לא היה ניתן לתת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סטטיסטי</w:t>
      </w:r>
      <w:r>
        <w:rPr>
          <w:rtl w:val="true"/>
        </w:rPr>
        <w:t xml:space="preserve">". </w:t>
      </w:r>
      <w:r>
        <w:rPr>
          <w:rtl w:val="true"/>
        </w:rPr>
        <w:t>בהקשר זה נקבע</w:t>
      </w:r>
      <w:r>
        <w:rPr>
          <w:rtl w:val="true"/>
        </w:rPr>
        <w:t xml:space="preserve">, </w:t>
      </w:r>
      <w:r>
        <w:rPr>
          <w:rtl w:val="true"/>
        </w:rPr>
        <w:t xml:space="preserve">כי אף שהמנוחה ציינה שלבשה בעת האירוע תחתונים בצבע אחר מאלו שעל גביהם אותרו מרכיביו הגנטיים של 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מהמסקנה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שהמנוחה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התחתונים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שלבשה</w:t>
      </w:r>
      <w:r>
        <w:rPr>
          <w:rtl w:val="true"/>
        </w:rPr>
        <w:t xml:space="preserve">".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המערער סירב להשיב לשאלה כיצד הגיעו מרכיביו הגנטיים לתחתוניה של המנוחה</w:t>
      </w:r>
      <w:r>
        <w:rPr>
          <w:rtl w:val="true"/>
        </w:rPr>
        <w:t xml:space="preserve">, </w:t>
      </w:r>
      <w:r>
        <w:rPr>
          <w:rtl w:val="true"/>
        </w:rPr>
        <w:t xml:space="preserve">ושב וטען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 ניתן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לומר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ascii="Century" w:hAnsi="Century" w:cs="Century"/>
          <w:sz w:val="22"/>
          <w:sz w:val="22"/>
          <w:rtl w:val="true"/>
        </w:rPr>
        <w:t>נמצא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התחתונים</w:t>
      </w:r>
      <w:r>
        <w:rPr>
          <w:rtl w:val="true"/>
        </w:rPr>
        <w:t xml:space="preserve">. </w:t>
      </w:r>
      <w:r>
        <w:rPr>
          <w:rtl w:val="true"/>
        </w:rPr>
        <w:t>גם נתון זה נמצא על</w:t>
      </w:r>
      <w:r>
        <w:rPr>
          <w:rtl w:val="true"/>
        </w:rPr>
        <w:t>-</w:t>
      </w:r>
      <w:r>
        <w:rPr>
          <w:rtl w:val="true"/>
        </w:rPr>
        <w:t>ידי בית משפט קמא כמחזק את גרסת המנוחה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נקבע כי גם המסמכים הרפואיים ביחס לפציעות שנגרמו למנוחה </w:t>
      </w:r>
      <w:r>
        <w:rPr>
          <w:rtl w:val="true"/>
        </w:rPr>
        <w:t>–</w:t>
      </w:r>
      <w:r>
        <w:rPr>
          <w:rtl w:val="true"/>
        </w:rPr>
        <w:t xml:space="preserve"> בחלקים רבים בגופה </w:t>
      </w:r>
      <w:r>
        <w:rPr>
          <w:rtl w:val="true"/>
        </w:rPr>
        <w:t>–</w:t>
      </w:r>
      <w:r>
        <w:rPr>
          <w:rtl w:val="true"/>
        </w:rPr>
        <w:t xml:space="preserve"> תומכים את גרסתה באשר לאירוע האלים שחוותה</w:t>
      </w:r>
      <w:r>
        <w:rPr>
          <w:rtl w:val="true"/>
        </w:rPr>
        <w:t xml:space="preserve">; </w:t>
      </w:r>
      <w:r>
        <w:rPr>
          <w:rtl w:val="true"/>
        </w:rPr>
        <w:t xml:space="preserve">וכי הראיות שהובאו לגבי ההתדרדרות שחלה במצבה הנפשי של המנוחה לאחר האירוע </w:t>
      </w:r>
      <w:r>
        <w:rPr>
          <w:rtl w:val="true"/>
        </w:rPr>
        <w:t>–</w:t>
      </w:r>
      <w:r>
        <w:rPr>
          <w:rtl w:val="true"/>
        </w:rPr>
        <w:t xml:space="preserve"> יש בהן כדי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הנדון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קבע בית משפט קמא כי גרסת המנוחה נמצאה אמינה</w:t>
      </w:r>
      <w:r>
        <w:rPr>
          <w:rtl w:val="true"/>
        </w:rPr>
        <w:t xml:space="preserve">, </w:t>
      </w:r>
      <w:r>
        <w:rPr>
          <w:rtl w:val="true"/>
        </w:rPr>
        <w:t>מאחר שהיא נתמכה בעיקרה בראיות אובייקטיביות</w:t>
      </w:r>
      <w:r>
        <w:rPr>
          <w:rtl w:val="true"/>
        </w:rPr>
        <w:t xml:space="preserve">, </w:t>
      </w:r>
      <w:r>
        <w:rPr>
          <w:rtl w:val="true"/>
        </w:rPr>
        <w:t xml:space="preserve">ואילו הסתירות בגרסאותיה </w:t>
      </w:r>
      <w:r>
        <w:rPr>
          <w:rtl w:val="true"/>
        </w:rPr>
        <w:t>–</w:t>
      </w:r>
      <w:r>
        <w:rPr>
          <w:rtl w:val="true"/>
        </w:rPr>
        <w:t xml:space="preserve"> שעליהן הצביע המערער להגנתו </w:t>
      </w:r>
      <w:r>
        <w:rPr>
          <w:rtl w:val="true"/>
        </w:rPr>
        <w:t>–</w:t>
      </w:r>
      <w:r>
        <w:rPr>
          <w:rtl w:val="true"/>
        </w:rPr>
        <w:t xml:space="preserve"> באו לידי ביטוי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בהבדלים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פעוטים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בעקביות</w:t>
      </w:r>
      <w:r>
        <w:rPr>
          <w:rtl w:val="true"/>
        </w:rPr>
        <w:t xml:space="preserve">".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כך נקבע</w:t>
      </w:r>
      <w:r>
        <w:rPr>
          <w:rtl w:val="true"/>
        </w:rPr>
        <w:t xml:space="preserve">, </w:t>
      </w:r>
      <w:r>
        <w:rPr>
          <w:rtl w:val="true"/>
        </w:rPr>
        <w:t>המערער שיקר בהזדמנויות רבות</w:t>
      </w:r>
      <w:r>
        <w:rPr>
          <w:rtl w:val="true"/>
        </w:rPr>
        <w:t xml:space="preserve">, </w:t>
      </w:r>
      <w:r>
        <w:rPr>
          <w:rtl w:val="true"/>
        </w:rPr>
        <w:t>שינה את גרסאותיו באופן תדיר</w:t>
      </w:r>
      <w:r>
        <w:rPr>
          <w:rtl w:val="true"/>
        </w:rPr>
        <w:t xml:space="preserve">, </w:t>
      </w:r>
      <w:r>
        <w:rPr>
          <w:rtl w:val="true"/>
        </w:rPr>
        <w:t>וגרסאות אלו אף נסתרו ממכלול הראיות שנמצאו בזירה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ניתן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tl w:val="true"/>
        </w:rPr>
        <w:t xml:space="preserve">" </w:t>
      </w:r>
      <w:r>
        <w:rPr>
          <w:rtl w:val="true"/>
        </w:rPr>
        <w:t>לעובדה שהמנוחה לא הכירה את המערער</w:t>
      </w:r>
      <w:r>
        <w:rPr>
          <w:rtl w:val="true"/>
        </w:rPr>
        <w:t xml:space="preserve">, </w:t>
      </w:r>
      <w:r>
        <w:rPr>
          <w:rtl w:val="true"/>
        </w:rPr>
        <w:t>ורק לאחר פטירתה הוא אותר</w:t>
      </w:r>
      <w:r>
        <w:rPr>
          <w:rtl w:val="true"/>
        </w:rPr>
        <w:t xml:space="preserve">, </w:t>
      </w:r>
      <w:r>
        <w:rPr>
          <w:rtl w:val="true"/>
        </w:rPr>
        <w:t>כך שלא ניתן לסבור כי היה לה מניע לטפול על המערער אשמת שווא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המדינה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הוכיחה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הוסיף ופירט את יסודות העבירות שיוחסו למערער</w:t>
      </w:r>
      <w:r>
        <w:rPr>
          <w:rtl w:val="true"/>
        </w:rPr>
        <w:t xml:space="preserve">, </w:t>
      </w:r>
      <w:r>
        <w:rPr>
          <w:rtl w:val="true"/>
        </w:rPr>
        <w:t>שוד מזוין</w:t>
      </w:r>
      <w:r>
        <w:rPr>
          <w:rtl w:val="true"/>
        </w:rPr>
        <w:t xml:space="preserve">, </w:t>
      </w:r>
      <w:r>
        <w:rPr>
          <w:rtl w:val="true"/>
        </w:rPr>
        <w:t>חבלה ופציעה בנסיבות מחמירות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ומעשה מגונה</w:t>
      </w:r>
      <w:r>
        <w:rPr>
          <w:rtl w:val="true"/>
        </w:rPr>
        <w:t xml:space="preserve">; </w:t>
      </w:r>
      <w:r>
        <w:rPr>
          <w:rtl w:val="true"/>
        </w:rPr>
        <w:t>וקבע כי העובדות המפורטות בכתב האישום מבססות את העבירות הללו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המערער הורשע בכל העבירות שיוחסו לו בכתב האישום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בגזר דינו עמד בית משפט קמא על כך שהתקיפה האכזרית של המנוחה בתוך ביתה</w:t>
      </w:r>
      <w:r>
        <w:rPr>
          <w:rtl w:val="true"/>
        </w:rPr>
        <w:t xml:space="preserve">, </w:t>
      </w:r>
      <w:r>
        <w:rPr>
          <w:rtl w:val="true"/>
        </w:rPr>
        <w:t>מגלמת פגיעה גבוהה בערכים המוגנים</w:t>
      </w:r>
      <w:r>
        <w:rPr>
          <w:rtl w:val="true"/>
        </w:rPr>
        <w:t xml:space="preserve">; </w:t>
      </w:r>
      <w:r>
        <w:rPr>
          <w:rtl w:val="true"/>
        </w:rPr>
        <w:t>וכי אף הנזקים שנגרמו למנוחה כתוצאה מכך</w:t>
      </w:r>
      <w:r>
        <w:rPr>
          <w:rtl w:val="true"/>
        </w:rPr>
        <w:t xml:space="preserve">, </w:t>
      </w:r>
      <w:r>
        <w:rPr>
          <w:rtl w:val="true"/>
        </w:rPr>
        <w:t>עד למותה כתשע שנים לאחר מכן</w:t>
      </w:r>
      <w:r>
        <w:rPr>
          <w:rtl w:val="true"/>
        </w:rPr>
        <w:t xml:space="preserve">, </w:t>
      </w:r>
      <w:r>
        <w:rPr>
          <w:rtl w:val="true"/>
        </w:rPr>
        <w:t>היו קשים וחמורים</w:t>
      </w:r>
      <w:r>
        <w:rPr>
          <w:rtl w:val="true"/>
        </w:rPr>
        <w:t xml:space="preserve">. </w:t>
      </w:r>
      <w:r>
        <w:rPr>
          <w:rtl w:val="true"/>
        </w:rPr>
        <w:t>לאחר שעמד בית המשפט על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נקבע למערער מתחם ענישה של </w:t>
      </w:r>
      <w:r>
        <w:rPr/>
        <w:t>11-7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בקביעת עונשו בתוך המתחם</w:t>
      </w:r>
      <w:r>
        <w:rPr>
          <w:rtl w:val="true"/>
        </w:rPr>
        <w:t xml:space="preserve">, </w:t>
      </w:r>
      <w:r>
        <w:rPr>
          <w:rtl w:val="true"/>
        </w:rPr>
        <w:t>שקל בית משפט קמא לקולה את חלוף הזמן מביצוע העבירות</w:t>
      </w:r>
      <w:r>
        <w:rPr>
          <w:rtl w:val="true"/>
        </w:rPr>
        <w:t xml:space="preserve">, </w:t>
      </w:r>
      <w:r>
        <w:rPr>
          <w:rtl w:val="true"/>
        </w:rPr>
        <w:t>כמו גם את נסיבותיו האישיות של המערער והפגיעה שתיגרם לבני משפחתו כתוצאה ממאסרו</w:t>
      </w:r>
      <w:r>
        <w:rPr>
          <w:rtl w:val="true"/>
        </w:rPr>
        <w:t xml:space="preserve">;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נשקלו עברו הפלילי של המערער הכולל ביצוע עבירות אלימות ורכוש</w:t>
      </w:r>
      <w:r>
        <w:rPr>
          <w:rtl w:val="true"/>
        </w:rPr>
        <w:t xml:space="preserve">, </w:t>
      </w:r>
      <w:r>
        <w:rPr>
          <w:rtl w:val="true"/>
        </w:rPr>
        <w:t xml:space="preserve">אם כי ניתן משקל לכך שמאז שנת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המערער לא הורשע בכל עבירה</w:t>
      </w:r>
      <w:r>
        <w:rPr>
          <w:rtl w:val="true"/>
        </w:rPr>
        <w:t xml:space="preserve">. </w:t>
      </w: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 xml:space="preserve">נגזרו על המערער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>
          <w:rtl w:val="true"/>
        </w:rPr>
        <w:t>מאסר מותנה</w:t>
      </w:r>
      <w:r>
        <w:rPr>
          <w:rtl w:val="true"/>
        </w:rPr>
        <w:t xml:space="preserve">; </w:t>
      </w:r>
      <w:r>
        <w:rPr>
          <w:rtl w:val="true"/>
        </w:rPr>
        <w:t xml:space="preserve">ופיצוי בסך של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למשפחת המנוחה</w:t>
      </w:r>
      <w:r>
        <w:rPr>
          <w:rtl w:val="true"/>
        </w:rPr>
        <w:t>.</w:t>
      </w:r>
    </w:p>
    <w:p>
      <w:pPr>
        <w:pStyle w:val="Ruller42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בפתח נימוקי הערעור ציין המערער</w:t>
      </w:r>
      <w:r>
        <w:rPr>
          <w:rtl w:val="true"/>
        </w:rPr>
        <w:t xml:space="preserve">, </w:t>
      </w:r>
      <w:r>
        <w:rPr>
          <w:rtl w:val="true"/>
        </w:rPr>
        <w:t>המיוצג על</w:t>
      </w:r>
      <w:r>
        <w:rPr>
          <w:rtl w:val="true"/>
        </w:rPr>
        <w:t>-</w:t>
      </w:r>
      <w:r>
        <w:rPr>
          <w:rtl w:val="true"/>
        </w:rPr>
        <w:t>ידי עו</w:t>
      </w:r>
      <w:r>
        <w:rPr>
          <w:rtl w:val="true"/>
        </w:rPr>
        <w:t>"</w:t>
      </w:r>
      <w:r>
        <w:rPr>
          <w:rtl w:val="true"/>
        </w:rPr>
        <w:t>ד לרנאו מטעם הסנגוריה הציבורית</w:t>
      </w:r>
      <w:r>
        <w:rPr>
          <w:rtl w:val="true"/>
        </w:rPr>
        <w:t xml:space="preserve">, </w:t>
      </w:r>
      <w:r>
        <w:rPr>
          <w:rtl w:val="true"/>
        </w:rPr>
        <w:t>כי אף שהוא עומד על גרסת החפות שמסר בבית משפט קמא</w:t>
      </w:r>
      <w:r>
        <w:rPr>
          <w:rtl w:val="true"/>
        </w:rPr>
        <w:t xml:space="preserve">, </w:t>
      </w:r>
      <w:r>
        <w:rPr>
          <w:rtl w:val="true"/>
        </w:rPr>
        <w:t>הוא אינו מבקש לחלוק על ממצאי המהימנות שנקבעו ביחס לגרסתו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 לב לאמת המידה המצומצמת הנקוטה בבית משפט זה ביחס להתערבות בקביעות מהימנות שנקבעו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הדגיש המערער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יתמקדו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להרשיע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החריגות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ובכללן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ושלוש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שנפגעת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נפטרה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טבעי</w:t>
      </w:r>
      <w:r>
        <w:rPr>
          <w:rtl w:val="true"/>
        </w:rPr>
        <w:t>".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טענתו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 של המערער מתייחסת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לקבילות</w:t>
      </w:r>
      <w:r>
        <w:rPr>
          <w:rtl w:val="true"/>
        </w:rPr>
        <w:t xml:space="preserve"> אמרות המנוחה</w:t>
      </w:r>
      <w:r>
        <w:rPr>
          <w:rtl w:val="true"/>
        </w:rPr>
        <w:t xml:space="preserve">. </w:t>
      </w:r>
      <w:r>
        <w:rPr>
          <w:rtl w:val="true"/>
        </w:rPr>
        <w:t>בהקשר זה נטען</w:t>
      </w:r>
      <w:r>
        <w:rPr>
          <w:rtl w:val="true"/>
        </w:rPr>
        <w:t xml:space="preserve">, </w:t>
      </w:r>
      <w:r>
        <w:rPr>
          <w:rtl w:val="true"/>
        </w:rPr>
        <w:t>כי הרציונל העומד בבסיס כלל ה</w:t>
      </w:r>
      <w:r>
        <w:rPr>
          <w:rtl w:val="true"/>
        </w:rPr>
        <w:t>'</w:t>
      </w:r>
      <w:r>
        <w:rPr>
          <w:rtl w:val="true"/>
        </w:rPr>
        <w:t>רס גסטה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המאפשר קבלת עדות שמיעה מפי קורבן עבירת אלימות </w:t>
      </w:r>
      <w:r>
        <w:rPr>
          <w:rtl w:val="true"/>
        </w:rPr>
        <w:t>–</w:t>
      </w:r>
      <w:r>
        <w:rPr>
          <w:rtl w:val="true"/>
        </w:rPr>
        <w:t xml:space="preserve"> מבוסס על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החזקה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הספונטניות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ומדויק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המתרחש</w:t>
      </w:r>
      <w:r>
        <w:rPr>
          <w:rtl w:val="true"/>
        </w:rPr>
        <w:t xml:space="preserve">".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חזקה זו אינה מתקיימת במקרה דנן</w:t>
      </w:r>
      <w:r>
        <w:rPr>
          <w:rtl w:val="true"/>
        </w:rPr>
        <w:t xml:space="preserve">, </w:t>
      </w:r>
      <w:r>
        <w:rPr>
          <w:rtl w:val="true"/>
        </w:rPr>
        <w:t>מאחר שאמרות המנוחה מיד לאחר האירוע כללו עובדות מהותיות שהתבררו בדיעבד כשגויות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כבר באמרה הראשונה של המנוחה לאחר האירוע</w:t>
      </w:r>
      <w:r>
        <w:rPr>
          <w:rtl w:val="true"/>
        </w:rPr>
        <w:t xml:space="preserve">, </w:t>
      </w:r>
      <w:r>
        <w:rPr>
          <w:rtl w:val="true"/>
        </w:rPr>
        <w:t xml:space="preserve">היא סיפרה לשכן כי </w:t>
      </w:r>
      <w:r>
        <w:rPr>
          <w:rFonts w:ascii="Century" w:hAnsi="Century" w:cs="Century"/>
          <w:sz w:val="22"/>
          <w:sz w:val="22"/>
          <w:rtl w:val="true"/>
        </w:rPr>
        <w:t>ניסו לרצוח אותה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כי אנסו אותה והחדירו לה סכין לאיבר המין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וכי גנבו לה את התיק</w:t>
      </w:r>
      <w:r>
        <w:rPr>
          <w:rtl w:val="true"/>
        </w:rPr>
        <w:t xml:space="preserve">. </w:t>
      </w:r>
      <w:r>
        <w:rPr>
          <w:rtl w:val="true"/>
        </w:rPr>
        <w:t>אמרות אלו התבררו בדיעבד כשגויות</w:t>
      </w:r>
      <w:r>
        <w:rPr>
          <w:rtl w:val="true"/>
        </w:rPr>
        <w:t xml:space="preserve">. </w:t>
      </w:r>
      <w:r>
        <w:rPr>
          <w:rtl w:val="true"/>
        </w:rPr>
        <w:t>הן נסתרו מגרסאות מאוחרות יותר של המנוחה</w:t>
      </w:r>
      <w:r>
        <w:rPr>
          <w:rtl w:val="true"/>
        </w:rPr>
        <w:t xml:space="preserve">; </w:t>
      </w:r>
      <w:r>
        <w:rPr>
          <w:rtl w:val="true"/>
        </w:rPr>
        <w:t>הן לא עלו בקנה אחד עם הראיות האובייקטיביות</w:t>
      </w:r>
      <w:r>
        <w:rPr>
          <w:rtl w:val="true"/>
        </w:rPr>
        <w:t xml:space="preserve">; </w:t>
      </w:r>
      <w:r>
        <w:rPr>
          <w:rtl w:val="true"/>
        </w:rPr>
        <w:t>ואף המדינה עצמה לא ביקשה לייחס למערער את המעשים שתוארו על</w:t>
      </w:r>
      <w:r>
        <w:rPr>
          <w:rtl w:val="true"/>
        </w:rPr>
        <w:t>-</w:t>
      </w:r>
      <w:r>
        <w:rPr>
          <w:rtl w:val="true"/>
        </w:rPr>
        <w:t>ידי המנוחה באמרה זו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הוסיף וטען כי אומנם באמרות מאוחרות יותר </w:t>
      </w:r>
      <w:r>
        <w:rPr>
          <w:rtl w:val="true"/>
        </w:rPr>
        <w:t>–</w:t>
      </w:r>
      <w:r>
        <w:rPr>
          <w:rtl w:val="true"/>
        </w:rPr>
        <w:t xml:space="preserve"> לאחר ששוחחה המנוחה עם קרובי משפחה</w:t>
      </w:r>
      <w:r>
        <w:rPr>
          <w:rtl w:val="true"/>
        </w:rPr>
        <w:t xml:space="preserve">, </w:t>
      </w:r>
      <w:r>
        <w:rPr>
          <w:rtl w:val="true"/>
        </w:rPr>
        <w:t xml:space="preserve">חוקרי משטרה ורופאים </w:t>
      </w:r>
      <w:r>
        <w:rPr>
          <w:rtl w:val="true"/>
        </w:rPr>
        <w:t>–</w:t>
      </w:r>
      <w:r>
        <w:rPr>
          <w:rtl w:val="true"/>
        </w:rPr>
        <w:t xml:space="preserve"> היא מסרה גרסה המתיישבת בצורה טובה יותר עם הראיות שנמצאו בזירה</w:t>
      </w:r>
      <w:r>
        <w:rPr>
          <w:rtl w:val="true"/>
        </w:rPr>
        <w:t xml:space="preserve">. </w:t>
      </w:r>
      <w:r>
        <w:rPr>
          <w:rtl w:val="true"/>
        </w:rPr>
        <w:t>אך עם זאת</w:t>
      </w:r>
      <w:r>
        <w:rPr>
          <w:rtl w:val="true"/>
        </w:rPr>
        <w:t xml:space="preserve">, </w:t>
      </w:r>
      <w:r>
        <w:rPr>
          <w:rtl w:val="true"/>
        </w:rPr>
        <w:t>אין בכך כדי להקהות את הקושי העולה מכך שגרסתה הספונטנית לאחר אירוע האלימות</w:t>
      </w:r>
      <w:r>
        <w:rPr>
          <w:rtl w:val="true"/>
        </w:rPr>
        <w:t xml:space="preserve">, </w:t>
      </w:r>
      <w:r>
        <w:rPr>
          <w:rtl w:val="true"/>
        </w:rPr>
        <w:t>לא שיקפה את שאירע בפועל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המערער ביקש להדגיש את חשיבות החקירה הנגדית ככלי שבאמצעותו ניתן היה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להתגבר על התמיהות שעלו מאמרתה הראשונה של המנוחה</w:t>
      </w:r>
      <w:r>
        <w:rPr>
          <w:rtl w:val="true"/>
        </w:rPr>
        <w:t xml:space="preserve">, </w:t>
      </w:r>
      <w:r>
        <w:rPr>
          <w:rtl w:val="true"/>
        </w:rPr>
        <w:t>כאשר בהיעדר חקירה נגדית</w:t>
      </w:r>
      <w:r>
        <w:rPr>
          <w:rtl w:val="true"/>
        </w:rPr>
        <w:t xml:space="preserve">, </w:t>
      </w:r>
      <w:r>
        <w:rPr>
          <w:rtl w:val="true"/>
        </w:rPr>
        <w:t>לא ניתן לקבוע ממצאים על יסודה</w:t>
      </w:r>
      <w:r>
        <w:rPr>
          <w:rtl w:val="true"/>
        </w:rPr>
        <w:t xml:space="preserve">, </w:t>
      </w:r>
      <w:r>
        <w:rPr>
          <w:rtl w:val="true"/>
        </w:rPr>
        <w:t>לאחר שזו התבררה כשגויה ביחס לעובדות מהותיות ביותר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הטענה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 של המערער מתייחסת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למשקל</w:t>
      </w:r>
      <w:r>
        <w:rPr>
          <w:rtl w:val="true"/>
        </w:rPr>
        <w:t xml:space="preserve"> שניתן לאמרות המנוחה</w:t>
      </w:r>
      <w:r>
        <w:rPr>
          <w:rtl w:val="true"/>
        </w:rPr>
        <w:t xml:space="preserve">. </w:t>
      </w:r>
      <w:r>
        <w:rPr>
          <w:rtl w:val="true"/>
        </w:rPr>
        <w:t>לפי קו טיעון זה</w:t>
      </w:r>
      <w:r>
        <w:rPr>
          <w:rtl w:val="true"/>
        </w:rPr>
        <w:t xml:space="preserve">, </w:t>
      </w:r>
      <w:r>
        <w:rPr>
          <w:rtl w:val="true"/>
        </w:rPr>
        <w:t>גם אם היה מקום להכיר בקבילות אמרות המנוחה</w:t>
      </w:r>
      <w:r>
        <w:rPr>
          <w:rtl w:val="true"/>
        </w:rPr>
        <w:t xml:space="preserve">, </w:t>
      </w:r>
      <w:r>
        <w:rPr>
          <w:rtl w:val="true"/>
        </w:rPr>
        <w:t>הרי שנוכח הסתירות המהותיות שנתגלו בהן</w:t>
      </w:r>
      <w:r>
        <w:rPr>
          <w:rtl w:val="true"/>
        </w:rPr>
        <w:t xml:space="preserve">, </w:t>
      </w:r>
      <w:r>
        <w:rPr>
          <w:rtl w:val="true"/>
        </w:rPr>
        <w:t>ובשים לב למצב הנפשי שבו הייתה שרויה המנוחה בעת מתן האמרות</w:t>
      </w:r>
      <w:r>
        <w:rPr>
          <w:rtl w:val="true"/>
        </w:rPr>
        <w:t xml:space="preserve">, </w:t>
      </w:r>
      <w:r>
        <w:rPr>
          <w:rtl w:val="true"/>
        </w:rPr>
        <w:t xml:space="preserve">אשר יתכן שהוביל לסתירות אלו </w:t>
      </w:r>
      <w:r>
        <w:rPr>
          <w:rtl w:val="true"/>
        </w:rPr>
        <w:t>–</w:t>
      </w:r>
      <w:r>
        <w:rPr>
          <w:rtl w:val="true"/>
        </w:rPr>
        <w:t xml:space="preserve"> לא היה מקום ליתן משקל של ממש לאמרות אלו</w:t>
      </w:r>
      <w:r>
        <w:rPr>
          <w:rtl w:val="true"/>
        </w:rPr>
        <w:t xml:space="preserve">. </w:t>
      </w:r>
      <w:r>
        <w:rPr>
          <w:rtl w:val="true"/>
        </w:rPr>
        <w:t>המערער הצביע על סתירות שנתגלו באמרות המנוחה ביחס לניסיון לרצח שהיא ייחסה למערער</w:t>
      </w:r>
      <w:r>
        <w:rPr>
          <w:rtl w:val="true"/>
        </w:rPr>
        <w:t xml:space="preserve">; </w:t>
      </w:r>
      <w:r>
        <w:rPr>
          <w:rtl w:val="true"/>
        </w:rPr>
        <w:t>סוג עבירת המין שהיא ייחסה לו</w:t>
      </w:r>
      <w:r>
        <w:rPr>
          <w:rtl w:val="true"/>
        </w:rPr>
        <w:t xml:space="preserve">; </w:t>
      </w:r>
      <w:r>
        <w:rPr>
          <w:rtl w:val="true"/>
        </w:rPr>
        <w:t>הלבוש שהיא לבשה בעת האירוע</w:t>
      </w:r>
      <w:r>
        <w:rPr>
          <w:rtl w:val="true"/>
        </w:rPr>
        <w:t xml:space="preserve">; </w:t>
      </w:r>
      <w:r>
        <w:rPr>
          <w:rtl w:val="true"/>
        </w:rPr>
        <w:t>הרכוש שנגנב מהדירה</w:t>
      </w:r>
      <w:r>
        <w:rPr>
          <w:rtl w:val="true"/>
        </w:rPr>
        <w:t xml:space="preserve">; </w:t>
      </w:r>
      <w:r>
        <w:rPr>
          <w:rtl w:val="true"/>
        </w:rPr>
        <w:t>מי הביא את הסכין</w:t>
      </w:r>
      <w:r>
        <w:rPr>
          <w:rtl w:val="true"/>
        </w:rPr>
        <w:t xml:space="preserve">, </w:t>
      </w:r>
      <w:r>
        <w:rPr>
          <w:rtl w:val="true"/>
        </w:rPr>
        <w:t>באיזה שלב באירוע</w:t>
      </w:r>
      <w:r>
        <w:rPr>
          <w:rtl w:val="true"/>
        </w:rPr>
        <w:t xml:space="preserve">, </w:t>
      </w:r>
      <w:r>
        <w:rPr>
          <w:rtl w:val="true"/>
        </w:rPr>
        <w:t>ומה השימוש שנעשה בה</w:t>
      </w:r>
      <w:r>
        <w:rPr>
          <w:rtl w:val="true"/>
        </w:rPr>
        <w:t xml:space="preserve">. </w:t>
      </w:r>
      <w:r>
        <w:rPr>
          <w:rtl w:val="true"/>
        </w:rPr>
        <w:t>המערער טען כי מאחר שבית משפט קמא לא יכול היה להתרשם באופן ישיר ובלתי אמצעי מהסבריה של המנוחה בדבר הסתירות שנתגלו באמרותיה</w:t>
      </w:r>
      <w:r>
        <w:rPr>
          <w:rtl w:val="true"/>
        </w:rPr>
        <w:t xml:space="preserve">, </w:t>
      </w:r>
      <w:r>
        <w:rPr>
          <w:rtl w:val="true"/>
        </w:rPr>
        <w:t>היה עליו להימנע מייחוס משקל משמעותי לאמרות אלו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 נטען כי בת המנוחה העידה בבית המשפט כי המנוחה מסרה לה גרסה שונה בדבר מה שאירע בדירה באותם רגעים</w:t>
      </w:r>
      <w:r>
        <w:rPr>
          <w:rtl w:val="true"/>
        </w:rPr>
        <w:t xml:space="preserve">, </w:t>
      </w:r>
      <w:r>
        <w:rPr>
          <w:rtl w:val="true"/>
        </w:rPr>
        <w:t>לאחר שהמנוחה יצאה מהמקלחת</w:t>
      </w:r>
      <w:r>
        <w:rPr>
          <w:rtl w:val="true"/>
        </w:rPr>
        <w:t xml:space="preserve">. </w:t>
      </w:r>
      <w:r>
        <w:rPr>
          <w:rtl w:val="true"/>
        </w:rPr>
        <w:t>לפי גרסה זו</w:t>
      </w:r>
      <w:r>
        <w:rPr>
          <w:rtl w:val="true"/>
        </w:rPr>
        <w:t xml:space="preserve">, </w:t>
      </w:r>
      <w:r>
        <w:rPr>
          <w:rtl w:val="true"/>
        </w:rPr>
        <w:t>המנוחה יצאה מהמקלחת בעודה מכוסה רק במגבת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תורידי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המגבת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למטבח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חטף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ובגלל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החתכים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התנגדה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הכוח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החזיקה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ובגלל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חתך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נרפא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החזיקה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הצליח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בבטן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חתכים</w:t>
      </w:r>
      <w:r>
        <w:rPr>
          <w:rtl w:val="true"/>
        </w:rPr>
        <w:t xml:space="preserve">".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אומנם הבת העידה כי שמעה מהמנוחה את הדברים רק למחרת האירוע</w:t>
      </w:r>
      <w:r>
        <w:rPr>
          <w:rtl w:val="true"/>
        </w:rPr>
        <w:t xml:space="preserve">, </w:t>
      </w:r>
      <w:r>
        <w:rPr>
          <w:rtl w:val="true"/>
        </w:rPr>
        <w:t>באופן שמנע את קבלת אמרה זו כראיה לאמיתות תוכנה</w:t>
      </w:r>
      <w:r>
        <w:rPr>
          <w:rtl w:val="true"/>
        </w:rPr>
        <w:t xml:space="preserve">; </w:t>
      </w:r>
      <w:r>
        <w:rPr>
          <w:rtl w:val="true"/>
        </w:rPr>
        <w:t>אך יש באמרה זו כדי לתמוך בעיקרי גרסת המערער</w:t>
      </w:r>
      <w:r>
        <w:rPr>
          <w:rtl w:val="true"/>
        </w:rPr>
        <w:t xml:space="preserve">, </w:t>
      </w:r>
      <w:r>
        <w:rPr>
          <w:rtl w:val="true"/>
        </w:rPr>
        <w:t>שלפיה המנוחה היא זו שהביאה את הסכין לאחר שחששה ממנו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כוונותיו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לאינדיקציות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לתחושתה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מהמקלחת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עטופה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במגבת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ולבושה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בחולצה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ובתחתונים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tl w:val="true"/>
        </w:rPr>
        <w:t>".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 xml:space="preserve">פנה המערער לטענתו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לפיה גם אם הרשעתו בעבירות האלימות והרכוש ייוותרו על כנן</w:t>
      </w:r>
      <w:r>
        <w:rPr>
          <w:rtl w:val="true"/>
        </w:rPr>
        <w:t xml:space="preserve">, </w:t>
      </w:r>
      <w:r>
        <w:rPr>
          <w:rtl w:val="true"/>
        </w:rPr>
        <w:t>יש להורות על זיכויו מעבירת מעשה מגונה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שכן לבד מאמרותיה של המנוחה </w:t>
      </w:r>
      <w:r>
        <w:rPr>
          <w:rtl w:val="true"/>
        </w:rPr>
        <w:t>–</w:t>
      </w:r>
      <w:r>
        <w:rPr>
          <w:rtl w:val="true"/>
        </w:rPr>
        <w:t xml:space="preserve"> אשר כללו כאמור סתירות ביחס לסוג התקיפה המינית שחוותה </w:t>
      </w:r>
      <w:r>
        <w:rPr>
          <w:rtl w:val="true"/>
        </w:rPr>
        <w:t>–</w:t>
      </w:r>
      <w:r>
        <w:rPr>
          <w:rtl w:val="true"/>
        </w:rPr>
        <w:t xml:space="preserve"> לא הובאה כל תוספת ראייתית התומכת בטענה שהמערער ביצע בה עבירת מין כלשהי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גם אם כעניין תיאורטי ניתן להרשיע נאשם על בסיס אמרת חוץ של קורבן עבירה בלבד</w:t>
      </w:r>
      <w:r>
        <w:rPr>
          <w:rtl w:val="true"/>
        </w:rPr>
        <w:t xml:space="preserve">, </w:t>
      </w:r>
      <w:r>
        <w:rPr>
          <w:rtl w:val="true"/>
        </w:rPr>
        <w:t xml:space="preserve">הפסיקה התייחסה לאמרות אלו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בזהירות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יתרה</w:t>
      </w:r>
      <w:r>
        <w:rPr>
          <w:rtl w:val="true"/>
        </w:rPr>
        <w:t xml:space="preserve">",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>אין אפילו תקדים אחד להרשעה בעבירה חמורה על בסיס עדות כזו בלבד</w:t>
      </w:r>
      <w:r>
        <w:rPr>
          <w:rtl w:val="true"/>
        </w:rPr>
        <w:t xml:space="preserve">. </w:t>
      </w:r>
      <w:r>
        <w:rPr>
          <w:rtl w:val="true"/>
        </w:rPr>
        <w:t>קל וחומר שכך</w:t>
      </w:r>
      <w:r>
        <w:rPr>
          <w:rtl w:val="true"/>
        </w:rPr>
        <w:t xml:space="preserve">, </w:t>
      </w:r>
      <w:r>
        <w:rPr>
          <w:rtl w:val="true"/>
        </w:rPr>
        <w:t>כאשר חלק משמעותי מאמרות המנוחה בסוגיה זו</w:t>
      </w:r>
      <w:r>
        <w:rPr>
          <w:rtl w:val="true"/>
        </w:rPr>
        <w:t xml:space="preserve">, </w:t>
      </w:r>
      <w:r>
        <w:rPr>
          <w:rtl w:val="true"/>
        </w:rPr>
        <w:t>כדוגמת הטענה שהמערער אנס אותה והחדיר לה סכין לאיבר המין</w:t>
      </w:r>
      <w:r>
        <w:rPr>
          <w:rtl w:val="true"/>
        </w:rPr>
        <w:t xml:space="preserve">, </w:t>
      </w:r>
      <w:r>
        <w:rPr>
          <w:rtl w:val="true"/>
        </w:rPr>
        <w:t>נסתרו על</w:t>
      </w:r>
      <w:r>
        <w:rPr>
          <w:rtl w:val="true"/>
        </w:rPr>
        <w:t>-</w:t>
      </w:r>
      <w:r>
        <w:rPr>
          <w:rtl w:val="true"/>
        </w:rPr>
        <w:t>ידי אמרותיה המאוחרות יותר</w:t>
      </w:r>
      <w:r>
        <w:rPr>
          <w:rtl w:val="true"/>
        </w:rPr>
        <w:t xml:space="preserve">, </w:t>
      </w:r>
      <w:r>
        <w:rPr>
          <w:rtl w:val="true"/>
        </w:rPr>
        <w:t>כמו גם על</w:t>
      </w:r>
      <w:r>
        <w:rPr>
          <w:rtl w:val="true"/>
        </w:rPr>
        <w:t>-</w:t>
      </w:r>
      <w:r>
        <w:rPr>
          <w:rtl w:val="true"/>
        </w:rPr>
        <w:t>ידי ראיות אובייקטיביות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אשר לגזר הדין</w:t>
      </w:r>
      <w:r>
        <w:rPr>
          <w:rtl w:val="true"/>
        </w:rPr>
        <w:t xml:space="preserve">, </w:t>
      </w:r>
      <w:r>
        <w:rPr>
          <w:rtl w:val="true"/>
        </w:rPr>
        <w:t>נטען כי מתחם הענישה שנקבע על</w:t>
      </w:r>
      <w:r>
        <w:rPr>
          <w:rtl w:val="true"/>
        </w:rPr>
        <w:t>-</w:t>
      </w:r>
      <w:r>
        <w:rPr>
          <w:rtl w:val="true"/>
        </w:rPr>
        <w:t>ידי בית משפט קמא חורג ממתחמי הענישה שנקבעו במקרים דומים</w:t>
      </w:r>
      <w:r>
        <w:rPr>
          <w:rtl w:val="true"/>
        </w:rPr>
        <w:t xml:space="preserve">; </w:t>
      </w:r>
      <w:r>
        <w:rPr>
          <w:rtl w:val="true"/>
        </w:rPr>
        <w:t>וכי שיקולי שיקום</w:t>
      </w:r>
      <w:r>
        <w:rPr>
          <w:rtl w:val="true"/>
        </w:rPr>
        <w:t xml:space="preserve">, </w:t>
      </w:r>
      <w:r>
        <w:rPr>
          <w:rtl w:val="true"/>
        </w:rPr>
        <w:t xml:space="preserve">כמו גם חלוף הזמן מעת ביצוע העבירות </w:t>
      </w:r>
      <w:r>
        <w:rPr>
          <w:rtl w:val="true"/>
        </w:rPr>
        <w:t>–</w:t>
      </w:r>
      <w:r>
        <w:rPr>
          <w:rtl w:val="true"/>
        </w:rPr>
        <w:t xml:space="preserve"> יש בהם כדי להצדיק הפחתה בעונשו של המערער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 סבורה כי יש לדחות את הערעור על כל חלקיו</w:t>
      </w:r>
      <w:r>
        <w:rPr>
          <w:rtl w:val="true"/>
        </w:rPr>
        <w:t xml:space="preserve">. </w:t>
      </w:r>
      <w:r>
        <w:rPr>
          <w:rtl w:val="true"/>
        </w:rPr>
        <w:t xml:space="preserve">אשר לסוגיית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קבילות</w:t>
      </w:r>
      <w:r>
        <w:rPr>
          <w:rtl w:val="true"/>
        </w:rPr>
        <w:t xml:space="preserve"> אמרות המנוחה</w:t>
      </w:r>
      <w:r>
        <w:rPr>
          <w:rtl w:val="true"/>
        </w:rPr>
        <w:t xml:space="preserve">, </w:t>
      </w:r>
      <w:r>
        <w:rPr>
          <w:rtl w:val="true"/>
        </w:rPr>
        <w:t xml:space="preserve">המדינה טוענת כי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לא דורש כי גרסת קורבן העבירה תהא סדורה ועקבית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 xml:space="preserve">טענות ביחס לסתירות באמרות המנוחה </w:t>
      </w:r>
      <w:r>
        <w:rPr>
          <w:rtl w:val="true"/>
        </w:rPr>
        <w:t>–</w:t>
      </w:r>
      <w:r>
        <w:rPr>
          <w:rtl w:val="true"/>
        </w:rPr>
        <w:t xml:space="preserve"> דינן להתברר במישור המשקל</w:t>
      </w:r>
      <w:r>
        <w:rPr>
          <w:rtl w:val="true"/>
        </w:rPr>
        <w:t xml:space="preserve">, </w:t>
      </w:r>
      <w:r>
        <w:rPr>
          <w:rtl w:val="true"/>
        </w:rPr>
        <w:t>ולא במישור הקבילות</w:t>
      </w:r>
      <w:r>
        <w:rPr>
          <w:rtl w:val="true"/>
        </w:rPr>
        <w:t xml:space="preserve">. </w:t>
      </w:r>
      <w:r>
        <w:rPr>
          <w:rtl w:val="true"/>
        </w:rPr>
        <w:t>בהקשר זה נטען</w:t>
      </w:r>
      <w:r>
        <w:rPr>
          <w:rtl w:val="true"/>
        </w:rPr>
        <w:t xml:space="preserve">, </w:t>
      </w:r>
      <w:r>
        <w:rPr>
          <w:rtl w:val="true"/>
        </w:rPr>
        <w:t xml:space="preserve">כי אין חולק שאמרות המנוחה נאמרו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לאירוע</w:t>
      </w:r>
      <w:r>
        <w:rPr>
          <w:rtl w:val="true"/>
        </w:rPr>
        <w:t xml:space="preserve">", </w:t>
      </w:r>
      <w:r>
        <w:rPr>
          <w:rtl w:val="true"/>
        </w:rPr>
        <w:t xml:space="preserve">כמשמעות מונח זה </w:t>
      </w:r>
      <w:hyperlink r:id="rId4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וכן התקיימו כל יתר התנאים על מנת שהן תוכרנה כראיות קבילות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אשר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למשקל</w:t>
      </w:r>
      <w:r>
        <w:rPr>
          <w:rtl w:val="true"/>
        </w:rPr>
        <w:t xml:space="preserve"> שניתן לאמרות המנוחה </w:t>
      </w:r>
      <w:r>
        <w:rPr>
          <w:rtl w:val="true"/>
        </w:rPr>
        <w:t>–</w:t>
      </w:r>
      <w:r>
        <w:rPr>
          <w:rtl w:val="true"/>
        </w:rPr>
        <w:t xml:space="preserve"> המדינה טענה כי בית משפט קמא נדרש לבחור בין מתן אמון בגרסת המנוחה לבין מתן אמון בגרסת המערער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שלא היו עדים נוספים לנסיבות האירוע האלים שהתהווה בדירה</w:t>
      </w:r>
      <w:r>
        <w:rPr>
          <w:rtl w:val="true"/>
        </w:rPr>
        <w:t xml:space="preserve">. </w:t>
      </w:r>
      <w:r>
        <w:rPr>
          <w:rtl w:val="true"/>
        </w:rPr>
        <w:t>לשיטת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עיון באמרות המנוחה מלמד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תיאור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עקבי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ליבת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שהתרחש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בדירה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ברצפה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ופציעתה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להורדת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התכשיטים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שיהרוג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ההדגשה במקור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 xml:space="preserve">'). </w:t>
      </w:r>
      <w:r>
        <w:rPr>
          <w:rFonts w:ascii="Century" w:hAnsi="Century" w:cs="Century"/>
          <w:rtl w:val="true"/>
        </w:rPr>
        <w:t xml:space="preserve">המדינה אינה מתכחשת לכך שישנם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הבדלים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מסוימים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בין אמרות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לשיטתה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הבדלים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לחלוטין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והבהלה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שאחזו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במנוחה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שאחזה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פצועה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ופונתה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רפואי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על כך הוסיפה המדינה כי בכל הנוגע לסתירות שנתגלו בין גרסת המנוחה כפי שנמסרה לחוקרי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עדויותיהם של השכן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האחות והבן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יש להעדיף את הגרסאות שנמסרו לחוקרי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ותועדו בזמן 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פני </w:t>
      </w:r>
      <w:r>
        <w:rPr>
          <w:rtl w:val="true"/>
        </w:rPr>
        <w:t>זיכרונותיה</w:t>
      </w:r>
      <w:r>
        <w:rPr>
          <w:rtl w:val="true"/>
        </w:rPr>
        <w:t>ם</w:t>
      </w:r>
      <w:r>
        <w:rPr>
          <w:rFonts w:ascii="Century" w:hAnsi="Century" w:cs="Century"/>
          <w:rtl w:val="true"/>
        </w:rPr>
        <w:t xml:space="preserve"> של </w:t>
      </w:r>
      <w:r>
        <w:rPr>
          <w:rtl w:val="true"/>
        </w:rPr>
        <w:t>מי</w:t>
      </w:r>
      <w:r>
        <w:rPr>
          <w:rFonts w:ascii="Century" w:hAnsi="Century" w:cs="Century"/>
          <w:rtl w:val="true"/>
        </w:rPr>
        <w:t xml:space="preserve"> שלא תיעדו את ששמעו מהמנוחה בזמן אמת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הראיות האובייקטיביות מזירת האירוע מוכיחות את ליבת האירוע שנמסר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וסותרות באופן חזיתי את גרסת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גרסת המערער אף נמצאה שקרית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שהתרשם באופן בלתי אמצעי מהיעדר מהימנותו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הוסף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המערער לא הביא כל ראיה לכך שפגיעות שהמנוחה חוותה בעבר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לא הוכחו בהליך בבית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גרמו לה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לדמיין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להזות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שאירע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באירוע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rtl w:val="true"/>
        </w:rPr>
        <w:t>אשר להרשעה בעבירת מעשה מגונה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המדינה טענה כי אין כל בסיס לטענת המערער שלפיה נדרשת תוספת ראייתית כדי להרשיע על בסיס אמרתו של קורבן אלימות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סברה המדינה כי משעה שנקבע כי גרסת המנוחה הייתה אמת ביחס לאירוע כולו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היגיון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בקביעה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כי היא בדתה מליבה את עבירת המין שייחסה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שאותו היא לא הכירה עד למותה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המדינה סבורה כי השאלה אם נדרשת תוספת ראייתית אם לאו אינה רלוונטית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הובאו די והותר ראיות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בכללותה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המגונה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ההדגשה במקור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 xml:space="preserve">'). 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עדות השכן מחזקת את הקביעה כי האירוע כלל תקיפה מינית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מיד כאשר נפתחה דלת הדירה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המנוחה צעקה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והחדירו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המדינה סבורה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מלמדת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התגובה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המיידית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הספונטנית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הסתיים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בסערת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ומבוהלת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נשמתה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מהזוועה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שחוותה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ומשכך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 הנטען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עדות השכן בדבר מצבה הנפשי של המנוחה שסיפרה על התקיפה המינית שחוותה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יכולה להיות בגדר ראיה מסייעת </w:t>
      </w:r>
      <w:r>
        <w:rPr>
          <w:rFonts w:ascii="Century" w:hAnsi="Century" w:cs="Century"/>
          <w:sz w:val="22"/>
          <w:sz w:val="22"/>
          <w:rtl w:val="true"/>
        </w:rPr>
        <w:t>לגרסתה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לגזר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המדינה סבורה כי בהינתן הנזק הרב שנגרם למנוחה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נהרסו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כתוצאה מהתקיפה האכזרית שחוותה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ובשים לב לעברו הפלילי של המערער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אין כל מקום להקל בעונשו מעבר להקלה הגלומה בכך שעונשו הועמד בשליש התחתון של מתחם העונש שנקבע לו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בדיון שנערך לפנינו שבו באי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הצדדים על עיקרי טיעוניהם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באת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 שמה את הדגש על הסתירות שנתגלו באמרותיה של המנוחה ביחס לאירוע האלימות שחוותה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בהיעדר חקירה נגדית של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היה מקום לנסות וליישב את הסתירות הללו באמצעות ההסברים שנתנה להן המדינה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בפרט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 עמדה על כך שהמנוחה מסרה גרסאות שונות ביחס לעבירת המעשה המגונה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בתחילה טענה כי עברה אונס והחדירו לה סכין לאיבר המין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לאחר מכן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אמרה שהמערער ניסה להוריד את מכנסיה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ולבסוף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כשנמצא כי היא לבשה תחתונים בלבד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התברר כי חלה טעות גם ביחס לצבע התחתונים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באת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 הוסיפה כי בניגוד לעבירות האלימות והרכוש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הובאה כל ראיה חיצונית שתתמוך בהרשעתו בעבירת המין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ובפרט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המערער היה עקבי בכל גרסאותיו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במשטרה הן בבית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הוא לא ביצע במנוחה כל עבירת 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בניגוד ליתר העבירות שבהן הוא הודה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בצורה זו או אחרת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אם בהמשך חזר בו מהודאתו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מנגד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באת כוח המדינה הדגישה את העובדה כי התקיימו התנאים הפורמליים לקבלת אמרות המנוחה כראיה לאמיתות תוכנן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כל הטענות ביחס לסתירות באמרות אינן אלא ביחס למשקל שהיה ראוי ליתן לאמרות המנוחה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הוטעם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ליבת גרסת המנוחה הייתה עקבית ונמצאו לה תימוכין בראיות אובייקטיביות נוספות שפורטו בהכרעת הדין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ואילו הסתירות בגרסאותיה היו קלות יחסית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וניתן להבינן לנוכח הטראומה שהמנוחה חוותה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שיש לדחות גם את הטענות ביחס למשקל האמרות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כפי שציינתי בפתח חוות דעתי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במוקד הערעור סוגיית קבילותן ומשקלן של </w:t>
      </w:r>
      <w:r>
        <w:rPr>
          <w:rtl w:val="true"/>
        </w:rPr>
        <w:t>א</w:t>
      </w:r>
      <w:r>
        <w:rPr>
          <w:rtl w:val="true"/>
        </w:rPr>
        <w:t>ִ</w:t>
      </w:r>
      <w:r>
        <w:rPr>
          <w:rtl w:val="true"/>
        </w:rPr>
        <w:t>מר</w:t>
      </w:r>
      <w:r>
        <w:rPr>
          <w:rtl w:val="true"/>
        </w:rPr>
        <w:t>ות חוץ</w:t>
      </w:r>
      <w:r>
        <w:rPr>
          <w:rtl w:val="true"/>
        </w:rPr>
        <w:t xml:space="preserve"> </w:t>
      </w:r>
      <w:r>
        <w:rPr>
          <w:rtl w:val="true"/>
        </w:rPr>
        <w:t>של קורבן עבירה</w:t>
      </w:r>
      <w:r>
        <w:rPr>
          <w:rtl w:val="true"/>
        </w:rPr>
        <w:t xml:space="preserve">, </w:t>
      </w:r>
      <w:r>
        <w:rPr>
          <w:rtl w:val="true"/>
        </w:rPr>
        <w:t>שנאמרו בסמוך לאחר מעשה אלימות</w:t>
      </w:r>
      <w:r>
        <w:rPr>
          <w:rtl w:val="true"/>
        </w:rPr>
        <w:t xml:space="preserve">, </w:t>
      </w:r>
      <w:r>
        <w:rPr>
          <w:rtl w:val="true"/>
        </w:rPr>
        <w:t xml:space="preserve">שעדות על אמירתן נשמעה בין כותלי בית המשפט בהתאם להוראת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נוכח העובדות והטענות שפירטתי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השאלות הדורשות את הכרעתנו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בערעור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כדלהלן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האם אמרות המנוחה קבילות כראיה לאמיתות תוכנן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בהנחה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שהאמרות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קבילות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מהי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המסקנה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העולה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מהן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בשילוב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מארג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הראיות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הכולל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שאלה</w:t>
      </w:r>
      <w:r>
        <w:rPr>
          <w:rFonts w:ascii="Century" w:hAnsi="Century" w:cs="Century"/>
          <w:sz w:val="22"/>
          <w:sz w:val="22"/>
          <w:rtl w:val="true"/>
        </w:rPr>
        <w:t xml:space="preserve"> שנייה זו נחלקת לשתי שאלות משנה</w:t>
      </w:r>
      <w:r>
        <w:rPr>
          <w:rFonts w:cs="Century" w:ascii="Century" w:hAnsi="Century"/>
          <w:sz w:val="22"/>
          <w:rtl w:val="true"/>
        </w:rPr>
        <w:t>: 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האם הוּכחה אשמת המערער בעבירות האלימות והרכוש שיוחסו לו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שוד מזוין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חבלה ופציעה בנסיבות מחמירות</w:t>
      </w:r>
      <w:r>
        <w:rPr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ואיומים</w:t>
      </w:r>
      <w:r>
        <w:rPr>
          <w:rFonts w:cs="Century" w:ascii="Century" w:hAnsi="Century"/>
          <w:sz w:val="22"/>
          <w:rtl w:val="true"/>
        </w:rPr>
        <w:t xml:space="preserve">?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-(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האם הוּכחה אשמתו בעבירה של מעשה מגונה</w:t>
      </w:r>
      <w:r>
        <w:rPr>
          <w:rFonts w:cs="Century" w:ascii="Century" w:hAnsi="Century"/>
          <w:sz w:val="22"/>
          <w:rtl w:val="true"/>
        </w:rPr>
        <w:t>?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משזו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המבססות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רקע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חלקו הראשון של הערעור נסוב על אודות קבילות אמרות המנוחה אשר נאמרו מחוץ לבית המשפט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כידוע</w:t>
      </w:r>
      <w:r>
        <w:rPr>
          <w:rFonts w:cs="Century" w:ascii="Century" w:hAnsi="Century"/>
          <w:sz w:val="22"/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ממאפייניו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הבולטים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האנגלו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אמריקני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4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4390/91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יחיא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ד </w:t>
      </w:r>
      <w:r>
        <w:rPr>
          <w:rFonts w:ascii="Century" w:hAnsi="Century" w:cs="Century"/>
          <w:sz w:val="22"/>
          <w:sz w:val="22"/>
          <w:rtl w:val="true"/>
        </w:rPr>
        <w:t>מז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661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669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1993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יחיא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כלל זה קובע כי עדות על אמרה שאמר אדם מחוץ לבית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אינה קבילה כראיה לאמיתות תוכנה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הטעמים העיקריים העומדים ביסוד הכלל הפוסל עדות שמיעה 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קיומו של חשש בדבר רמת המהימנות שניתן לייחס לעדות מפי השמועה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והמחיר החברתי הכרוך בהסתמכות על עדות שמיעה בבתי המשפט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החשש באשר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Fonts w:ascii="Century" w:hAnsi="Century" w:cs="Century"/>
          <w:sz w:val="22"/>
          <w:sz w:val="22"/>
          <w:rtl w:val="true"/>
        </w:rPr>
        <w:t xml:space="preserve"> שניתן לייחס לעדות שמיעה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נעוץ בעיקרו בכך שלא ניתן להעמיד את העדות הזו במבחן החקירה הנגדית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כפי שהוסבר ב</w:t>
      </w:r>
      <w:hyperlink r:id="rId4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7293/97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נב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460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469-468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1998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אפר</w:t>
      </w:r>
      <w:r>
        <w:rPr>
          <w:rFonts w:cs="Century" w:ascii="Century" w:hAnsi="Century"/>
          <w:sz w:val="22"/>
          <w:rtl w:val="true"/>
        </w:rPr>
        <w:t>):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מהימן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ובהיעדר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להבהירה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שזיכרונו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מעוותת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טעמים נוספים הקשורים במהימנות העדות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נעוצים בעובדה שמוסר האמרה אינו חשוף לסנקציה שאליה חשוף מי שנתפס באמירת עדות שקר במשפט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ובכך שלא ניתן להתרשם באופן בלתי אמצעי מהתנהגותו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להרחבה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יניב ואקי </w:t>
      </w:r>
      <w:hyperlink r:id="rId4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ראיות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כרך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ג</w:t>
      </w:r>
      <w:r>
        <w:rPr>
          <w:rFonts w:cs="FrankRuehl" w:ascii="FrankRuehl" w:hAnsi="FrankRuehl"/>
          <w:color w:val="000000"/>
          <w:sz w:val="28"/>
          <w:rtl w:val="true"/>
        </w:rPr>
        <w:t xml:space="preserve">',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עמ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ודים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1269-1265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2021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ואקי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לאורך השנים נשמעה לא אחת ביקורת כלפי ההצדקות העוסקות במהימנות של עדות מפי השמועה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היו שטענו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העובדה שבמקרים מסוימים עלולה להתעורר בעייתיות בנוגע למהימנות שניתן לייחס לעדות שמיעה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אינה מצדיקה להקים מחסום בלתי עביר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קבילות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אלא ניתן לפתור את הבעיה האמורה באמצעות הענקת סמכות של שיקול דעת לבתי המשפט ביחס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cs="Century"/>
          <w:sz w:val="22"/>
          <w:sz w:val="22"/>
          <w:rtl w:val="true"/>
        </w:rPr>
        <w:t xml:space="preserve"> שיינתן לעדות שמיעה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למשל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ואקי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עמ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וד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1269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 xml:space="preserve">גיא בן </w:t>
      </w:r>
      <w:hyperlink r:id="rId4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דוד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עדות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מפי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השמועה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  <w:rtl w:val="true"/>
          </w:rPr>
          <w:t>'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כפולה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' 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בהליך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 xml:space="preserve">הפלילי </w:t>
      </w:r>
      <w:r>
        <w:rPr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מעמדה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בדין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הישראלי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הקשיים בקבלת הדין הקיים והצעה לפתרון</w:t>
      </w:r>
      <w:r>
        <w:rPr>
          <w:sz w:val="22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יא </w:t>
      </w:r>
      <w:r>
        <w:rPr>
          <w:rFonts w:cs="Century" w:ascii="Century" w:hAnsi="Century"/>
          <w:sz w:val="22"/>
        </w:rPr>
        <w:t>147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158-155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2018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התומכים בגישה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שאותה נהוג לייחס לפילוסוף </w:t>
      </w:r>
      <w:r>
        <w:rPr>
          <w:rFonts w:cs="Century" w:ascii="Century" w:hAnsi="Century"/>
          <w:sz w:val="22"/>
        </w:rPr>
        <w:t>Jeremy Bentham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שפרש משנתו בספרו הנודע </w:t>
      </w:r>
      <w:r>
        <w:rPr>
          <w:rFonts w:cs="Century" w:ascii="Century" w:hAnsi="Century"/>
          <w:sz w:val="22"/>
        </w:rPr>
        <w:t>Rationale of Judicial Evidence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בשנת </w:t>
      </w:r>
      <w:r>
        <w:rPr>
          <w:rFonts w:cs="Century" w:ascii="Century" w:hAnsi="Century"/>
          <w:sz w:val="22"/>
        </w:rPr>
        <w:t>1827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טוענים כי כעניין של יום ביומו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מתקבלות החלטות מחוץ לבתי המשפט על בסיס עדויות שמיעה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ובפרט כאשר עדות המקור איננה זמינה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ואם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מדוע שנניח כעניין אפריורי כי בתי המשפט אינם מסוגלים לבור את המוץ מן התבן ולתת לעדות השמיעה את המשקל הראוי 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בכל מקרה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פי נסיבותיו</w:t>
      </w:r>
      <w:r>
        <w:rPr>
          <w:rFonts w:cs="Century" w:ascii="Century" w:hAnsi="Century"/>
          <w:sz w:val="22"/>
          <w:rtl w:val="true"/>
        </w:rPr>
        <w:t>? (</w:t>
      </w:r>
      <w:r>
        <w:rPr>
          <w:rFonts w:ascii="Century" w:hAnsi="Century" w:cs="Century"/>
          <w:sz w:val="22"/>
          <w:sz w:val="22"/>
          <w:rtl w:val="true"/>
        </w:rPr>
        <w:t>להרחבה בהקשר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וכן לתימוכין הנורמטיביים להצדקת כללי פסלות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דיון מקיף על אודות תורת המשפט הראייתית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טליה </w:t>
      </w:r>
      <w:hyperlink r:id="rId4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פישר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דיני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בראי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התיאוריה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cs="Century"/>
          <w:sz w:val="22"/>
          <w:sz w:val="22"/>
          <w:rtl w:val="true"/>
        </w:rPr>
        <w:t xml:space="preserve"> לט </w:t>
      </w:r>
      <w:r>
        <w:rPr>
          <w:rFonts w:cs="Century" w:ascii="Century" w:hAnsi="Century"/>
          <w:sz w:val="22"/>
        </w:rPr>
        <w:t>107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2016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ואכן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ציין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שמגר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עת נדרש לסוגיה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בהתפתחותו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בהשתקפותה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האנגלו</w:t>
      </w:r>
      <w:r>
        <w:rPr>
          <w:rtl w:val="true"/>
        </w:rPr>
        <w:t>-</w:t>
      </w:r>
      <w:r>
        <w:rPr>
          <w:rtl w:val="true"/>
        </w:rPr>
        <w:t>אמריקני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. </w:t>
      </w:r>
      <w:r>
        <w:rPr>
          <w:rtl w:val="true"/>
        </w:rPr>
        <w:t>הווי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הקבילות</w:t>
      </w:r>
      <w:r>
        <w:rPr>
          <w:rtl w:val="true"/>
        </w:rPr>
        <w:t xml:space="preserve">, </w:t>
      </w:r>
      <w:r>
        <w:rPr>
          <w:rtl w:val="true"/>
        </w:rPr>
        <w:t>שהיקפו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ומצטמצם</w:t>
      </w:r>
      <w:r>
        <w:rPr>
          <w:rtl w:val="true"/>
        </w:rPr>
        <w:t xml:space="preserve">, </w:t>
      </w:r>
      <w:r>
        <w:rPr>
          <w:rtl w:val="true"/>
        </w:rPr>
        <w:t>התפתחה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האנגלו</w:t>
      </w:r>
      <w:r>
        <w:rPr>
          <w:rtl w:val="true"/>
        </w:rPr>
        <w:t>-</w:t>
      </w:r>
      <w:r>
        <w:rPr>
          <w:rtl w:val="true"/>
        </w:rPr>
        <w:t>אמריקני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tl w:val="true"/>
        </w:rPr>
        <w:t xml:space="preserve">, </w:t>
      </w:r>
      <w:r>
        <w:rPr>
          <w:rtl w:val="true"/>
        </w:rPr>
        <w:t>המבכרת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רלוואנטית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פורמאליסטיים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cs="Century" w:ascii="Century" w:hAnsi="Century"/>
          <w:szCs w:val="22"/>
        </w:rPr>
        <w:t>trustworthiness</w:t>
      </w:r>
      <w:r>
        <w:rPr>
          <w:rtl w:val="true"/>
        </w:rPr>
        <w:t xml:space="preserve">).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האנגלו</w:t>
      </w:r>
      <w:r>
        <w:rPr>
          <w:rtl w:val="true"/>
        </w:rPr>
        <w:t>-</w:t>
      </w:r>
      <w:r>
        <w:rPr>
          <w:rtl w:val="true"/>
        </w:rPr>
        <w:t>אמריקניות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והקונטיננטליות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']"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בעמוד </w:t>
      </w:r>
      <w:r>
        <w:rPr>
          <w:rFonts w:cs="Century" w:ascii="Century" w:hAnsi="Century"/>
        </w:rPr>
        <w:t>671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ascii="Century" w:hAnsi="Century" w:cs="Century"/>
          <w:sz w:val="22"/>
          <w:sz w:val="22"/>
          <w:rtl w:val="true"/>
        </w:rPr>
        <w:t>עמדה זו הוזכרה באהדה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דורנר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אפר</w:t>
      </w:r>
      <w:r>
        <w:rPr>
          <w:rFonts w:ascii="Century" w:hAnsi="Century" w:cs="Century"/>
          <w:sz w:val="22"/>
          <w:sz w:val="22"/>
          <w:rtl w:val="true"/>
        </w:rPr>
        <w:t xml:space="preserve"> שהוזכר לעיל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וראו גם</w:t>
      </w:r>
      <w:r>
        <w:rPr>
          <w:rFonts w:cs="Century" w:ascii="Century" w:hAnsi="Century"/>
          <w:rtl w:val="true"/>
        </w:rPr>
        <w:t xml:space="preserve">: </w:t>
      </w:r>
      <w:hyperlink r:id="rId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5121/98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סא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461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528-527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2006</w:t>
      </w:r>
      <w:r>
        <w:rPr>
          <w:rFonts w:cs="Century" w:ascii="Century" w:hAnsi="Century"/>
          <w:rtl w:val="true"/>
        </w:rPr>
        <w:t>).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מנגד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היו שטענו כי הטעמים שבגינם נקבע הכלל הפוסל עדות שמיעה מלשמש כראיה לאמיתות תוכנה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אינם יכולים לבוא על סיפוקם בדרך של מתן שיקול דעת לבתי המשפט ביחס למשקל שניתן לייחס לעדות כזו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למשל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נשמעה עמדה בספרות שלפיה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ואפילו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ומכופלות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שתהיינה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להניח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אפוא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שחוסר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רציונלית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לפסלותן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שמיעה</w:t>
      </w:r>
      <w:r>
        <w:rPr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אלכס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שטיין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hyperlink r:id="rId51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10</w:t>
        </w:r>
        <w:r>
          <w:rPr>
            <w:rStyle w:val="Hyperlink"/>
            <w:sz w:val="22"/>
            <w:sz w:val="22"/>
            <w:rtl w:val="true"/>
          </w:rPr>
          <w:t>א</w:t>
        </w:r>
      </w:hyperlink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5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ופירושיו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התפתחות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חיובית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סכנה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עיוות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דין</w:t>
      </w:r>
      <w:r>
        <w:rPr>
          <w:sz w:val="22"/>
          <w:rtl w:val="true"/>
        </w:rPr>
        <w:t>?</w:t>
      </w:r>
      <w:r>
        <w:rPr>
          <w:sz w:val="22"/>
          <w:rtl w:val="true"/>
        </w:rPr>
        <w:t>"</w:t>
      </w:r>
      <w:r>
        <w:rPr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325</w:t>
      </w:r>
      <w:r>
        <w:rPr>
          <w:sz w:val="22"/>
          <w:rtl w:val="true"/>
        </w:rPr>
        <w:t xml:space="preserve">, </w:t>
      </w:r>
      <w:r>
        <w:rPr>
          <w:sz w:val="22"/>
        </w:rPr>
        <w:t>3</w:t>
      </w:r>
      <w:r>
        <w:rPr>
          <w:sz w:val="22"/>
        </w:rPr>
        <w:t>28</w:t>
      </w:r>
      <w:r>
        <w:rPr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תשנ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sz w:val="22"/>
          <w:rtl w:val="true"/>
        </w:rPr>
        <w:t>)</w:t>
      </w:r>
      <w:r>
        <w:rPr>
          <w:sz w:val="22"/>
          <w:rtl w:val="true"/>
        </w:rPr>
        <w:t>)</w:t>
      </w:r>
      <w:r>
        <w:rPr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הבעיה בעדות שמיעה אינה במשקל שניתן לייחס לעדות כזו במקרה הפרטני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אם בפגיעה בזכותו של הנאשם לחלוק על הגרסה העובדתית שמכוחה הוא עלול להיות מורשע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ולעמת את הגרסה הזו עם חקירה נגדית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Fonts w:ascii="Century" w:hAnsi="Century" w:cs="Century"/>
          <w:sz w:val="22"/>
          <w:sz w:val="22"/>
          <w:rtl w:val="true"/>
        </w:rPr>
        <w:t xml:space="preserve"> מסביר כי </w:t>
      </w:r>
      <w:r>
        <w:rPr>
          <w:sz w:val="22"/>
          <w:sz w:val="22"/>
          <w:rtl w:val="true"/>
        </w:rPr>
        <w:t>במצב שבו הנאשם אינו יכול לערער את אמינות הגרסה שמכוחה מבוקש להרשיע אותו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קיים סיכון אפריורי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גבוה מהרגיל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 הרשעתו תהא הרשעת שווא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אחד הכלים המרכזיים המשמשים את הנאשם על מנת להתגונן מפני עדות נגדו </w:t>
      </w:r>
      <w:r>
        <w:rPr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חקירת 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שתי וערב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 xml:space="preserve">של מוסר העדות </w:t>
      </w:r>
      <w:r>
        <w:rPr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אינו זמין 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כלל אי הקבילות נועד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לפי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למנוע מצבים שבהם בית המשפט שוכנע מעבר לספק סביר באשמתו של 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אף שהנאשם היה מצליח לסתור את העדות ולהוכיח את חפותו אילו מוסר העדות היה בפני בית המשפט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 גישה 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המשקל של עדות השמיעה אינו במוקד העניין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 הכרעה ערכית בדבר הרצון למנוע את הסיכון למשגה שיוביל להרשעת שווא</w:t>
      </w:r>
      <w:r>
        <w:rPr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מטעם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Fonts w:ascii="Century" w:hAnsi="Century" w:cs="Century"/>
          <w:sz w:val="22"/>
          <w:sz w:val="22"/>
          <w:rtl w:val="true"/>
        </w:rPr>
        <w:t xml:space="preserve"> גורס כי הטעמים שביסוד הכלל הפוסל עדות שמיעה אינם משכנעים בכל הנוגע למשפט האזרחי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כללי הראיות במשפט אזרחי אמורים להביא את בית המשפט להכרעה מיטבית בדבר מאזן ההסתברויות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ולצורך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הצדקה להימנע מהבאת כל ראיה רלוונטית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שמשקלה ייקבע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בית המשפט בהתאם לנסיבותיו של כל מקרה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דומה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כי </w:t>
      </w:r>
      <w:r>
        <w:rPr>
          <w:rFonts w:ascii="Century" w:hAnsi="Century" w:cs="Century"/>
          <w:sz w:val="22"/>
          <w:sz w:val="22"/>
          <w:rtl w:val="true"/>
        </w:rPr>
        <w:t>גישה עקרונית זו אומצה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המשנה לנשיא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שהביע את עמדתו בסוגיה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כדלהלן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פורמאליים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),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מטרתם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פורמאליים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ראויים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ההסתברות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בעמוד </w:t>
      </w:r>
      <w:r>
        <w:rPr>
          <w:rFonts w:cs="Century" w:ascii="Century" w:hAnsi="Century"/>
        </w:rPr>
        <w:t>476</w:t>
      </w:r>
      <w:r>
        <w:rPr>
          <w:rFonts w:cs="Century" w:ascii="Century" w:hAnsi="Century"/>
          <w:rtl w:val="true"/>
        </w:rPr>
        <w:t>).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לצד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היו שסברו כי שיקולים חברתיים אחרים עומדים ביסוד הכלל הפוסל עדות שמיעה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כגון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הצורך לשמור על אמון הציבור בקביעות העובדתיות של בתי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ובכך לשמר את הלגיטימציה של הכרעות שיפוטיות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Century" w:ascii="Century" w:hAnsi="Century"/>
          <w:sz w:val="22"/>
          <w:szCs w:val="22"/>
        </w:rPr>
        <w:t xml:space="preserve">Charles Nesson, </w:t>
      </w:r>
      <w:r>
        <w:rPr>
          <w:rFonts w:cs="Century" w:ascii="Century" w:hAnsi="Century"/>
          <w:i/>
          <w:iCs/>
          <w:sz w:val="22"/>
          <w:szCs w:val="22"/>
        </w:rPr>
        <w:t>The Evidence or the Event? On Judicial Proof and the Acceptability of Verdicts</w:t>
      </w:r>
      <w:r>
        <w:rPr>
          <w:rFonts w:cs="Century" w:ascii="Century" w:hAnsi="Century"/>
          <w:sz w:val="22"/>
          <w:szCs w:val="22"/>
        </w:rPr>
        <w:t>, 98 H</w:t>
      </w:r>
      <w:r>
        <w:rPr>
          <w:smallCaps/>
        </w:rPr>
        <w:t>arv</w:t>
      </w:r>
      <w:r>
        <w:rPr>
          <w:rFonts w:cs="Century" w:ascii="Century" w:hAnsi="Century"/>
          <w:sz w:val="22"/>
          <w:szCs w:val="22"/>
        </w:rPr>
        <w:t>. L. R</w:t>
      </w:r>
      <w:r>
        <w:rPr>
          <w:smallCaps/>
        </w:rPr>
        <w:t>ev</w:t>
      </w:r>
      <w:r>
        <w:rPr>
          <w:rFonts w:cs="Century" w:ascii="Century" w:hAnsi="Century"/>
          <w:sz w:val="22"/>
          <w:szCs w:val="22"/>
        </w:rPr>
        <w:t>. 1357, 1359 (1985)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יוצא אפוא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ניתן לומר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בהכללה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שקיימות שתי קבוצות של טעמים לכלל הפוסל עדות מפי השמועה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קבוצה אחת של טעמים מתמקדת במהימנות העדות ובטענה כי עדות כזו תרחיק את בית המשפט מגילוי האמת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בעוד שהקבוצה השנייה מתמקדת בטעמים חברתיים שבגינם אין לאפשר לבית המשפט גישה לעדות השמיעה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חרף ערכה הראייתי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כך או אחרת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הכלל הפוסל עדות שמיעה פּוּתַּח במשפט המקובל האנגלי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ולצדו התפתחו במרוצת השנים חריגים שונים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קבוצה אחת של חריגים התפתחה תחת הכותרת של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גסטה</w:t>
      </w:r>
      <w:r>
        <w:rPr>
          <w:rFonts w:cs="Century" w:ascii="Century" w:hAnsi="Century"/>
          <w:sz w:val="22"/>
          <w:rtl w:val="true"/>
        </w:rPr>
        <w:t>' (</w:t>
      </w:r>
      <w:r>
        <w:rPr>
          <w:rFonts w:cs="Arial" w:ascii="Centaur" w:hAnsi="Centaur"/>
          <w:b/>
          <w:bCs/>
          <w:color w:val="202122"/>
          <w:szCs w:val="24"/>
          <w:shd w:fill="FFFFFF" w:val="clear"/>
        </w:rPr>
        <w:t>Res gestae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מדובר בקבוצה של מקרים שבהם רשאי בית המשפט להסתמך על אמרות חוץ שנאמרו כ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חלק מהאירוע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שעליו הן נסובות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כראיה לאמיתות תוכנן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גם אם בנסיבות אחרות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האמרות הללו היו נפסלות מכוח הכלל הפוסל עדות שמיעה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בהכללה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ניתן לומר כי הרציונל העומד ביסודם של חריגים אלו הוא שלא מתקיימים בהם הטעמים שמכוחם נפסלת עדות שמיעה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משום שקיימות נסיבות מיוחדות המקנות אמינות יתרה לאמרה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ובין משום שקיימת הצדקה חברתית מיוחדת להשתמש בעדות השמיעה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יש בכוחה לגבור על ההצדקות החברתיות לכלל הפוסל עדות כזו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בחקיקה הישראלית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חריגי ה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רס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גסטה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הוסדרו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hyperlink r:id="rId53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בסעיפים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9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hyperlink r:id="rId54">
        <w:r>
          <w:rPr>
            <w:rStyle w:val="Hyperlink"/>
            <w:rFonts w:cs="Century" w:ascii="Century" w:hAnsi="Century"/>
            <w:sz w:val="22"/>
          </w:rPr>
          <w:t>10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55">
        <w:r>
          <w:rPr>
            <w:rStyle w:val="Hyperlink"/>
            <w:rFonts w:cs="Century" w:ascii="Century" w:hAnsi="Century"/>
            <w:sz w:val="22"/>
          </w:rPr>
          <w:t>10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cs="Century" w:ascii="Century" w:hAnsi="Century"/>
            <w:sz w:val="22"/>
          </w:rPr>
          <w:t>2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5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rFonts w:cs="Century" w:ascii="Century" w:hAnsi="Century"/>
          <w:sz w:val="22"/>
          <w:rtl w:val="true"/>
        </w:rPr>
        <w:t xml:space="preserve">. </w:t>
      </w:r>
      <w:hyperlink r:id="rId5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5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הוראתו עומדת במוקד הערעור דנא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קובע כך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והאמרה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>-</w:t>
      </w:r>
      <w:r>
        <w:rPr>
          <w:rtl w:val="true"/>
        </w:rPr>
        <w:t>לואי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."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עניינה של הוראה זו באמרת קורבן אלימות שנאמרה בסמוך לאחר מעשה האלימות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בפסיקה הובהר כי הרציונל שבבסיס הוראה זו קשור בשני הטעמים שפורטו לעיל ביחס לכלל הפוסל עדות שמיעה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ראשית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האמרות</w:t>
      </w:r>
      <w:r>
        <w:rPr>
          <w:rFonts w:cs="Century" w:ascii="Century" w:hAnsi="Century"/>
          <w:sz w:val="22"/>
          <w:rtl w:val="true"/>
        </w:rPr>
        <w:t>" (</w:t>
      </w:r>
      <w:hyperlink r:id="rId5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3263/13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64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זילברטל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19.03.2017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>, 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הנוגעים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לקרבן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לאמירת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כמשקפים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האמת</w:t>
      </w:r>
      <w:r>
        <w:rPr>
          <w:rFonts w:cs="Century" w:ascii="Century" w:hAnsi="Century"/>
          <w:sz w:val="22"/>
          <w:rtl w:val="true"/>
        </w:rPr>
        <w:t>" (</w:t>
      </w:r>
      <w:hyperlink r:id="rId6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5730/96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גרציאני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לפסק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דינו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תחת הכותרת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18.</w:t>
      </w:r>
      <w:r>
        <w:rPr>
          <w:rFonts w:cs="Century" w:ascii="Century" w:hAnsi="Century"/>
          <w:sz w:val="22"/>
        </w:rPr>
        <w:t>0</w:t>
      </w:r>
      <w:r>
        <w:rPr>
          <w:rFonts w:cs="Century" w:ascii="Century" w:hAnsi="Century"/>
          <w:sz w:val="22"/>
        </w:rPr>
        <w:t>5.1998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גרציאני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שנית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קיים עניין ציבורי בקבלת ראיה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יש בכוחו לגבור על השיקולים החברתיים שמכוחם נפסלת בדרך כלל עדות שמיעה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כפי שנקבע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6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3737/91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מו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273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277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1992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חיר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לציבור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לחשוד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כוזבים</w:t>
      </w:r>
      <w:r>
        <w:rPr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עדות שמיעה אינה קבילה כראיה בשל חשש לאמינותה ובשל טעמים הקשורים בהצדקות חברתיות שונות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ולפיכך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מדובר באמרת קורבן אלימות שלגביה החשש לגבי פגם במהימנותה נמוך יחסית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וקיימת הצדקה חברתית לקבלה כראיה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נשמט הבסיס תחת האיסור על שימוש באמרה זו כראיה קבילה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וזאת יש להדגיש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החזקה בדבר האמינות שניתן לייחס לקורבן אלימות איננה נובעת מכך שדבריו 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בהכרח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האמת כהווייתה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גם קורבן אלימות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כמו כל עד אחר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עלול לטעות בכל הקשור לאירועים העובדתיים שנגלו לעיניו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 לפרש אותם באופן שאינו תואם את המציאות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אין זאת אלא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שבניגוד לעדות שמיעה רגילה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ניתן להניח כי קורבן אלימות אינו משקר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ביודעו</w:t>
      </w:r>
      <w:r>
        <w:rPr>
          <w:rFonts w:ascii="Century" w:hAnsi="Century" w:cs="Century"/>
          <w:sz w:val="22"/>
          <w:sz w:val="22"/>
          <w:rtl w:val="true"/>
        </w:rPr>
        <w:t xml:space="preserve"> שדבריו הם שקר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לא היה סיפק בידו להמציא ביודעין גרסה שאינה אמת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נדרשת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תוספת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המוגשת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hyperlink r:id="rId62"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</w:rPr>
          <w:t>10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לפקודה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כאמור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הצדדים בענייננו נחלקו האם ניתן היה להרשיע את המערער בהתבסס על אמרות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מבלי שהובאה כל תוספת ראייתית שתתמוך באמרות אלו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ב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257/74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אמקייס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ל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566</w:t>
      </w:r>
      <w:r>
        <w:rPr>
          <w:rtl w:val="true"/>
        </w:rPr>
        <w:t xml:space="preserve"> (</w:t>
      </w:r>
      <w:r>
        <w:rPr/>
        <w:t>1976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אמקייס</w:t>
      </w:r>
      <w:r>
        <w:rPr>
          <w:rtl w:val="true"/>
        </w:rPr>
        <w:t xml:space="preserve">), </w:t>
      </w:r>
      <w:r>
        <w:rPr>
          <w:rtl w:val="true"/>
        </w:rPr>
        <w:t>נדון ערעורו של מי שהורשע בערכאה הראשונה בעבירת רצח על בסיס אמרת שכיב מרע שניתנה מפי קורבן העבירה לכאורה</w:t>
      </w:r>
      <w:r>
        <w:rPr>
          <w:rtl w:val="true"/>
        </w:rPr>
        <w:t xml:space="preserve">, </w:t>
      </w:r>
      <w:r>
        <w:rPr>
          <w:rtl w:val="true"/>
        </w:rPr>
        <w:t xml:space="preserve">מכוח 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 xml:space="preserve">וזאת מבלי שהובאו להרשעה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מפלילות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אחרות</w:t>
      </w:r>
      <w:r>
        <w:rPr>
          <w:rtl w:val="true"/>
        </w:rPr>
        <w:t xml:space="preserve">". </w:t>
      </w:r>
      <w:r>
        <w:rPr>
          <w:rtl w:val="true"/>
        </w:rPr>
        <w:t>בית משפט זה זיכה את המערער מאשמה</w:t>
      </w:r>
      <w:r>
        <w:rPr>
          <w:rtl w:val="true"/>
        </w:rPr>
        <w:t xml:space="preserve">, </w:t>
      </w:r>
      <w:r>
        <w:rPr>
          <w:rtl w:val="true"/>
        </w:rPr>
        <w:t>בקבעו</w:t>
      </w:r>
      <w:r>
        <w:rPr>
          <w:rtl w:val="true"/>
        </w:rPr>
        <w:t xml:space="preserve">, </w:t>
      </w:r>
      <w:r>
        <w:rPr>
          <w:rtl w:val="true"/>
        </w:rPr>
        <w:t xml:space="preserve">מפי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לנדוי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על־פי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הררי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אלא אם נתווספו על אמרות אלה ראיות מפלילות אחרות</w:t>
      </w:r>
      <w:r>
        <w:rPr>
          <w:rtl w:val="true"/>
        </w:rPr>
        <w:t xml:space="preserve">. </w:t>
      </w:r>
      <w:r>
        <w:rPr>
          <w:rtl w:val="true"/>
        </w:rPr>
        <w:t>גב׳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רוזנפלד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סרכות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ההפניות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הושמטו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']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הגוסס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" w:cs="Arial TUR"/>
          <w:rtl w:val="true"/>
        </w:rPr>
        <w:t xml:space="preserve"> </w:t>
      </w:r>
      <w:r>
        <w:rPr/>
        <w:t>574</w:t>
      </w:r>
      <w:r>
        <w:rPr>
          <w:rtl w:val="true"/>
        </w:rPr>
        <w:t>).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המערער טענה בהקשר זה</w:t>
      </w:r>
      <w:r>
        <w:rPr>
          <w:rtl w:val="true"/>
        </w:rPr>
        <w:t xml:space="preserve">, </w:t>
      </w:r>
      <w:r>
        <w:rPr>
          <w:rtl w:val="true"/>
        </w:rPr>
        <w:t>כי מחקר שנערך על</w:t>
      </w:r>
      <w:r>
        <w:rPr>
          <w:rtl w:val="true"/>
        </w:rPr>
        <w:t>-</w:t>
      </w:r>
      <w:r>
        <w:rPr>
          <w:rtl w:val="true"/>
        </w:rPr>
        <w:t>ידי הסניגוריה הציבורית העלה</w:t>
      </w:r>
      <w:r>
        <w:rPr>
          <w:rtl w:val="true"/>
        </w:rPr>
        <w:t xml:space="preserve">, </w:t>
      </w:r>
      <w:r>
        <w:rPr>
          <w:rtl w:val="true"/>
        </w:rPr>
        <w:t>כי גם בתקופה שחלפה מאז נכתבו דברים אלו על</w:t>
      </w:r>
      <w:r>
        <w:rPr>
          <w:rtl w:val="true"/>
        </w:rPr>
        <w:t>-</w:t>
      </w:r>
      <w:r>
        <w:rPr>
          <w:rtl w:val="true"/>
        </w:rPr>
        <w:t xml:space="preserve">ידי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לנדוי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לפני קרוב ליובל שנים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בית משפט זה מעולם לא הרשיע נאשם בעבירה חמורה על בסיס אמרות שהוגשו מכוח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ללא שנלוו לאמרות אלו תוספות ראייתיות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המדינה טענה כי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לפי לשונו</w:t>
      </w:r>
      <w:r>
        <w:rPr>
          <w:rtl w:val="true"/>
        </w:rPr>
        <w:t xml:space="preserve">, </w:t>
      </w:r>
      <w:r>
        <w:rPr>
          <w:rtl w:val="true"/>
        </w:rPr>
        <w:t>אינו כולל דרישה לתוספת ראייתית</w:t>
      </w:r>
      <w:r>
        <w:rPr>
          <w:rtl w:val="true"/>
        </w:rPr>
        <w:t xml:space="preserve">, </w:t>
      </w:r>
      <w:r>
        <w:rPr>
          <w:rtl w:val="true"/>
        </w:rPr>
        <w:t>ואין מקום להכרה שיפוטית בדרישה כזו</w:t>
      </w:r>
      <w:r>
        <w:rPr>
          <w:rtl w:val="true"/>
        </w:rPr>
        <w:t xml:space="preserve">. </w:t>
      </w:r>
      <w:r>
        <w:rPr>
          <w:rtl w:val="true"/>
        </w:rPr>
        <w:t>לעמדת המדינה ניתן למצוא תימוכין במספר אמרות אגב שנאמרו בבית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שלפיהן הרשעה מכוח אמרה המוגשת לפי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tl w:val="true"/>
        </w:rPr>
        <w:t xml:space="preserve"> דורשת כל תוספת ראייתית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691/92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675</w:t>
      </w:r>
      <w:r>
        <w:rPr>
          <w:rtl w:val="true"/>
        </w:rPr>
        <w:t xml:space="preserve">, </w:t>
      </w:r>
      <w:r>
        <w:rPr/>
        <w:t>679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אהרון</w:t>
      </w:r>
      <w:r>
        <w:rPr>
          <w:rtl w:val="true"/>
        </w:rPr>
        <w:t>)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יצוין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לפקודה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תוספת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התביעה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הסתמכה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tl w:val="true"/>
        </w:rPr>
        <w:t>").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כיצד אפוא ניתן ליישב בין שני הכתובים המכחישים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זה את זה</w:t>
      </w:r>
      <w:r>
        <w:rPr>
          <w:rtl w:val="true"/>
        </w:rPr>
        <w:t>?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לדידי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התשובה לשאלה זו לא יכולה להיות טמונה בהבחנה בין אמרת קורבן אלימות המוגשת מכוח </w:t>
      </w:r>
      <w:hyperlink r:id="rId72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לפקודה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לבין אמרת שכיב מרע המוגשת מכוח </w:t>
      </w:r>
      <w:hyperlink r:id="rId73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cs="Century" w:ascii="Century" w:hAnsi="Century"/>
            <w:sz w:val="22"/>
          </w:rPr>
          <w:t>3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לפקודה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והשוו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7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3124/91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מז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</w:rPr>
        <w:t>406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410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(</w:t>
      </w:r>
      <w:r>
        <w:rPr/>
        <w:t>1993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הטעמים העומדים ביסוד קבלת שתי האמרות הם זהים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בשני המקרים מדובר בנסיבות שבהן לא קיים חשש כי מוסר האמרה משקר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ובשתי האמרות קיימים טעמים חברתיים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הקשורים בצורך בשימור שרידי הראיות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מכוחם מתקבלות האמרות כראיה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לעניין אמרת קרבן עבירה ראו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בעמוד </w:t>
      </w:r>
      <w:r>
        <w:rPr>
          <w:rFonts w:cs="Century" w:ascii="Century" w:hAnsi="Century"/>
          <w:sz w:val="22"/>
        </w:rPr>
        <w:t>276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ולעניין אמרת שכיב מרע ראו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7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16/49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ד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561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572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1949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הפקודה אינה מבחינה בין שני תתי הסעיפים 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 לעניין הדרישה לתוספת ראייתית או היעדרה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ואף הפסיקה התייחסה </w:t>
      </w:r>
      <w:hyperlink r:id="rId7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לסעיף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כולו באופן דומה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7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64/55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וולפוביץ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785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786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1955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וולפוביץ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לעיל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לעיל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התשובה ל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סתירה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בין פסקי הדין 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 טמונה אפוא בתובנה הבאה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הדרישה החוקית לתוספת ראייתית מסוג של סיוע או חיזוק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78">
        <w:r>
          <w:rPr>
            <w:rStyle w:val="Hyperlink"/>
            <w:rtl w:val="true"/>
          </w:rPr>
          <w:t>בסעיפים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, </w:t>
      </w:r>
      <w:hyperlink r:id="rId79"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ו</w:t>
      </w:r>
      <w:r>
        <w:rPr>
          <w:rtl w:val="true"/>
        </w:rPr>
        <w:t>-</w:t>
      </w:r>
      <w:hyperlink r:id="rId80">
        <w:r>
          <w:rPr>
            <w:rStyle w:val="Hyperlink"/>
          </w:rPr>
          <w:t>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), </w:t>
      </w:r>
      <w:r>
        <w:rPr>
          <w:rtl w:val="true"/>
        </w:rPr>
        <w:t>מתייחסת למצבים בהם בית המשפט שוכנע מעבר לספק סביר באשמת הנאשם גם ללא התוספת הראייתית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 xml:space="preserve">אם בית המשפט לא שוכנע מעבר לספק סביר באשמת הנאשם על סמך העדות הרלוונטית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עדות שותף שהוא עד מדינה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לפקודה</w:t>
      </w:r>
      <w:r>
        <w:rPr>
          <w:rtl w:val="true"/>
        </w:rPr>
        <w:t xml:space="preserve">), </w:t>
      </w:r>
      <w:r>
        <w:rPr>
          <w:rtl w:val="true"/>
        </w:rPr>
        <w:t>לא היה צורך בדרישה חוקית לתוספת ראייתית</w:t>
      </w:r>
      <w:r>
        <w:rPr>
          <w:rtl w:val="true"/>
        </w:rPr>
        <w:t xml:space="preserve">, </w:t>
      </w:r>
      <w:r>
        <w:rPr>
          <w:rtl w:val="true"/>
        </w:rPr>
        <w:t xml:space="preserve">שהרי הוכחה מעבר לספק סביר היא תנאי סף להרשעה </w:t>
      </w:r>
      <w:r>
        <w:rPr>
          <w:rtl w:val="true"/>
        </w:rPr>
        <w:t>(</w:t>
      </w:r>
      <w:hyperlink r:id="rId8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ולענייננו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כמוסבר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כאשר עסקינן בעדות שמיעה המוגשת מכוח </w:t>
      </w:r>
      <w:hyperlink r:id="rId8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8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אינו יכול להתרשם מהתנהגות העדים ומאותות האמת הנגלות מבעד לעדות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ואין בידו את אחד הכלים המשמעותיים ביותר המסייעים לו ברגיל להכריע במהימנות העדות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החקירה הנגדית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יהא זה קשה עד בלתי אפשרי לבסס הרשעה מעבר לספק סביר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כנדרש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עדות מפי השמועה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בהיעדר ראיות מפלילות נוספות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בהיעדר חקירה נגדית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בהיעדר התרשמות בלתי אמצעית מנותן האמרה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ובהיעדר ראיות מפלילות נוספות שהאמרה משתלבת בהן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כיצד יוכל בית המשפט להגיע למסקנה כי הנאשם ביצע את המיוחס לו מעבר לספק סביר</w:t>
      </w:r>
      <w:r>
        <w:rPr>
          <w:rFonts w:cs="Century" w:ascii="Century" w:hAnsi="Century"/>
          <w:sz w:val="22"/>
          <w:rtl w:val="true"/>
        </w:rPr>
        <w:t>?</w:t>
      </w:r>
      <w:r>
        <w:rPr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גם אם נניח כי במצבים אלו מתקיימת חזקה כי נותן האמרה אינו משקר ביודעין</w:t>
      </w:r>
      <w:r>
        <w:rPr>
          <w:rtl w:val="true"/>
        </w:rPr>
        <w:t xml:space="preserve">, </w:t>
      </w:r>
      <w:r>
        <w:rPr>
          <w:rtl w:val="true"/>
        </w:rPr>
        <w:t>כיצד נוכל לדעת שאמרתו משקפת את המציאות כהווייתה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ודוקו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באומרי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ראיות מפלילות נוספות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אין כוונתי לדרישה חוקית קשיחה לתוספת מסוג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סיוע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או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חיזוק</w:t>
      </w:r>
      <w:r>
        <w:rPr>
          <w:rFonts w:cs="Century" w:ascii="Century" w:hAnsi="Century"/>
          <w:sz w:val="22"/>
          <w:rtl w:val="true"/>
        </w:rPr>
        <w:t xml:space="preserve">'; </w:t>
      </w:r>
      <w:r>
        <w:rPr>
          <w:rFonts w:ascii="Century" w:hAnsi="Century" w:cs="Century"/>
          <w:sz w:val="22"/>
          <w:sz w:val="22"/>
          <w:rtl w:val="true"/>
        </w:rPr>
        <w:t>אלא לראיות נוספות אשר יהא בכוחן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יחד עם האמרה המוגשת מכוח </w:t>
      </w:r>
      <w:hyperlink r:id="rId8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8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להביא למסקנה כי אשמתו של הנאשם הוכחה מעבר לספק סביר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כאשר עסקינן בעדות שמיעה המוגשת מכוח </w:t>
      </w:r>
      <w:hyperlink r:id="rId8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מבלי שבית המשפט חשוף ל</w:t>
      </w:r>
      <w:r>
        <w:rPr>
          <w:rtl w:val="true"/>
        </w:rPr>
        <w:t>'</w:t>
      </w:r>
      <w:r>
        <w:rPr>
          <w:rtl w:val="true"/>
        </w:rPr>
        <w:t>אותות האמת</w:t>
      </w:r>
      <w:r>
        <w:rPr>
          <w:rtl w:val="true"/>
        </w:rPr>
        <w:t xml:space="preserve">' </w:t>
      </w:r>
      <w:r>
        <w:rPr>
          <w:rtl w:val="true"/>
        </w:rPr>
        <w:t>ובהיעדר חקירה נגדית</w:t>
      </w:r>
      <w:r>
        <w:rPr>
          <w:rtl w:val="true"/>
        </w:rPr>
        <w:t xml:space="preserve">, </w:t>
      </w:r>
      <w:r>
        <w:rPr>
          <w:rtl w:val="true"/>
        </w:rPr>
        <w:t>הדעת נותנת כי יידרשו ראיות מפלילות נוספות על מנת שבית המשפט יוכל להשתכנע כי הנאשם ביצע את העבירה</w:t>
      </w:r>
      <w:r>
        <w:rPr>
          <w:rtl w:val="true"/>
        </w:rPr>
        <w:t xml:space="preserve">. </w:t>
      </w:r>
      <w:r>
        <w:rPr>
          <w:rtl w:val="true"/>
        </w:rPr>
        <w:t xml:space="preserve">כפי שציין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לנדוי</w:t>
      </w:r>
      <w:r>
        <w:rPr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אמקייס</w:t>
      </w:r>
      <w:r>
        <w:rPr>
          <w:rtl w:val="true"/>
        </w:rPr>
        <w:t xml:space="preserve">, </w:t>
      </w:r>
      <w:r>
        <w:rPr>
          <w:rtl w:val="true"/>
        </w:rPr>
        <w:t>יתכן שיתקיימו מצבים שבהם האמרה תהא כל כך ברורה וחד משמעית עד שלא ייוותר בעניינה ספק סביר גם בהיעדר ראיות נוספות</w:t>
      </w:r>
      <w:r>
        <w:rPr>
          <w:rtl w:val="true"/>
        </w:rPr>
        <w:t xml:space="preserve">, </w:t>
      </w:r>
      <w:r>
        <w:rPr>
          <w:rtl w:val="true"/>
        </w:rPr>
        <w:t>אך קשה להעלות על הדעת מצב שכזה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זו משמעות הקביעה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Fonts w:ascii="Century" w:hAnsi="Century" w:cs="Century"/>
          <w:sz w:val="22"/>
          <w:sz w:val="22"/>
          <w:rtl w:val="true"/>
        </w:rPr>
        <w:t xml:space="preserve"> כי נדרשת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יתירה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בעת הרשעה על בסיס אמרה המוגשת מכוח </w:t>
      </w:r>
      <w:hyperlink r:id="rId90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לפקודה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67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וראו גם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9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9184/06</w:t>
        </w:r>
      </w:hyperlink>
      <w:r>
        <w:rPr>
          <w:rFonts w:cs="Century" w:ascii="Century" w:hAnsi="Century"/>
          <w:sz w:val="22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19.09.2007</w:t>
      </w:r>
      <w:r>
        <w:rPr>
          <w:rFonts w:cs="Century" w:ascii="Century" w:hAnsi="Century"/>
          <w:sz w:val="22"/>
          <w:rtl w:val="true"/>
        </w:rPr>
        <w:t xml:space="preserve">)); </w:t>
      </w:r>
      <w:r>
        <w:rPr>
          <w:rFonts w:ascii="Century" w:hAnsi="Century" w:cs="Century"/>
          <w:sz w:val="22"/>
          <w:sz w:val="22"/>
          <w:rtl w:val="true"/>
        </w:rPr>
        <w:t>וזו הסיבה שלא מצאנו הרשעה על בסיס אמרות מעין אלו מבלי שנלוו אליהן ראיות מפלילות נוספות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אסכם את קביעתי עד כה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כאשר אמרה מוגשת מכוח </w:t>
      </w:r>
      <w:hyperlink r:id="rId92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9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קיימת הצדקה חברתית ממשית לקבל את האמרה כראיה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ואף קיימת מעין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חזקה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המעוגנת בניסיון החיים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נותן האמרה לא מסר דבר שקר ביודעין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במרבית המקרים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יהא די בחזקה זו לבדה כדי לשכנע מעבר לספק סביר כי האמרה 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ל משקפת את המציאות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כהווייתה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להבדיל מהעובדה שהאמרה משקפת את המציאות כפי שזו נתפסה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נותן האמרה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ולפיכך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במקרה הרגיל לא ניתן לבסס את אשמתו של הנאשם מעבר לספק סביר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בסיס אמרה כזו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מבלי ראיות מפלילות נוספות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</w:t>
      </w:r>
    </w:p>
    <w:p>
      <w:pPr>
        <w:pStyle w:val="Ruller42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כל התנאים הפורמליים הנדרשים לשם קבילות אמרות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הוכחו במשפט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המנוחה אמרה כי נעשה בה מעשה אלימות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אמרותיה נגעו במישרין למעשה האלימות שנעשה בה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ולא ניתן היה להביא אותה להעיד במשפט מחמת פטירתה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גם התנאי בדבר סמיכות הזמנים למעשה האלימות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כנדרש </w:t>
      </w:r>
      <w:hyperlink r:id="rId94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9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התקיים בענייננו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שנקבע בפסיקה לא אחת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אמרות קורבן אלימות שנאמרו מספר שעות לאחר האירוע האלים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תוכלנה להיחשב כאמרות שנאמרו בסמוך לאירוע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 </w:t>
      </w:r>
      <w:r>
        <w:rPr>
          <w:rFonts w:cs="Century" w:ascii="Century" w:hAnsi="Century"/>
          <w:sz w:val="22"/>
        </w:rPr>
        <w:t>277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וולפוביץ</w:t>
      </w:r>
      <w:r>
        <w:rPr>
          <w:rFonts w:ascii="Century" w:hAnsi="Century" w:cs="Century"/>
          <w:sz w:val="22"/>
          <w:sz w:val="22"/>
          <w:rtl w:val="true"/>
        </w:rPr>
        <w:t xml:space="preserve"> בעמוד </w:t>
      </w:r>
      <w:r>
        <w:rPr>
          <w:rFonts w:cs="Century" w:ascii="Century" w:hAnsi="Century"/>
          <w:sz w:val="22"/>
        </w:rPr>
        <w:t>787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ובלבד שהאמרות לא נאמרו בתשובה לשאלות מדריכות </w:t>
      </w:r>
      <w:r>
        <w:rPr>
          <w:rFonts w:cs="Century" w:ascii="Century" w:hAnsi="Century"/>
          <w:sz w:val="22"/>
          <w:rtl w:val="true"/>
        </w:rPr>
        <w:t>(</w:t>
      </w:r>
      <w:hyperlink r:id="rId9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8641/12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05.08.2013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אף באת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 הסכימה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בדיון שהתקיים לפנינו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התנאים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הפורמליים</w:t>
      </w:r>
      <w:r>
        <w:rPr>
          <w:rFonts w:ascii="Century" w:hAnsi="Century" w:cs="Century"/>
          <w:sz w:val="22"/>
          <w:sz w:val="22"/>
          <w:rtl w:val="true"/>
        </w:rPr>
        <w:t xml:space="preserve"> לקבלת אמרות המנוחה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התקיימו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שורות </w:t>
      </w:r>
      <w:r>
        <w:rPr>
          <w:rFonts w:cs="Century" w:ascii="Century" w:hAnsi="Century"/>
          <w:sz w:val="22"/>
        </w:rPr>
        <w:t>35-30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לפרוטוקול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חרף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סבור כי אמרות המנוחה בענייננו אינן קבילות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ומדוע</w:t>
      </w:r>
      <w:r>
        <w:rPr>
          <w:rFonts w:cs="Century" w:ascii="Century" w:hAnsi="Century"/>
          <w:sz w:val="22"/>
          <w:rtl w:val="true"/>
        </w:rPr>
        <w:t xml:space="preserve">? </w:t>
      </w:r>
      <w:r>
        <w:rPr>
          <w:rFonts w:ascii="Century" w:hAnsi="Century" w:cs="Century"/>
          <w:sz w:val="22"/>
          <w:sz w:val="22"/>
          <w:rtl w:val="true"/>
        </w:rPr>
        <w:t>לטענת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הטעם לכך שאמרות קורבן אלימות הוכרו כקבילות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לנוכח החזקה שלפיה אמרות מעין אלו משקפות את המציאות כהווייתה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משנמצא בענייננו כי אמרות המנוחה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משקפות את המציאות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נשמט הבסיס תחת הקביעה כי אמרותיה יכולות לשמש כראיה קבילה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במילים אחרות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סבור כי אמרות המנוחה אינן מקיימות את הרציונלים שבשמם אמרות קורבן עבירה הוכרו כקבילות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ומשכך לא ניתן להתבסס עליהן כדי להרשיעו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את הטענה הזו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בנסיבות המקרה דנן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אוכל לקבל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כפי שהובהר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חזקת המהימנות המיוחסת לאמרות קורבן אלימות איננה נובעת מתפיסה שדבריו משקפים בהכרח את המציאות כהווייתה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מכך שקיימת חזקה שקורבן אלימות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בנסיבות המנויות </w:t>
      </w:r>
      <w:hyperlink r:id="rId9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9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 יאמר דבר שקר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ביודעין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משמעות חזקה זו בענייננו היא ברורה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המנוחה מסרה את אמרותיה בסמוך לאחר אירוע טראומתי שבמהלכו היא נפצעה בחלקים רבים בגופה באופן משמעותי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וברי כי לא היה בידה שהות לבדות מליבה את שאירע בדירה באותם רגעים שבהם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לתחושתה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היא נאבקה על חייה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עם שודד חמוש בסכין שפרץ לדירתה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בנסיבות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חזקת המהימנות מלמדת אותנו כי המנוחה אמרה את שאמרה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בסמוך לאחר מכן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המציאות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מיטב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הבנתה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למעשה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המערער אינו טוען כי המנוחה ביקשה להעליל עליו עלילת שווא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אלא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שלשיטתו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העובדה שהמנוחה מסרה מידע שהתברר בדיעבד כשגוי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כשלעצמה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סותרת את החזקה בדבר מהימנות אמרותיה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שציינתי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זה מן הנמנע שקורבן 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שחווה טראומה קשה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יטעה בהבנתו את המציאות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המנוחה הייתה קורבן לעבירת אלימות קשה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והיא חשה שחייה נתונים בסכנה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שנפצעה באופן חמור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טראומה זו הוכפלה בשים לב לכך שהאירוע החל בתוך הדירה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המנוחה יצאה זה עתה מחדר האמבטיה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בית משפט זה שב ושנה כי לא נכון לדקדק עם קורבן אלימות שחווה טראומה ממשית ביחס לכל פרט בעדותו </w:t>
      </w:r>
      <w:r>
        <w:rPr>
          <w:rFonts w:cs="Century" w:ascii="Century" w:hAnsi="Century"/>
          <w:sz w:val="22"/>
          <w:rtl w:val="true"/>
        </w:rPr>
        <w:t>(</w:t>
      </w:r>
      <w:hyperlink r:id="rId9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8325/15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08.06.2017</w:t>
      </w:r>
      <w:r>
        <w:rPr>
          <w:rFonts w:cs="Century" w:ascii="Century" w:hAnsi="Century"/>
          <w:sz w:val="22"/>
          <w:rtl w:val="true"/>
        </w:rPr>
        <w:t xml:space="preserve">)), </w:t>
      </w:r>
      <w:r>
        <w:rPr>
          <w:rFonts w:ascii="Century" w:hAnsi="Century" w:cs="Century"/>
          <w:sz w:val="22"/>
          <w:sz w:val="22"/>
          <w:rtl w:val="true"/>
        </w:rPr>
        <w:t>אלא יש לתור אחר ליבת העדות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תוך התרשמות מהתנהגות העדים ואותות האמת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לצד השתלבות העדות במארג הראיות הכולל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מני רבים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0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6255/15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11.08.2016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וההפניות הרבות שם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קביעות אלה מעוגנות בניסיון החיים המלמד כי זיכרון של קורבן עבירה לאחר אירוע אלים וטראומתי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עלול לסבול מאי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דיוקים שאין בהן כדי לשלול את מהימנות העדות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 די להראות כי המנוחה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טעתה</w:t>
      </w:r>
      <w:r>
        <w:rPr>
          <w:rFonts w:ascii="Century" w:hAnsi="Century" w:cs="Century"/>
          <w:sz w:val="22"/>
          <w:sz w:val="22"/>
          <w:rtl w:val="true"/>
        </w:rPr>
        <w:t xml:space="preserve"> כדי לשלול את האפשרות לקבל את אמרותיה כראיה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כל שניתן ללמוד מכך הוא כי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שהייתה בטראומה ממשית באותם רגעים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דייקה בתיאורה את האירוע האלים שהתחולל בדירה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אין בכך כדי לחתור תחת החזקה לפיה המנוחה מסרה את האמת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לפי מיטב הבנתה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גם העובדה שתיאוריה של המנוחה השתנו מעט מאמרה לאמרה אינה מצביעה על כוונה מצדה להעליל על המערער עלילות שווא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אדרבה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ככל שעבר הזמן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המציאות כהווייתה החלה להתבהר אצל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וזו עדכנה את גרסתה על מנת לדייק אותה ככל האפשר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גם ההצדקה החברתית לקבלת אמרות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הגלומה בכך שמדובר בשריד הראיה האחרון שנותר ביחס לתקיפתה האלימה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פטירתה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מתקיים במקרה דנן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המסקנה העולה מהאמור היא כי אמרות המנוחה מקיימות את כל התנאים הקבועים </w:t>
      </w:r>
      <w:hyperlink r:id="rId10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0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ניתן היה לקבלן כראיה לחובת המערער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שונים הם פני הדברים ביחס למשקל שניתן לייחס לאמרות המנוחה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אם המנוחה סיפרה את כל האמת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מנקודת ראותה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ניתן להסיק מכך כי העובדות שהיא תיארה משקפות את המציאות כהווייתה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לשם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נדרש לבחון את האופן שבו משתלבות האמרות עם מארג הראיות הכולל בתיק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על מנת להכריע מה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המשקל</w:t>
      </w:r>
      <w:r>
        <w:rPr>
          <w:rFonts w:ascii="Century" w:hAnsi="Century" w:cs="Century"/>
          <w:sz w:val="22"/>
          <w:sz w:val="22"/>
          <w:rtl w:val="true"/>
        </w:rPr>
        <w:t xml:space="preserve"> שראוי ליתן לאמרות המנוחה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לסוגיה זו אדרש כעת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לאמרות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והרכוש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מחלוקת על כך שאמרותיה הספונטניות ביותר של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מיד לאחר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שיקפו את המציאות באופן מדויק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ניסה לרצוח את המנוחה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הוא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החדיר סכין לאיבר מינה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הוא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הוריד את מכנסיה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והוא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גנב לה את התיק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עובדות אלו אינן שנויות במחלוקת בין הצדדים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כיצד אפוא ניתן ליישב את האמרות הללו עם החזקה שלפיה לא הייתה בידי המנוחה שהות לבדות שקרים על האירוע האלים והטראומתי שעברה זמן קצר קודם לכן</w:t>
      </w:r>
      <w:r>
        <w:rPr>
          <w:rFonts w:cs="Century" w:ascii="Century" w:hAnsi="Century"/>
          <w:sz w:val="22"/>
          <w:rtl w:val="true"/>
        </w:rPr>
        <w:t>?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התשובה לשאלה זו טמונה בכך שכפי שהוסבר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כל עדות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כשלעצמה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אינה מקנה ערובה באשר לנכונות האמור בה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גם עדי ראייה כשרים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למהדרין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אשר אין בלבם כל כוונת זדון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עלולים למסור גרסה שאינה מדויקת על אירוע שהיה טראומתי עבורם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מטעם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הושרש בפסיקתנו הכלל שלפיו גם אם נפלו בעדות נפגע עבירה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אלו דיוקים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בכך כדי לשלול את מהימנות גרסתו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יש לתור אחר ליבת העדות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על רקע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מצאתי כי נפל כל פגם בדרך הילוכו של בית משפט קמא או במסקנתו בכל הקשור לעבירות האלימות והרכוש שבהן הורשע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המשפט בחן את תמונת הראיות בכללותה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והגיע למסקנה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המעוגנת היטב בראיות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שלפיה המערער ביצע את המיוחס לו בקשר לשוד האלים שבו הוא הואשם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בשורות הבאות אזכיר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בתמצית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עיקרי הראיות שביססו את המסקנה האמורה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tl w:val="true"/>
        </w:rPr>
        <w:t xml:space="preserve">ניצבת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השכן</w:t>
      </w:r>
      <w:r>
        <w:rPr>
          <w:rtl w:val="true"/>
        </w:rPr>
        <w:t xml:space="preserve"> שהעיד כי שמע את זעקות המנוחה בוקעות מתוך הדירה וכי כשנפתחה דלת הדירה </w:t>
      </w:r>
      <w:r>
        <w:rPr>
          <w:rtl w:val="true"/>
        </w:rPr>
        <w:t>–</w:t>
      </w:r>
      <w:r>
        <w:rPr>
          <w:rtl w:val="true"/>
        </w:rPr>
        <w:t xml:space="preserve"> המנוחה נגלתה בפניו לבושה בבגדים תחתונים</w:t>
      </w:r>
      <w:r>
        <w:rPr>
          <w:rtl w:val="true"/>
        </w:rPr>
        <w:t xml:space="preserve">, </w:t>
      </w:r>
      <w:r>
        <w:rPr>
          <w:rtl w:val="true"/>
        </w:rPr>
        <w:t>נוטפת דם וחבולה בחלקים רבים בגופה</w:t>
      </w:r>
      <w:r>
        <w:rPr>
          <w:rtl w:val="true"/>
        </w:rPr>
        <w:t xml:space="preserve">. </w:t>
      </w:r>
      <w:r>
        <w:rPr>
          <w:rtl w:val="true"/>
        </w:rPr>
        <w:t>עובדה זו חיזקה את אמרות המנוחה לפיהן המערער לא היה בדירה בעת שנכנסה להתקלח</w:t>
      </w:r>
      <w:r>
        <w:rPr>
          <w:rtl w:val="true"/>
        </w:rPr>
        <w:t xml:space="preserve">, </w:t>
      </w:r>
      <w:r>
        <w:rPr>
          <w:rtl w:val="true"/>
        </w:rPr>
        <w:t>אלא חזר אל הדירה ללא רשותה במהלך שהייתה במקלחת</w:t>
      </w:r>
      <w:r>
        <w:rPr>
          <w:rtl w:val="true"/>
        </w:rPr>
        <w:t xml:space="preserve">, </w:t>
      </w:r>
      <w:r>
        <w:rPr>
          <w:rtl w:val="true"/>
        </w:rPr>
        <w:t>ונהג כלפיה באלימות משמעותית וחמורה במהלך השוד</w:t>
      </w:r>
      <w:r>
        <w:rPr>
          <w:rtl w:val="true"/>
        </w:rPr>
        <w:t xml:space="preserve">. </w:t>
      </w:r>
      <w:r>
        <w:rPr>
          <w:rtl w:val="true"/>
        </w:rPr>
        <w:t>עובדה זו נתמכה גם במסמכים רפואיים שהראו כי המנוחה נחבלה באופן ממשי במהלך אירוע השוד האלים</w:t>
      </w:r>
      <w:r>
        <w:rPr>
          <w:rtl w:val="true"/>
        </w:rPr>
        <w:t xml:space="preserve">, </w:t>
      </w:r>
      <w:r>
        <w:rPr>
          <w:rtl w:val="true"/>
        </w:rPr>
        <w:t>בניגוד לדברי המערער שהוא ניסה רק להדוף ממנו את המנוחה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הצטרפו ממצאים אובייקטיביים מהזירה</w:t>
      </w:r>
      <w:r>
        <w:rPr>
          <w:rtl w:val="true"/>
        </w:rPr>
        <w:t xml:space="preserve">, </w:t>
      </w:r>
      <w:r>
        <w:rPr>
          <w:rtl w:val="true"/>
        </w:rPr>
        <w:t>ובראשם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הדם</w:t>
      </w:r>
      <w:r>
        <w:rPr>
          <w:rtl w:val="true"/>
        </w:rPr>
        <w:t xml:space="preserve"> בכל חלקי הדירה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</w:t>
      </w:r>
      <w:r>
        <w:rPr>
          <w:rtl w:val="true"/>
        </w:rPr>
        <w:t>"</w:t>
      </w:r>
      <w:r>
        <w:rPr>
          <w:rtl w:val="true"/>
        </w:rPr>
        <w:t>כתמי התזה</w:t>
      </w:r>
      <w:r>
        <w:rPr>
          <w:rtl w:val="true"/>
        </w:rPr>
        <w:t xml:space="preserve">" </w:t>
      </w:r>
      <w:r>
        <w:rPr>
          <w:rtl w:val="true"/>
        </w:rPr>
        <w:t>שאותרו במסדרון הדירה</w:t>
      </w:r>
      <w:r>
        <w:rPr>
          <w:rtl w:val="true"/>
        </w:rPr>
        <w:t xml:space="preserve">, </w:t>
      </w:r>
      <w:r>
        <w:rPr>
          <w:rtl w:val="true"/>
        </w:rPr>
        <w:t>התואמים את תיאוריה של המנוחה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השרשרת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שנתלשה מצוואר המנוחה במהלך השוד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tl w:val="true"/>
        </w:rPr>
        <w:t xml:space="preserve"> שאותרה בדירה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ניתן להתעלם מהעובדה שהמערער סיפר בפרוטרוט לחוקרי המשטרה</w:t>
      </w:r>
      <w:r>
        <w:rPr>
          <w:rtl w:val="true"/>
        </w:rPr>
        <w:t xml:space="preserve">, </w:t>
      </w:r>
      <w:r>
        <w:rPr>
          <w:rtl w:val="true"/>
        </w:rPr>
        <w:t>ביום שבו הוא נעצר</w:t>
      </w:r>
      <w:r>
        <w:rPr>
          <w:rtl w:val="true"/>
        </w:rPr>
        <w:t xml:space="preserve">, </w:t>
      </w:r>
      <w:r>
        <w:rPr>
          <w:rtl w:val="true"/>
        </w:rPr>
        <w:t>כי הוא שדד את המנוחה באיומי סכין</w:t>
      </w:r>
      <w:r>
        <w:rPr>
          <w:rtl w:val="true"/>
        </w:rPr>
        <w:t xml:space="preserve">, </w:t>
      </w:r>
      <w:r>
        <w:rPr>
          <w:rtl w:val="true"/>
        </w:rPr>
        <w:t>ותלש מצווארה את שרשרת הזהב שענדה</w:t>
      </w:r>
      <w:r>
        <w:rPr>
          <w:rtl w:val="true"/>
        </w:rPr>
        <w:t xml:space="preserve">; </w:t>
      </w:r>
      <w:r>
        <w:rPr>
          <w:rtl w:val="true"/>
        </w:rPr>
        <w:t>וכי גרסתו שלפיה חוקרי המשטרה השפיעו עליו באופן פסול נדחתה מכול וכול על</w:t>
      </w:r>
      <w:r>
        <w:rPr>
          <w:rtl w:val="true"/>
        </w:rPr>
        <w:t>-</w:t>
      </w:r>
      <w:r>
        <w:rPr>
          <w:rtl w:val="true"/>
        </w:rPr>
        <w:t>ידי בית משפט קמא</w:t>
      </w:r>
      <w:r>
        <w:rPr>
          <w:rtl w:val="true"/>
        </w:rPr>
        <w:t xml:space="preserve">, </w:t>
      </w:r>
      <w:r>
        <w:rPr>
          <w:rtl w:val="true"/>
        </w:rPr>
        <w:t>ודומה כי היא נזנחה אף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. </w:t>
      </w:r>
      <w:r>
        <w:rPr>
          <w:rtl w:val="true"/>
        </w:rPr>
        <w:t>ואם בכך לא די</w:t>
      </w:r>
      <w:r>
        <w:rPr>
          <w:rtl w:val="true"/>
        </w:rPr>
        <w:t xml:space="preserve">, </w:t>
      </w:r>
      <w:r>
        <w:rPr>
          <w:rtl w:val="true"/>
        </w:rPr>
        <w:t>הרי שבא המערער עצמו וסיפר בפתח חקירתו הראשית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קיימתי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האמת</w:t>
      </w:r>
      <w:r>
        <w:rPr>
          <w:rtl w:val="true"/>
        </w:rPr>
        <w:t xml:space="preserve">". </w:t>
      </w:r>
      <w:r>
        <w:rPr>
          <w:rtl w:val="true"/>
        </w:rPr>
        <w:t>לא למותר לציין</w:t>
      </w:r>
      <w:r>
        <w:rPr>
          <w:rtl w:val="true"/>
        </w:rPr>
        <w:t xml:space="preserve">, </w:t>
      </w:r>
      <w:r>
        <w:rPr>
          <w:rtl w:val="true"/>
        </w:rPr>
        <w:t>כפי שפורט בהרחבה לעיל</w:t>
      </w:r>
      <w:r>
        <w:rPr>
          <w:rtl w:val="true"/>
        </w:rPr>
        <w:t xml:space="preserve">, </w:t>
      </w:r>
      <w:r>
        <w:rPr>
          <w:rtl w:val="true"/>
        </w:rPr>
        <w:t>כי המערער שינה את גרסאותיו כל העת</w:t>
      </w:r>
      <w:r>
        <w:rPr>
          <w:rtl w:val="true"/>
        </w:rPr>
        <w:t xml:space="preserve">, </w:t>
      </w:r>
      <w:r>
        <w:rPr>
          <w:rtl w:val="true"/>
        </w:rPr>
        <w:t>הסתבך בשקרים כמעט ביחס לכל נושא שעליו נשאל</w:t>
      </w:r>
      <w:r>
        <w:rPr>
          <w:rtl w:val="true"/>
        </w:rPr>
        <w:t xml:space="preserve">, </w:t>
      </w:r>
      <w:r>
        <w:rPr>
          <w:rtl w:val="true"/>
        </w:rPr>
        <w:t>והסבריו המתפתלים באשר לראיות העוצמתיות נגדו נשללו לחלוטין על</w:t>
      </w:r>
      <w:r>
        <w:rPr>
          <w:rtl w:val="true"/>
        </w:rPr>
        <w:t>-</w:t>
      </w:r>
      <w:r>
        <w:rPr>
          <w:rtl w:val="true"/>
        </w:rPr>
        <w:t>ידי בית משפט קמא</w:t>
      </w:r>
      <w:r>
        <w:rPr>
          <w:rtl w:val="true"/>
        </w:rPr>
        <w:t xml:space="preserve">, </w:t>
      </w:r>
      <w:r>
        <w:rPr>
          <w:rtl w:val="true"/>
        </w:rPr>
        <w:t>אשר בקביעותיו במישור זה לא מצאתי הצדקה להתערב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>כי אמרות המנוחה בכל הנוגע לעבירות האלימות והרכוש שהמערער ביצע כלפיה</w:t>
      </w:r>
      <w:r>
        <w:rPr>
          <w:rtl w:val="true"/>
        </w:rPr>
        <w:t xml:space="preserve">, </w:t>
      </w:r>
      <w:r>
        <w:rPr>
          <w:rtl w:val="true"/>
        </w:rPr>
        <w:t>משתלבות היטב במארג הראיות הכולל שהונח בפני בית משפט קמא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צדק בית המשפט בהרשיעו את המערער בעבירות אלו</w:t>
      </w:r>
      <w:r>
        <w:rPr>
          <w:rtl w:val="true"/>
        </w:rPr>
        <w:t xml:space="preserve">, </w:t>
      </w:r>
      <w:r>
        <w:rPr>
          <w:rtl w:val="true"/>
        </w:rPr>
        <w:t>שהוכחו מעבר לספק סביר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במאמר מוסגר יצוין</w:t>
      </w:r>
      <w:r>
        <w:rPr>
          <w:rtl w:val="true"/>
        </w:rPr>
        <w:t xml:space="preserve">, </w:t>
      </w:r>
      <w:r>
        <w:rPr>
          <w:rtl w:val="true"/>
        </w:rPr>
        <w:t xml:space="preserve">כי ספק בעיניי אם היה מקום להאשים ולהרשיע את המערער בשלוש עבירות נפרדות </w:t>
      </w:r>
      <w:r>
        <w:rPr>
          <w:rtl w:val="true"/>
        </w:rPr>
        <w:t>(</w:t>
      </w:r>
      <w:r>
        <w:rPr>
          <w:rtl w:val="true"/>
        </w:rPr>
        <w:t>שוד מזוין</w:t>
      </w:r>
      <w:r>
        <w:rPr>
          <w:rtl w:val="true"/>
        </w:rPr>
        <w:t xml:space="preserve">, </w:t>
      </w:r>
      <w:r>
        <w:rPr>
          <w:rtl w:val="true"/>
        </w:rPr>
        <w:t>חבלה ופציעה בנסיבות מחמירות ואיומים</w:t>
      </w:r>
      <w:r>
        <w:rPr>
          <w:rtl w:val="true"/>
        </w:rPr>
        <w:t xml:space="preserve">), </w:t>
      </w:r>
      <w:r>
        <w:rPr>
          <w:rtl w:val="true"/>
        </w:rPr>
        <w:t>כאשר עבירת השוד מגלמת בתוכה לכאורה</w:t>
      </w:r>
      <w:r>
        <w:rPr>
          <w:rtl w:val="true"/>
        </w:rPr>
        <w:t xml:space="preserve">, </w:t>
      </w:r>
      <w:r>
        <w:rPr>
          <w:rtl w:val="true"/>
        </w:rPr>
        <w:t>מיניה וביה</w:t>
      </w:r>
      <w:r>
        <w:rPr>
          <w:rtl w:val="true"/>
        </w:rPr>
        <w:t xml:space="preserve">, </w:t>
      </w:r>
      <w:r>
        <w:rPr>
          <w:rtl w:val="true"/>
        </w:rPr>
        <w:t xml:space="preserve">את שתי העבירות האחרות ואת הערכים העומדים ביסודן </w:t>
      </w:r>
      <w:r>
        <w:rPr>
          <w:rtl w:val="true"/>
        </w:rPr>
        <w:t>(</w:t>
      </w:r>
      <w:r>
        <w:rPr>
          <w:rtl w:val="true"/>
        </w:rPr>
        <w:t>ראו בהקשר זה</w:t>
      </w:r>
      <w:r>
        <w:rPr>
          <w:rtl w:val="true"/>
        </w:rPr>
        <w:t xml:space="preserve">: </w:t>
      </w:r>
      <w:hyperlink r:id="rId10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5978/04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594</w:t>
      </w:r>
      <w:r>
        <w:rPr>
          <w:rtl w:val="true"/>
        </w:rPr>
        <w:t xml:space="preserve">, </w:t>
      </w:r>
      <w:r>
        <w:rPr/>
        <w:t>611-610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10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33-32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</w:t>
      </w:r>
      <w:r>
        <w:rPr/>
        <w:t>0</w:t>
      </w:r>
      <w:r>
        <w:rPr/>
        <w:t>2.2023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וכן הנחיית </w:t>
      </w:r>
      <w:r>
        <w:rPr>
          <w:rtl w:val="true"/>
        </w:rPr>
        <w:t>פרקליט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ס</w:t>
      </w:r>
      <w:r>
        <w:rPr>
          <w:rtl w:val="true"/>
        </w:rPr>
        <w:t>פר</w:t>
      </w:r>
      <w:r>
        <w:rPr>
          <w:rtl w:val="true"/>
        </w:rPr>
        <w:t xml:space="preserve"> </w:t>
      </w:r>
      <w:r>
        <w:rPr/>
        <w:t>3.1</w:t>
      </w:r>
      <w:r>
        <w:rPr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וניסוח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אישום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שעודכנה ב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/>
        <w:t>27.12.2017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28</w:t>
      </w:r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הצדדים לא פרשו בפנינו טיעונים בסוגיה זו</w:t>
      </w:r>
      <w:r>
        <w:rPr>
          <w:rtl w:val="true"/>
        </w:rPr>
        <w:t xml:space="preserve">, </w:t>
      </w:r>
      <w:r>
        <w:rPr>
          <w:rtl w:val="true"/>
        </w:rPr>
        <w:t>ועל כן אף אני אמנע מלקבוע מסמרות בעניין זה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הדברים שונים בכל </w:t>
      </w:r>
      <w:r>
        <w:rPr>
          <w:rFonts w:ascii="Century" w:hAnsi="Century" w:cs="Century"/>
          <w:sz w:val="22"/>
          <w:sz w:val="22"/>
          <w:rtl w:val="true"/>
        </w:rPr>
        <w:t>הנוגע</w:t>
      </w:r>
      <w:r>
        <w:rPr>
          <w:rtl w:val="true"/>
        </w:rPr>
        <w:t xml:space="preserve"> לעבירת המעשה המגונה שיוחסה למערער</w:t>
      </w:r>
      <w:r>
        <w:rPr>
          <w:rtl w:val="true"/>
        </w:rPr>
        <w:t xml:space="preserve">. </w:t>
      </w:r>
      <w:r>
        <w:rPr>
          <w:rtl w:val="true"/>
        </w:rPr>
        <w:t>בסוגיה זו אדון כעת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לאמרות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המגונה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בכל </w:t>
      </w:r>
      <w:r>
        <w:rPr>
          <w:rFonts w:ascii="Century" w:hAnsi="Century" w:cs="Century"/>
          <w:sz w:val="22"/>
          <w:sz w:val="22"/>
          <w:rtl w:val="true"/>
        </w:rPr>
        <w:t xml:space="preserve">הקשור </w:t>
      </w:r>
      <w:r>
        <w:rPr>
          <w:rtl w:val="true"/>
        </w:rPr>
        <w:t>לעבירת המעשה המגונה שיוחסה למערער</w:t>
      </w:r>
      <w:r>
        <w:rPr>
          <w:rtl w:val="true"/>
        </w:rPr>
        <w:t xml:space="preserve">, </w:t>
      </w:r>
      <w:r>
        <w:rPr>
          <w:rtl w:val="true"/>
        </w:rPr>
        <w:t>דעתי שונה מזו של בית משפט קמא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לדידי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זו בלבד שלא הובא בדל של ראיה לתמוך באמרות המנוחה ביחס לעבירה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שקריאה זהירה של אמרות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מעלה תהייה של ממש אם המנוחה אכן ביקשה לייחס למערער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בסופו של יום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ביצוע של עבירת מין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בהקשר זה אדגיש</w:t>
      </w:r>
      <w:r>
        <w:rPr>
          <w:rtl w:val="true"/>
        </w:rPr>
        <w:t xml:space="preserve">, </w:t>
      </w:r>
      <w:r>
        <w:rPr>
          <w:rtl w:val="true"/>
        </w:rPr>
        <w:t>כי הקביעה ביחס לעבירת המעשה המגונה שבה הורשע המערער איננה נסמכת על ממצאי מהימנות שנקבעו על יסוד שמיעת עדים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 xml:space="preserve">בכגון דא אין לערכאה הדיונית כל יתרון על פני ערכאת הערעור </w:t>
      </w:r>
      <w:r>
        <w:rPr>
          <w:rtl w:val="true"/>
        </w:rPr>
        <w:t>(</w:t>
      </w:r>
      <w:r>
        <w:rPr>
          <w:rtl w:val="true"/>
        </w:rPr>
        <w:t>ראו מני רבים</w:t>
      </w:r>
      <w:r>
        <w:rPr>
          <w:rtl w:val="true"/>
        </w:rPr>
        <w:t xml:space="preserve">: </w:t>
      </w:r>
      <w:hyperlink r:id="rId10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2050/21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אלהואשלה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16.05.2023</w:t>
      </w:r>
      <w:r>
        <w:rPr>
          <w:rtl w:val="true"/>
        </w:rPr>
        <w:t xml:space="preserve">) </w:t>
      </w:r>
      <w:r>
        <w:rPr>
          <w:rtl w:val="true"/>
        </w:rPr>
        <w:t>וההפניות שם</w:t>
      </w:r>
      <w:r>
        <w:rPr>
          <w:rtl w:val="true"/>
        </w:rPr>
        <w:t>).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בשורות הבאות אעמוד אפוא על התפתחות אמרות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שניתנו ביום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קרי </w:t>
      </w:r>
      <w:r>
        <w:rPr>
          <w:rFonts w:cs="Century" w:ascii="Century" w:hAnsi="Century"/>
          <w:sz w:val="22"/>
        </w:rPr>
        <w:t>05.06.2010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ביחס לעבירת המין שהיא ייחסה למערער</w:t>
      </w:r>
      <w:r>
        <w:rPr>
          <w:rtl w:val="true"/>
        </w:rPr>
        <w:t xml:space="preserve">, </w:t>
      </w:r>
      <w:r>
        <w:rPr>
          <w:rtl w:val="true"/>
        </w:rPr>
        <w:t>תוך בחינת השתלבותן במארג הראיות הכולל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באמרה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ascii="Century" w:hAnsi="Century" w:cs="Century"/>
          <w:sz w:val="22"/>
          <w:sz w:val="22"/>
          <w:rtl w:val="true"/>
        </w:rPr>
        <w:t xml:space="preserve"> שנאמרה לשכן עם יציאת המנוחה מהדירה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המנוחה צעקה כי אנסו אותה והחדירו לה סכין לאיבר המין </w:t>
      </w:r>
      <w:r>
        <w:rPr>
          <w:rFonts w:cs="Century" w:ascii="Century" w:hAnsi="Century"/>
          <w:sz w:val="22"/>
          <w:rtl w:val="true"/>
        </w:rPr>
        <w:t>(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והחדירו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אמרה זו התבררה בדיעבד כשגויה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המנוחה לא נפצעה כלל באיבר מינה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ואף לא נמצאו סימנים של חדירת סכין לאיבר מינה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למעשה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אף המנוחה עצמה לא עמדה על כך שהיא נאנסה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כבר באמרתה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שנאמרה זמן לא רב לאחר מכן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ולאחר שנוכחה בכך שהיא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עברה אונס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המנוחה סיפרה כי ניסו לאנוס אותה </w:t>
      </w:r>
      <w:r>
        <w:rPr>
          <w:rFonts w:cs="Century" w:ascii="Century" w:hAnsi="Century"/>
          <w:sz w:val="22"/>
          <w:rtl w:val="true"/>
        </w:rPr>
        <w:t>(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התנגדה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מהחלון</w:t>
      </w:r>
      <w:r>
        <w:rPr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בהמשך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הטענה לניסיון אונס עברה ריכוך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כאשר המנוחה סיפרה באמרה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השלישית</w:t>
      </w:r>
      <w:r>
        <w:rPr>
          <w:rFonts w:ascii="Century" w:hAnsi="Century" w:cs="Century"/>
          <w:sz w:val="22"/>
          <w:sz w:val="22"/>
          <w:rtl w:val="true"/>
        </w:rPr>
        <w:t xml:space="preserve"> כי המערער ניסה להוריד את המכנסיים שלו ושלה </w:t>
      </w:r>
      <w:r>
        <w:rPr>
          <w:rFonts w:cs="Century" w:ascii="Century" w:hAnsi="Century"/>
          <w:sz w:val="22"/>
          <w:rtl w:val="true"/>
        </w:rPr>
        <w:t>(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טירוף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והשכיב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בפרוזדור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המחסן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לפתוח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המכנס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ושלי</w:t>
      </w:r>
      <w:r>
        <w:rPr>
          <w:rFonts w:cs="Century" w:ascii="Century" w:hAnsi="Century"/>
          <w:sz w:val="22"/>
          <w:rtl w:val="true"/>
        </w:rPr>
        <w:t xml:space="preserve">"). </w:t>
      </w:r>
      <w:r>
        <w:rPr>
          <w:rFonts w:ascii="Century" w:hAnsi="Century" w:cs="Century"/>
          <w:sz w:val="22"/>
          <w:sz w:val="22"/>
          <w:rtl w:val="true"/>
        </w:rPr>
        <w:t>כאמור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חוקר המשטרה שרשם את האמרה השלישית ביקש להבין מהמנוחה אם המערער הצליח להוריד את בגדיה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בשלב זה התשאול הופסק עקב טיפול רפואי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גרסה זו בדבר הורדת מכנסיה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ידי המערער נותרה עקבית גם במסגרת אמרתה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נכנסתי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להתקלח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התקלחתי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ושמעתי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רעש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ולבשתי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מכנסיים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ובאתי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התנפל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הברכיים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להוריד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המכנסיים</w:t>
      </w:r>
      <w:r>
        <w:rPr>
          <w:rFonts w:cs="Century" w:ascii="Century" w:hAnsi="Century"/>
          <w:sz w:val="22"/>
          <w:rtl w:val="true"/>
        </w:rPr>
        <w:t xml:space="preserve">"). </w:t>
      </w:r>
      <w:r>
        <w:rPr>
          <w:rFonts w:ascii="Century" w:hAnsi="Century" w:cs="Century"/>
          <w:sz w:val="22"/>
          <w:sz w:val="22"/>
          <w:rtl w:val="true"/>
        </w:rPr>
        <w:t>בתגובה לשאלת החוקרת המשטרתית מתי הצליח המערער להוריד את מכנסיה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המנוחה השיבה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זוכרת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מכנסיים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זוכרת</w:t>
      </w:r>
      <w:r>
        <w:rPr>
          <w:rtl w:val="true"/>
        </w:rPr>
        <w:t>".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טענה זו התבררה בדיעבד כשגויה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הראיות הובילו את בית משפט קמא לקבוע כי המנוחה יצאה מהמקלחת מבלי שלבשה מכנסיים בעת האירוע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תפנית נוספת ביחס לעבירת המין שיוחסה למערער קיימת באמרה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החמישית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שם סיפרה המנוחה לאחותה כי המערער ניסה לדקור אותה באיבר המין </w:t>
      </w:r>
      <w:r>
        <w:rPr>
          <w:rFonts w:cs="Century" w:ascii="Century" w:hAnsi="Century"/>
          <w:sz w:val="22"/>
          <w:rtl w:val="true"/>
        </w:rPr>
        <w:t>("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לכיוון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המפ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cs="Century" w:ascii="Century" w:hAnsi="Century"/>
          <w:sz w:val="22"/>
          <w:rtl w:val="true"/>
        </w:rPr>
        <w:t xml:space="preserve">"). </w:t>
      </w:r>
      <w:r>
        <w:rPr>
          <w:rFonts w:ascii="Century" w:hAnsi="Century" w:cs="Century"/>
          <w:sz w:val="22"/>
          <w:sz w:val="22"/>
          <w:rtl w:val="true"/>
        </w:rPr>
        <w:t>אחות המנוחה שמסרה את האמרה 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 לבית המשפט נשאלה על אמרת המנוחה כי המערער הוריד את מכנסיה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ובתגובה היא השיבה כי המנוחה יצאה מהמקלחת עם תחתונים בלבד ולא הספיקה ללבוש מכנסיים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אמרה זו לא תועדה בזמן אמת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ניתן לשלול את האפשרות שההסבר שלפיו המנוחה יצאה מהמקלחת בלי מכנסיים נולד כתובנה מאוחרת יותר של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בחלוף הזמן היא נזכרה כי היא כלל לא הייתה עם מכנסיים בתחילת האירוע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בהקשר זה יצוין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באמרה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שהובאו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בנה של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אנו מוצאים שוב חזרה מסוימת לעבר הטענה של ניסיון לאונס </w:t>
      </w:r>
      <w:r>
        <w:rPr>
          <w:rFonts w:cs="Century" w:ascii="Century" w:hAnsi="Century"/>
          <w:sz w:val="22"/>
          <w:rtl w:val="true"/>
        </w:rPr>
        <w:t>(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לעומק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cs="Century" w:ascii="Century" w:hAnsi="Century"/>
          <w:sz w:val="22"/>
          <w:rtl w:val="true"/>
        </w:rPr>
        <w:t xml:space="preserve">"), </w:t>
      </w:r>
      <w:r>
        <w:rPr>
          <w:rFonts w:ascii="Century" w:hAnsi="Century" w:cs="Century"/>
          <w:sz w:val="22"/>
          <w:sz w:val="22"/>
          <w:rtl w:val="true"/>
        </w:rPr>
        <w:t>וזאת להבדיל מטענה בדבר הורדת מכנסי המנוחה או ניסיון להוריד את תחתוניה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יצוין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בהודעת המנוחה מיום למחרת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06.06.2008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אמרה המנוחה לחוקר המשטרה שבא לגבות את עדותה בבית החולים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במקלחת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שהתלבשתי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מעדותי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הקודמת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שלבשתי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מכנסיים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תחתונים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וחולצה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ששמעתי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הרעש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מכיוון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הסלון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המותניים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ותפסתי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שיצאתי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מהמקלחת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בטירוף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בהודעה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המנוחה הזכירה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לראשונה</w:t>
      </w:r>
      <w:r>
        <w:rPr>
          <w:rFonts w:ascii="Century" w:hAnsi="Century" w:cs="Century"/>
          <w:sz w:val="22"/>
          <w:sz w:val="22"/>
          <w:rtl w:val="true"/>
        </w:rPr>
        <w:t xml:space="preserve"> את העובדה שהייתה בעת האירוע ללא מכנסיים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ובאותה הודעה היא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ייחסה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אומנם הודעה זו לא הובאה כראיה לאמיתות תוכנה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בשים לב לעובדה שהיא נגבתה רק למחרת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יש בה כדי ללמד על כך שרק למחרת האירוע המנוחה הבינה כי היא לא הייתה לבושה במכנסיים בעת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וכתוצאה מכך היא הבינה שהעובדה שבסיום האירוע היא הייתה לבושה בתחתונים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איננה קשורה למערער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לא בכדי הרחבתי בדבר אמרות המנוחה ביחס לעבירות המין שהיא ייחסה למערער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החל בהחדרת סכין לאיבר מינה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ניסיון לאונס באמצעות סכין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ניסיון להוריד את מכנסיה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וכלה בתובנה כי היא לא לבשה מכנסיים בעת האירוע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למעשה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עבירת המעשה המגונה שיוחסה למערער בכתב האישום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ניסיון להוריד את תחתוני המנוחה ללא הצלחה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כלל לא הוזכרה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המנוחה באף לא אחת מאמרותיה שנתקבלו כראיה לאמיתות תוכנן בבית המשפט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דומה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הטענה בדבר ניסיונו של המערער להוריד את תחתוני המנוחה נלקחה מהודעה שמסרה המנוחה לחוקרת משטרתית ביום </w:t>
      </w:r>
      <w:r>
        <w:rPr>
          <w:rFonts w:cs="Century" w:ascii="Century" w:hAnsi="Century"/>
          <w:sz w:val="22"/>
        </w:rPr>
        <w:t>08.06.2008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בנוסח שבכתב היד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בעמוד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שורה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ועד לעמוד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יוער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התמלול המודפס שהוגש בגדרי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סבל מאי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דיוקים לעומת הנוסח שבכתב היד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יצאת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מהמקלחת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ותחתון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המכנסים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מונחים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החברה</w:t>
      </w:r>
      <w:r>
        <w:rPr>
          <w:rtl w:val="true"/>
        </w:rPr>
        <w:t>].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בעדותך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המכנסיים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המגבת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המכנסיים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ונזכרתי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המגבת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כשנכנסתי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למקלחת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המכנסיים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ושמתי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הקול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בהתחלה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התבלבלתי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המכנסיים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בהכרה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טראומה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ונזכרתי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בשחזורים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נזכרתי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זוכרת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המכנסיים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והרגליים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חשופות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שמאל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להוריד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התחתונים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השרשרת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ונתתי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בכיס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והשתוללתי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[...]".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זו בלבד שאותה הודעה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cs="Century"/>
          <w:rtl w:val="true"/>
        </w:rPr>
        <w:t xml:space="preserve"> התקבלה כראיה לאמיתות תוכנה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היא לא נאמרה בסמיכות לאירוע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אלא שהתיזה שלפיה המערער ניסה להוריד את תחתוני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הועלתה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חוקרת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ורק אושרה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המנוחה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אם היה מדובר באמרה שניתנה בסמוך לאירוע לא היה מקום לקבלה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בהיותה תשובה שניתנה ל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שאלה מדריכה</w:t>
      </w:r>
      <w:r>
        <w:rPr>
          <w:rFonts w:cs="Century" w:ascii="Century" w:hAnsi="Century"/>
          <w:sz w:val="22"/>
          <w:rtl w:val="true"/>
        </w:rPr>
        <w:t>' 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אמנם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שאף באת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 ציינה בהגינותה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ניתן ללמוד מהסתירות שנתגלו בגרסאות המנוחה על כך שהיא התכוונה להעליל עלילת שווא על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שאותו היא לא הכירה עד למותה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השאלה איננה האם המנוחה בדתה את הדברים מלבה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אלא אם תיאור המנוחה על שאירע בדירה בעת האירוע האלים והטראומתי שחוותה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שיקף את המציאות כהווייתה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כאשר בוחנים את אמרות המנוחה באספקלריה זו</w:t>
      </w:r>
      <w:r>
        <w:rPr>
          <w:rtl w:val="true"/>
        </w:rPr>
        <w:t xml:space="preserve">, </w:t>
      </w:r>
      <w:r>
        <w:rPr>
          <w:rtl w:val="true"/>
        </w:rPr>
        <w:t>מתקבלת תמונה שונה מזו שאליה הגיע בית משפט קמא</w:t>
      </w:r>
      <w:r>
        <w:rPr>
          <w:rtl w:val="true"/>
        </w:rPr>
        <w:t xml:space="preserve">. </w:t>
      </w:r>
      <w:r>
        <w:rPr>
          <w:rtl w:val="true"/>
        </w:rPr>
        <w:t>אף שאינני קובע מסמרות בנדון</w:t>
      </w:r>
      <w:r>
        <w:rPr>
          <w:rtl w:val="true"/>
        </w:rPr>
        <w:t xml:space="preserve">, </w:t>
      </w:r>
      <w:r>
        <w:rPr>
          <w:rtl w:val="true"/>
        </w:rPr>
        <w:t>לא מן הנמנע</w:t>
      </w:r>
      <w:r>
        <w:rPr>
          <w:rtl w:val="true"/>
        </w:rPr>
        <w:t xml:space="preserve">, </w:t>
      </w:r>
      <w:r>
        <w:rPr>
          <w:rtl w:val="true"/>
        </w:rPr>
        <w:t>כי המנוחה שמצאה עצמה בסיום השוד לבושה בבגדים תחתונים בלבד</w:t>
      </w:r>
      <w:r>
        <w:rPr>
          <w:rtl w:val="true"/>
        </w:rPr>
        <w:t xml:space="preserve">, </w:t>
      </w:r>
      <w:r>
        <w:rPr>
          <w:rtl w:val="true"/>
        </w:rPr>
        <w:t>כשהיא פצועה</w:t>
      </w:r>
      <w:r>
        <w:rPr>
          <w:rtl w:val="true"/>
        </w:rPr>
        <w:t xml:space="preserve">, </w:t>
      </w:r>
      <w:r>
        <w:rPr>
          <w:rtl w:val="true"/>
        </w:rPr>
        <w:t>חבולה ושותתת דם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בתחילת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במכנסיים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סברה</w:t>
      </w:r>
      <w:r>
        <w:rPr>
          <w:rtl w:val="true"/>
        </w:rPr>
        <w:t xml:space="preserve">, </w:t>
      </w:r>
      <w:r>
        <w:rPr>
          <w:rtl w:val="true"/>
        </w:rPr>
        <w:t>בטעות</w:t>
      </w:r>
      <w:r>
        <w:rPr>
          <w:rtl w:val="true"/>
        </w:rPr>
        <w:t xml:space="preserve">, </w:t>
      </w:r>
      <w:r>
        <w:rPr>
          <w:rtl w:val="true"/>
        </w:rPr>
        <w:t>כי המערער אנס אותה והחדיר לה סכין לאיבר המין</w:t>
      </w:r>
      <w:r>
        <w:rPr>
          <w:rtl w:val="true"/>
        </w:rPr>
        <w:t xml:space="preserve">. </w:t>
      </w:r>
      <w:r>
        <w:rPr>
          <w:rtl w:val="true"/>
        </w:rPr>
        <w:t>אלא שככל שחלף הזמן</w:t>
      </w:r>
      <w:r>
        <w:rPr>
          <w:rtl w:val="true"/>
        </w:rPr>
        <w:t xml:space="preserve">, </w:t>
      </w:r>
      <w:r>
        <w:rPr>
          <w:rtl w:val="true"/>
        </w:rPr>
        <w:t>המנוחה הבינה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כי המערער לא החדיר סכין לאיבר מינה</w:t>
      </w:r>
      <w:r>
        <w:rPr>
          <w:rtl w:val="true"/>
        </w:rPr>
        <w:t xml:space="preserve">; </w:t>
      </w:r>
      <w:r>
        <w:rPr>
          <w:rtl w:val="true"/>
        </w:rPr>
        <w:t>אך היא עדיין סברה שהוא ניסה לאנוס אותה</w:t>
      </w:r>
      <w:r>
        <w:rPr>
          <w:rtl w:val="true"/>
        </w:rPr>
        <w:t xml:space="preserve">, </w:t>
      </w:r>
      <w:r>
        <w:rPr>
          <w:rtl w:val="true"/>
        </w:rPr>
        <w:t>שכן לתפיסתה</w:t>
      </w:r>
      <w:r>
        <w:rPr>
          <w:rtl w:val="true"/>
        </w:rPr>
        <w:t xml:space="preserve">, </w:t>
      </w:r>
      <w:r>
        <w:rPr>
          <w:rtl w:val="true"/>
        </w:rPr>
        <w:t>באותה שעה</w:t>
      </w:r>
      <w:r>
        <w:rPr>
          <w:rtl w:val="true"/>
        </w:rPr>
        <w:t xml:space="preserve">, </w:t>
      </w:r>
      <w:r>
        <w:rPr>
          <w:rtl w:val="true"/>
        </w:rPr>
        <w:t>המערער הוריד את מכנסיה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המנוחה הבינה</w:t>
      </w:r>
      <w:r>
        <w:rPr>
          <w:rtl w:val="true"/>
        </w:rPr>
        <w:t xml:space="preserve">, </w:t>
      </w:r>
      <w:r>
        <w:rPr>
          <w:rtl w:val="true"/>
        </w:rPr>
        <w:t>ככל הנראה</w:t>
      </w:r>
      <w:r>
        <w:rPr>
          <w:rtl w:val="true"/>
        </w:rPr>
        <w:t xml:space="preserve">, </w:t>
      </w:r>
      <w:r>
        <w:rPr>
          <w:rtl w:val="true"/>
        </w:rPr>
        <w:t>כי המערער לא ניסה לאנוס אותה</w:t>
      </w:r>
      <w:r>
        <w:rPr>
          <w:rtl w:val="true"/>
        </w:rPr>
        <w:t xml:space="preserve">, </w:t>
      </w:r>
      <w:r>
        <w:rPr>
          <w:rtl w:val="true"/>
        </w:rPr>
        <w:t>אך היא עדיין סברה כי הוא לכל הפחות הוריד את מכנסיה</w:t>
      </w:r>
      <w:r>
        <w:rPr>
          <w:rtl w:val="true"/>
        </w:rPr>
        <w:t xml:space="preserve">. </w:t>
      </w:r>
      <w:r>
        <w:rPr>
          <w:rtl w:val="true"/>
        </w:rPr>
        <w:t>ורק בסופו של דבר</w:t>
      </w:r>
      <w:r>
        <w:rPr>
          <w:rtl w:val="true"/>
        </w:rPr>
        <w:t xml:space="preserve">, </w:t>
      </w:r>
      <w:r>
        <w:rPr>
          <w:rtl w:val="true"/>
        </w:rPr>
        <w:t>ביום שלמחרת האירוע</w:t>
      </w:r>
      <w:r>
        <w:rPr>
          <w:rtl w:val="true"/>
        </w:rPr>
        <w:t xml:space="preserve">, </w:t>
      </w:r>
      <w:r>
        <w:rPr>
          <w:rtl w:val="true"/>
        </w:rPr>
        <w:t>המנוחה הבינה כי היא יצאה מהמקלחת כשהיא לבושה בתחתונים בלבד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דברים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אלו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מתיישבים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היטב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התיזה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שלפיה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המנוחה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האמינה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בתחילה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תקיפה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מינית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שכן </w:t>
      </w:r>
      <w:r>
        <w:rPr>
          <w:rFonts w:ascii="Century" w:hAnsi="Century" w:cs="Century"/>
          <w:sz w:val="22"/>
          <w:sz w:val="22"/>
          <w:rtl w:val="true"/>
        </w:rPr>
        <w:t>היא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סברה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שהייתה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לבושה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במכנסיים </w:t>
      </w:r>
      <w:r>
        <w:rPr>
          <w:rFonts w:ascii="Century" w:hAnsi="Century" w:cs="Century"/>
          <w:sz w:val="22"/>
          <w:sz w:val="22"/>
          <w:rtl w:val="true"/>
        </w:rPr>
        <w:t>בעת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</w:t>
      </w:r>
      <w:r>
        <w:rPr>
          <w:rFonts w:ascii="Century" w:hAnsi="Century" w:cs="Century"/>
          <w:sz w:val="22"/>
          <w:sz w:val="22"/>
          <w:rtl w:val="true"/>
        </w:rPr>
        <w:t xml:space="preserve">אירוע </w:t>
      </w:r>
      <w:r>
        <w:rPr>
          <w:rFonts w:ascii="Century" w:hAnsi="Century" w:cs="Century"/>
          <w:sz w:val="22"/>
          <w:sz w:val="22"/>
          <w:rtl w:val="true"/>
        </w:rPr>
        <w:t>החל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ומצאה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עצמה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בסיום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האירוע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כש</w:t>
      </w:r>
      <w:r>
        <w:rPr>
          <w:rFonts w:ascii="Century" w:hAnsi="Century" w:cs="Century"/>
          <w:sz w:val="22"/>
          <w:sz w:val="22"/>
          <w:rtl w:val="true"/>
        </w:rPr>
        <w:t>היא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לבושה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בבגדים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תחתונים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בלבד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כמו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הראיות החיצוניות שהובאו לחובת המערער בעבירות האלימות והרכוש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קושרות אותו לביצוע עבירה של מעשה מגונה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מכלול הראיות הפורנזיות שנמצאו בזירה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כמו גם העדויות השונות שהובאו בהליך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מתייחסות כלל לשאלה אם המערער ניסה להוריד את תחתוניה של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לאו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בהקשר זה יצוין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בית משפט קמא מצא לתת משקל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לחובת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לכך שהאחרון סירב להשיב לשאלה כיצד הגיעו מרכיביו הגנטיים לתחתוני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שהלה טען כי לא ניתן לומר שהדנ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 שלו נמצא על התחתונים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בסוגיה זו הדין עם המערער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בניגוד לסברת 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ניתן לומר כי דנ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 של המערער אותר על תחתוני המנוחה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דברים אלו נכתבו באופן ברור בחוות הדעת של רפ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ק סיגל ברליין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16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חוות דעת מיום </w:t>
      </w:r>
      <w:r>
        <w:rPr>
          <w:rFonts w:cs="Century" w:ascii="Century" w:hAnsi="Century"/>
          <w:sz w:val="22"/>
        </w:rPr>
        <w:t>12.03.2020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ומיום </w:t>
      </w:r>
      <w:r>
        <w:rPr>
          <w:rFonts w:cs="Century" w:ascii="Century" w:hAnsi="Century"/>
          <w:sz w:val="22"/>
        </w:rPr>
        <w:t>05.04.2020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שהוגשו לבית המשפט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המדינה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שם צוין כי לא ניתן להסיק מסקנות באשר לקיומו של דנ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א של המערער על תחתוני המנוחה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אף כי אין לשלול אפשרות הזו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וראו גם בעדותה של רפ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ק ברליין בבית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בפרט בעמודים </w:t>
      </w:r>
      <w:r>
        <w:rPr>
          <w:rFonts w:cs="Century" w:ascii="Century" w:hAnsi="Century"/>
          <w:sz w:val="22"/>
        </w:rPr>
        <w:t>236-235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לפרוטוקול הדיון בבית משפט קמא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עובדה זו עולה גם מכך שהמדינה הגישה לבית משפט קמא חוות דעת סטטיסטית באשר לאפשרות הקלושה שגורם אחר שאינו המערער הותיר את הדנ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א שלו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חולצת</w:t>
      </w:r>
      <w:r>
        <w:rPr>
          <w:rFonts w:ascii="Century" w:hAnsi="Century" w:cs="Century"/>
          <w:sz w:val="22"/>
          <w:sz w:val="22"/>
          <w:rtl w:val="true"/>
        </w:rPr>
        <w:t xml:space="preserve"> המנוחה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חוות דעת של רפ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ק לב ווסקובויניק מיום </w:t>
      </w:r>
      <w:r>
        <w:rPr>
          <w:rFonts w:cs="Century" w:ascii="Century" w:hAnsi="Century"/>
          <w:sz w:val="22"/>
        </w:rPr>
        <w:t>29.03.2020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אך לא הובאה חוות דעת דומה ביחס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תחתוני</w:t>
      </w:r>
      <w:r>
        <w:rPr>
          <w:rFonts w:ascii="Century" w:hAnsi="Century" w:cs="Century"/>
          <w:sz w:val="22"/>
          <w:sz w:val="22"/>
          <w:rtl w:val="true"/>
        </w:rPr>
        <w:t xml:space="preserve"> המנוחה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אפילו אם היה נמצא דנ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 של המערער על תחתוני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היה בכך כדי לבסס ביצוע של עבירת מין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משעה שנקבע כי המערער תקף את המנוחה באלימות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ומשעה שנקבע כי זו לא לבשה מכנסיים בעת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מן הנמנע כי מרכיבי דנ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 של המערער הגיעו לתחתוני המנוחה כאשר האחרונה הותקפה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בהקשר זה יצוין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כעולה מעדותה של רפ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ק ברליין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ממצאי הדנ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 שבהם עסקינן 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ככל הנראה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תאי עור או זעה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ולא עלה חשש כי מדובר בדם או בזרע של המערער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243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לפרוטוקול הדיון בבית משפט קמא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המדינה הוסיפה וטענה לפנינו כי אין כל היגיון בקביעה לפיה המנוחה אמרה את האמת ביחס ליתר חלקי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והחליטה לבדות מלבה את עבירת המין שיוחסה למערער בכתב האישום שהוגש נגדו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כמוסבר בהרחבה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ספק אם הקביעה לפיה המערער ביצע עבירת מעשה מגונה במנוחה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נתמכת באמרה קבילה של המנוחה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ומכל מקום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מהראיות עולה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באופן ברור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המנוחה פירשה באופן שגוי את הסיטואציה הטראומתית שבה היא הייתה מצויה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ולכן אין בזיכויו של המערער מעבירה זו כדי להביא למסקנה כי המנוחה בדתה את הדברים מלבה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טענה נוספת שהעלתה המדינה היא כי ניתן למצוא חיזוק לגרסת המנוחה ביחס לביצוע עבירת 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בעדות השכן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לפי עדות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המנוחה צעקה לעבר השכן מיד עם פתיחת דלת הדירה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אנסו אותה והחדירו לה סכין לאיבר המין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לשיטת המדינה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מלמדת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התגובה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המיידית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הספונטנית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הסתיים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בסערת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ומבוהלת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נשמתה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מהזוועה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שחוותה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המזוקקת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הרציונל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שמאחורי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לפקודה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הסיטואציה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כשחוקק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הסעיף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ובאמרה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שחוותה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שחוותה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תקיפה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מינית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 xml:space="preserve">ההדגשה במקור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ח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כ</w:t>
      </w:r>
      <w:r>
        <w:rPr>
          <w:rFonts w:cs="Century" w:ascii="Century" w:hAnsi="Century"/>
          <w:sz w:val="22"/>
          <w:rtl w:val="true"/>
        </w:rPr>
        <w:t>').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דא עקא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שעדות השכן מלמדת באופן הברור ביותר כי המנוחה פירשה באופן שגוי את הסיטואציה בה היא הייתה מצויה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עובדה היא כי 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אנס את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והוא לבטח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החדיר סכין לאיבר מינה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אין זאת אלא שהמנוחה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שזה עתה נמלטה משוד אלים ואכזר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ומצאה את עצמה לבושה בתחתונים בלבד כשדם נוטף מגופה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סברה כי המערער ביצע בה עבירת מין חמורה ביותר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כמפורט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עם חלוף הזמן המנוחה הבינה את המציאות לאשורה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והתברר כי עבירת המין שייחסה למערער נבעה מכך שהיא סברה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בטעות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המערער הוא זה שהוריד את מכנסיה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לא למותר לציין כי אף שהמערער הסתבך בשקרים ובגרסאות סותרות בכל הקשור לעבירות האלימות והרכוש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הוא נותר עקבי לחלוטין ביחס להכחשת האשמות שהוטחו בו בכל הקשור לביצוע עבירת מין במנוחה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כידוע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שקרי נאשם יכולים לעלות כדי סיוע לעדות רק ככל שמדובר בשקרים מהותיים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שהוכחו ממקור חיצוני ומהימן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המכוונים לסיכול החקירה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והנוגעים לעבירה שיוחסה לנאשם </w:t>
      </w:r>
      <w:r>
        <w:rPr>
          <w:rFonts w:cs="Century" w:ascii="Century" w:hAnsi="Century"/>
          <w:sz w:val="22"/>
          <w:rtl w:val="true"/>
        </w:rPr>
        <w:t>(</w:t>
      </w:r>
      <w:hyperlink r:id="rId10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5864/19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22.08.2021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וההפניות שם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ובענייננו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נמצא ולו דבר שקר אחד שהמערער נתפס בו בכל הנוגע לעבירת המעשה המגונה שיוחסה לו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מהמקובץ עולה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אשמתו של המערער בעבירת המעשה המגונה שיוחסה לו לא הוכחה מעבר לספק סביר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ספק אם קיימות לאשמה זו תימוכין באמרותיה הקבילות של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ומכל מקום לא הובאה כל ראיה מפלילה נוספת להוכחת אשמתו של המערער בעבירה זו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אשר 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סבורני כי עלינו לזכות את המערער מעבירה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אף מבלי להידרש לטענת המערער שלפיה נסיבות חייה של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לא הובררו די הצורך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הובילו אותה למסקנה שאליה היא הגיעה ביחס לעבירת המין שהיא ייחסה לו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ראשית אציין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בגזר דינו של המערער יוחסה משמעות לקורות חייה העגומים של המנוחה לאחר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עד למותה כתשע שנים לאחר מכן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שהערתי לבאת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המדינה במהלך הדיון שהתקיים לפנינו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דומה כי לא הונחה תשתית ראייתית הקושרת באופן חד משמעי בין הדברים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הערתי זו מקבלת משנה תוקף לנוכח זיכויו של המערער מעבירת המעשה המגונה שבה הוא הורשע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ובשים לב לאמור בסיפא לפסקה </w:t>
      </w:r>
      <w:r>
        <w:rPr>
          <w:rFonts w:cs="Century" w:ascii="Century" w:hAnsi="Century"/>
          <w:sz w:val="22"/>
        </w:rPr>
        <w:t>21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לגזר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שלפיו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המגונה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בכבודה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ובנפשה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מדבריה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מהחמורות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שבמעשיו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אשר לעונש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יסוד זיכויו של המערער מעבירת מעשה מגונה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עבירה שניתן 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מחד גיסא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משקל משמעותי בגזר הדין כמפורט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ובהתחשב ביתר נסיבות העניין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מאידך גיסא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סבורני כי יש להעמיד את עונשו של המערער על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חלף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 שנגזרו עליו בבית המשפט המחוזי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בשים לב לכך שבני משפחת המנוחה לא צורפו כמשיבים לערעור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 מצאתי להתערב ברכיב הפיצוי שנפסק לטובתם </w:t>
      </w:r>
      <w:r>
        <w:rPr>
          <w:rFonts w:cs="Century" w:ascii="Century" w:hAnsi="Century"/>
          <w:sz w:val="22"/>
          <w:rtl w:val="true"/>
        </w:rPr>
        <w:t>(</w:t>
      </w:r>
      <w:hyperlink r:id="rId10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6921/16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וינטרס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28.06.2017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לפיכך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יתר רכיבי גזר הדין יוותרו ללא שינוי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למעט המאסרים המותנים שנגזרו על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יעמדו בעינם ביחס לעבירות אלימות בלבד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מכל הטעמים שפורטו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אציע לחברי ולחברתי לדחות את הערעור על הכרעת הדין בכל הנוגע לעבירות </w:t>
      </w:r>
      <w:r>
        <w:rPr>
          <w:rtl w:val="true"/>
        </w:rPr>
        <w:t>של שוד מזוין</w:t>
      </w:r>
      <w:r>
        <w:rPr>
          <w:rtl w:val="true"/>
        </w:rPr>
        <w:t xml:space="preserve">, </w:t>
      </w:r>
      <w:r>
        <w:rPr>
          <w:rtl w:val="true"/>
        </w:rPr>
        <w:t>חבלה ופציעה בנסיבות מחמירות</w:t>
      </w:r>
      <w:r>
        <w:rPr>
          <w:rtl w:val="true"/>
        </w:rPr>
        <w:t xml:space="preserve">, </w:t>
      </w:r>
      <w:r>
        <w:rPr>
          <w:rtl w:val="true"/>
        </w:rPr>
        <w:t>ואיומים</w:t>
      </w:r>
      <w:r>
        <w:rPr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שבהן הורשע המערער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ולקבל את הערעור על הכרעת הדין בנוגע לעבירת המעשה המגונה שיוחסה למערער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ספק אם היא עולה מאמרותיה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הקבילות</w:t>
      </w:r>
      <w:r>
        <w:rPr>
          <w:rFonts w:ascii="Century" w:hAnsi="Century" w:cs="Century"/>
          <w:sz w:val="22"/>
          <w:sz w:val="22"/>
          <w:rtl w:val="true"/>
        </w:rPr>
        <w:t xml:space="preserve"> של 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ומכל מקום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היא לבטח לא הוכחה מעבר לספק סביר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כמו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יסוד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אציע לחברי ולחברתי להעמיד את עונשו של המערער על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 בניכוי ימי מעצרו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יתר רכיבי גזר הדין יוסיפו לעמוד על כנם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בכפוף לאמור בפסקה </w:t>
      </w:r>
      <w:r>
        <w:rPr>
          <w:rFonts w:cs="Century" w:ascii="Century" w:hAnsi="Century"/>
          <w:sz w:val="22"/>
        </w:rPr>
        <w:t>83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לעיל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Normal"/>
        <w:overflowPunct w:val="true"/>
        <w:autoSpaceDE w:val="true"/>
        <w:bidi w:val="0"/>
        <w:spacing w:before="240" w:after="240"/>
        <w:jc w:val="start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</w:r>
    </w:p>
    <w:p>
      <w:pPr>
        <w:pStyle w:val="Normal"/>
        <w:spacing w:lineRule="auto" w:line="360" w:before="240" w:after="240"/>
        <w:ind w:end="0"/>
        <w:jc w:val="end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BODYVERDICT"/>
        <w:spacing w:lineRule="auto" w:line="360" w:before="240" w:after="240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spacing w:before="240" w:after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spacing w:before="240" w:after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 w:before="240" w:after="240"/>
        <w:ind w:end="0"/>
        <w:jc w:val="end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Ruller31"/>
        <w:spacing w:before="240" w:after="240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כבוב</w:t>
      </w:r>
      <w:r>
        <w:rPr>
          <w:rtl w:val="true"/>
        </w:rPr>
        <w:t xml:space="preserve">. </w:t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אמרותיה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ומתארות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פתיחת</w:t>
      </w:r>
      <w:r>
        <w:rPr>
          <w:rtl w:val="true"/>
        </w:rPr>
        <w:t xml:space="preserve">" </w:t>
      </w:r>
      <w:r>
        <w:rPr>
          <w:rtl w:val="true"/>
        </w:rPr>
        <w:t>מכנסיו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מכנסיה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, </w:t>
      </w:r>
      <w:r>
        <w:rPr>
          <w:rtl w:val="true"/>
        </w:rPr>
        <w:t>הפוגמים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במשקלן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, </w:t>
      </w:r>
      <w:r>
        <w:rPr>
          <w:rtl w:val="true"/>
        </w:rPr>
        <w:t>ובאין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>.</w:t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40" w:after="240"/>
        <w:ind w:end="0"/>
        <w:jc w:val="end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Ruller42"/>
        <w:spacing w:before="240" w:after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/>
      </w:pPr>
      <w:bookmarkStart w:id="24" w:name="Nitan"/>
      <w:r>
        <w:rPr>
          <w:rFonts w:cs="Garamond" w:ascii="Garamond" w:hAnsi="Garamond"/>
          <w:color w:val="FFFFFF"/>
          <w:sz w:val="2"/>
          <w:szCs w:val="2"/>
        </w:rPr>
        <w:t>5129371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ניתן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היום</w:t>
      </w:r>
      <w:r>
        <w:rPr>
          <w:rFonts w:cs="Garamond" w:ascii="Garamond" w:hAnsi="Garamond"/>
          <w:sz w:val="24"/>
          <w:rtl w:val="true"/>
        </w:rPr>
        <w:t>, ‏</w:t>
      </w:r>
      <w:r>
        <w:rPr>
          <w:rFonts w:ascii="Garamond" w:hAnsi="Garamond" w:cs="Garamond"/>
          <w:sz w:val="24"/>
          <w:sz w:val="24"/>
          <w:rtl w:val="true"/>
        </w:rPr>
        <w:t>כ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א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באלול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התשפ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ג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cs="Garamond" w:ascii="Garamond" w:hAnsi="Garamond"/>
          <w:sz w:val="24"/>
          <w:rtl w:val="true"/>
        </w:rPr>
        <w:t>(‏</w:t>
      </w:r>
      <w:r>
        <w:rPr>
          <w:rFonts w:cs="Garamond" w:ascii="Garamond" w:hAnsi="Garamond"/>
          <w:sz w:val="24"/>
        </w:rPr>
        <w:t>7.9.2023</w:t>
      </w:r>
      <w:r>
        <w:rPr>
          <w:rFonts w:cs="Garamond" w:ascii="Garamond" w:hAnsi="Garamond"/>
          <w:sz w:val="24"/>
          <w:rtl w:val="true"/>
        </w:rPr>
        <w:t xml:space="preserve">). </w:t>
      </w:r>
      <w:bookmarkEnd w:id="2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22003050</w:t>
      </w:r>
      <w:r>
        <w:rPr>
          <w:sz w:val="16"/>
          <w:rtl w:val="true"/>
        </w:rPr>
        <w:t>_</w:t>
      </w:r>
      <w:r>
        <w:rPr>
          <w:sz w:val="16"/>
        </w:rPr>
        <w:t>C08.docx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חד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0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0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54678313-305/22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110"/>
      <w:footerReference w:type="default" r:id="rId11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entaur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305/22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פתחי איובי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dstrike w:val="false"/>
        <w:strike w:val="false"/>
        <w:sz w:val="28"/>
        <w:b w:val="false"/>
        <w:szCs w:val="28"/>
        <w:bCs w:val="false"/>
        <w:rFonts w:ascii="FrankRuehl" w:hAnsi="FrankRuehl" w:cs="FrankRuehl"/>
        <w:color w:val="000000"/>
        <w:lang w:val="en-US" w:bidi="he-I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lineRule="auto" w:line="360" w:before="40" w:after="0"/>
      <w:outlineLvl w:val="4"/>
    </w:pPr>
    <w:rPr>
      <w:rFonts w:ascii="Calibri Light" w:hAnsi="Calibri Light" w:eastAsia="Times New Roman" w:cs="Times New Roman"/>
      <w:color w:val="2E74B5"/>
      <w:spacing w:val="10"/>
      <w:szCs w:val="28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FrankRuehl" w:hAnsi="FrankRuehl" w:cs="FrankRuehl"/>
      <w:b w:val="false"/>
      <w:bCs w:val="false"/>
      <w:strike w:val="false"/>
      <w:dstrike w:val="false"/>
      <w:color w:val="000000"/>
      <w:sz w:val="28"/>
      <w:szCs w:val="28"/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Heading5Char">
    <w:name w:val="Heading 5 Char"/>
    <w:qFormat/>
    <w:rPr>
      <w:rFonts w:ascii="Calibri Light" w:hAnsi="Calibri Light" w:eastAsia="Times New Roman" w:cs="Times New Roman"/>
      <w:color w:val="2E74B5"/>
      <w:spacing w:val="10"/>
      <w:szCs w:val="2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41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3"/>
      </w:numPr>
    </w:pPr>
    <w:rPr/>
  </w:style>
  <w:style w:type="paragraph" w:styleId="NormalWeb">
    <w:name w:val="Normal (Web)"/>
    <w:basedOn w:val="Normal"/>
    <w:qFormat/>
    <w:pPr>
      <w:spacing w:lineRule="auto" w:line="360"/>
    </w:pPr>
    <w:rPr>
      <w:rFonts w:cs="Times New Roman"/>
      <w:spacing w:val="10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583135" TargetMode="External"/><Relationship Id="rId3" Type="http://schemas.openxmlformats.org/officeDocument/2006/relationships/hyperlink" Target="http://www.nevo.co.il/safrut/book/29223" TargetMode="External"/><Relationship Id="rId4" Type="http://schemas.openxmlformats.org/officeDocument/2006/relationships/hyperlink" Target="http://www.nevo.co.il/safrut/book/29223" TargetMode="External"/><Relationship Id="rId5" Type="http://schemas.openxmlformats.org/officeDocument/2006/relationships/hyperlink" Target="http://www.nevo.co.il/safrut/book/24479" TargetMode="External"/><Relationship Id="rId6" Type="http://schemas.openxmlformats.org/officeDocument/2006/relationships/hyperlink" Target="http://www.nevo.co.il/safrut/bookgroup/4173" TargetMode="External"/><Relationship Id="rId7" Type="http://schemas.openxmlformats.org/officeDocument/2006/relationships/hyperlink" Target="http://www.nevo.co.il/safrut/bookgroup/417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law/70301/345.b.3" TargetMode="External"/><Relationship Id="rId13" Type="http://schemas.openxmlformats.org/officeDocument/2006/relationships/hyperlink" Target="http://www.nevo.co.il/law/70301/348.b" TargetMode="External"/><Relationship Id="rId14" Type="http://schemas.openxmlformats.org/officeDocument/2006/relationships/hyperlink" Target="http://www.nevo.co.il/law/70301/34kb.a" TargetMode="External"/><Relationship Id="rId15" Type="http://schemas.openxmlformats.org/officeDocument/2006/relationships/hyperlink" Target="http://www.nevo.co.il/law/70301/402.b" TargetMode="External"/><Relationship Id="rId16" Type="http://schemas.openxmlformats.org/officeDocument/2006/relationships/hyperlink" Target="http://www.nevo.co.il/law/98569" TargetMode="External"/><Relationship Id="rId17" Type="http://schemas.openxmlformats.org/officeDocument/2006/relationships/hyperlink" Target="http://www.nevo.co.il/law/98569/9" TargetMode="External"/><Relationship Id="rId18" Type="http://schemas.openxmlformats.org/officeDocument/2006/relationships/hyperlink" Target="http://www.nevo.co.il/law/98569/10" TargetMode="External"/><Relationship Id="rId19" Type="http://schemas.openxmlformats.org/officeDocument/2006/relationships/hyperlink" Target="http://www.nevo.co.il/law/98569/10.1" TargetMode="External"/><Relationship Id="rId20" Type="http://schemas.openxmlformats.org/officeDocument/2006/relationships/hyperlink" Target="http://www.nevo.co.il/law/98569/10.2" TargetMode="External"/><Relationship Id="rId21" Type="http://schemas.openxmlformats.org/officeDocument/2006/relationships/hyperlink" Target="http://www.nevo.co.il/law/98569/10.3" TargetMode="External"/><Relationship Id="rId22" Type="http://schemas.openxmlformats.org/officeDocument/2006/relationships/hyperlink" Target="http://www.nevo.co.il/law/98569/10a" TargetMode="External"/><Relationship Id="rId23" Type="http://schemas.openxmlformats.org/officeDocument/2006/relationships/hyperlink" Target="http://www.nevo.co.il/law/98569/54a" TargetMode="External"/><Relationship Id="rId24" Type="http://schemas.openxmlformats.org/officeDocument/2006/relationships/hyperlink" Target="http://www.nevo.co.il/law/98569/55" TargetMode="External"/><Relationship Id="rId25" Type="http://schemas.openxmlformats.org/officeDocument/2006/relationships/hyperlink" Target="http://www.nevo.co.il/case/26583135" TargetMode="External"/><Relationship Id="rId26" Type="http://schemas.openxmlformats.org/officeDocument/2006/relationships/hyperlink" Target="http://www.nevo.co.il/law/70301/402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33" TargetMode="External"/><Relationship Id="rId29" Type="http://schemas.openxmlformats.org/officeDocument/2006/relationships/hyperlink" Target="http://www.nevo.co.il/law/70301/335.a.1" TargetMode="External"/><Relationship Id="rId30" Type="http://schemas.openxmlformats.org/officeDocument/2006/relationships/hyperlink" Target="http://www.nevo.co.il/law/70301/192" TargetMode="External"/><Relationship Id="rId31" Type="http://schemas.openxmlformats.org/officeDocument/2006/relationships/hyperlink" Target="http://www.nevo.co.il/law/70301/348.b" TargetMode="External"/><Relationship Id="rId32" Type="http://schemas.openxmlformats.org/officeDocument/2006/relationships/hyperlink" Target="http://www.nevo.co.il/law/70301/345.b.3" TargetMode="External"/><Relationship Id="rId33" Type="http://schemas.openxmlformats.org/officeDocument/2006/relationships/hyperlink" Target="http://www.nevo.co.il/law/98569/10.1" TargetMode="External"/><Relationship Id="rId34" Type="http://schemas.openxmlformats.org/officeDocument/2006/relationships/hyperlink" Target="http://www.nevo.co.il/law/98569" TargetMode="External"/><Relationship Id="rId35" Type="http://schemas.openxmlformats.org/officeDocument/2006/relationships/hyperlink" Target="http://www.nevo.co.il/law/98569/10.1" TargetMode="External"/><Relationship Id="rId36" Type="http://schemas.openxmlformats.org/officeDocument/2006/relationships/hyperlink" Target="http://www.nevo.co.il/law/98569" TargetMode="External"/><Relationship Id="rId37" Type="http://schemas.openxmlformats.org/officeDocument/2006/relationships/hyperlink" Target="http://www.nevo.co.il/law/98569/10.1" TargetMode="External"/><Relationship Id="rId38" Type="http://schemas.openxmlformats.org/officeDocument/2006/relationships/hyperlink" Target="http://www.nevo.co.il/law/98569" TargetMode="External"/><Relationship Id="rId39" Type="http://schemas.openxmlformats.org/officeDocument/2006/relationships/hyperlink" Target="http://www.nevo.co.il/law/98569/10.1" TargetMode="External"/><Relationship Id="rId40" Type="http://schemas.openxmlformats.org/officeDocument/2006/relationships/hyperlink" Target="http://www.nevo.co.il/law/98569" TargetMode="External"/><Relationship Id="rId41" Type="http://schemas.openxmlformats.org/officeDocument/2006/relationships/hyperlink" Target="http://www.nevo.co.il/law/98569/10.1" TargetMode="External"/><Relationship Id="rId42" Type="http://schemas.openxmlformats.org/officeDocument/2006/relationships/hyperlink" Target="http://www.nevo.co.il/law/98569" TargetMode="External"/><Relationship Id="rId43" Type="http://schemas.openxmlformats.org/officeDocument/2006/relationships/hyperlink" Target="http://www.nevo.co.il/law/98569/10.1" TargetMode="External"/><Relationship Id="rId44" Type="http://schemas.openxmlformats.org/officeDocument/2006/relationships/hyperlink" Target="http://www.nevo.co.il/law/98569" TargetMode="External"/><Relationship Id="rId45" Type="http://schemas.openxmlformats.org/officeDocument/2006/relationships/hyperlink" Target="http://www.nevo.co.il/case/17923105" TargetMode="External"/><Relationship Id="rId46" Type="http://schemas.openxmlformats.org/officeDocument/2006/relationships/hyperlink" Target="http://www.nevo.co.il/case/6100413" TargetMode="External"/><Relationship Id="rId47" Type="http://schemas.openxmlformats.org/officeDocument/2006/relationships/hyperlink" Target="http://www.nevo.co.il/safrut/bookgroup/4173" TargetMode="External"/><Relationship Id="rId48" Type="http://schemas.openxmlformats.org/officeDocument/2006/relationships/hyperlink" Target="http://www.nevo.co.il/safrut/book/29223" TargetMode="External"/><Relationship Id="rId49" Type="http://schemas.openxmlformats.org/officeDocument/2006/relationships/hyperlink" Target="http://www.nevo.co.il/safrut/book/24479" TargetMode="External"/><Relationship Id="rId50" Type="http://schemas.openxmlformats.org/officeDocument/2006/relationships/hyperlink" Target="http://www.nevo.co.il/case/5883040" TargetMode="External"/><Relationship Id="rId51" Type="http://schemas.openxmlformats.org/officeDocument/2006/relationships/hyperlink" Target="http://www.nevo.co.il/law/98569/10a" TargetMode="External"/><Relationship Id="rId52" Type="http://schemas.openxmlformats.org/officeDocument/2006/relationships/hyperlink" Target="http://www.nevo.co.il/law/98569" TargetMode="External"/><Relationship Id="rId53" Type="http://schemas.openxmlformats.org/officeDocument/2006/relationships/hyperlink" Target="http://www.nevo.co.il/law/98569/9" TargetMode="External"/><Relationship Id="rId54" Type="http://schemas.openxmlformats.org/officeDocument/2006/relationships/hyperlink" Target="http://www.nevo.co.il/law/98569/10.1" TargetMode="External"/><Relationship Id="rId55" Type="http://schemas.openxmlformats.org/officeDocument/2006/relationships/hyperlink" Target="http://www.nevo.co.il/law/98569/10.2" TargetMode="External"/><Relationship Id="rId56" Type="http://schemas.openxmlformats.org/officeDocument/2006/relationships/hyperlink" Target="http://www.nevo.co.il/law/98569" TargetMode="External"/><Relationship Id="rId57" Type="http://schemas.openxmlformats.org/officeDocument/2006/relationships/hyperlink" Target="http://www.nevo.co.il/law/98569/10.1" TargetMode="External"/><Relationship Id="rId58" Type="http://schemas.openxmlformats.org/officeDocument/2006/relationships/hyperlink" Target="http://www.nevo.co.il/law/98569" TargetMode="External"/><Relationship Id="rId59" Type="http://schemas.openxmlformats.org/officeDocument/2006/relationships/hyperlink" Target="http://www.nevo.co.il/case/10549740" TargetMode="External"/><Relationship Id="rId60" Type="http://schemas.openxmlformats.org/officeDocument/2006/relationships/hyperlink" Target="http://www.nevo.co.il/case/6030055" TargetMode="External"/><Relationship Id="rId61" Type="http://schemas.openxmlformats.org/officeDocument/2006/relationships/hyperlink" Target="http://www.nevo.co.il/case/17920794" TargetMode="External"/><Relationship Id="rId62" Type="http://schemas.openxmlformats.org/officeDocument/2006/relationships/hyperlink" Target="http://www.nevo.co.il/law/98569/10" TargetMode="External"/><Relationship Id="rId63" Type="http://schemas.openxmlformats.org/officeDocument/2006/relationships/hyperlink" Target="http://www.nevo.co.il/case/17916497" TargetMode="External"/><Relationship Id="rId64" Type="http://schemas.openxmlformats.org/officeDocument/2006/relationships/hyperlink" Target="http://www.nevo.co.il/law/98569/10.3" TargetMode="External"/><Relationship Id="rId65" Type="http://schemas.openxmlformats.org/officeDocument/2006/relationships/hyperlink" Target="http://www.nevo.co.il/law/98569/10" TargetMode="External"/><Relationship Id="rId66" Type="http://schemas.openxmlformats.org/officeDocument/2006/relationships/hyperlink" Target="http://www.nevo.co.il/law/98569" TargetMode="External"/><Relationship Id="rId67" Type="http://schemas.openxmlformats.org/officeDocument/2006/relationships/hyperlink" Target="http://www.nevo.co.il/law/98569/10" TargetMode="External"/><Relationship Id="rId68" Type="http://schemas.openxmlformats.org/officeDocument/2006/relationships/hyperlink" Target="http://www.nevo.co.il/law/98569" TargetMode="External"/><Relationship Id="rId69" Type="http://schemas.openxmlformats.org/officeDocument/2006/relationships/hyperlink" Target="http://www.nevo.co.il/law/98569/10" TargetMode="External"/><Relationship Id="rId70" Type="http://schemas.openxmlformats.org/officeDocument/2006/relationships/hyperlink" Target="http://www.nevo.co.il/law/98569" TargetMode="External"/><Relationship Id="rId71" Type="http://schemas.openxmlformats.org/officeDocument/2006/relationships/hyperlink" Target="http://www.nevo.co.il/case/17930302" TargetMode="External"/><Relationship Id="rId72" Type="http://schemas.openxmlformats.org/officeDocument/2006/relationships/hyperlink" Target="http://www.nevo.co.il/law/98569/10.1" TargetMode="External"/><Relationship Id="rId73" Type="http://schemas.openxmlformats.org/officeDocument/2006/relationships/hyperlink" Target="http://www.nevo.co.il/law/98569/10.3" TargetMode="External"/><Relationship Id="rId74" Type="http://schemas.openxmlformats.org/officeDocument/2006/relationships/hyperlink" Target="http://www.nevo.co.il/case/17918597" TargetMode="External"/><Relationship Id="rId75" Type="http://schemas.openxmlformats.org/officeDocument/2006/relationships/hyperlink" Target="http://www.nevo.co.il/case/17937266" TargetMode="External"/><Relationship Id="rId76" Type="http://schemas.openxmlformats.org/officeDocument/2006/relationships/hyperlink" Target="http://www.nevo.co.il/law/98569/10" TargetMode="External"/><Relationship Id="rId77" Type="http://schemas.openxmlformats.org/officeDocument/2006/relationships/hyperlink" Target="http://www.nevo.co.il/case/17939757" TargetMode="External"/><Relationship Id="rId78" Type="http://schemas.openxmlformats.org/officeDocument/2006/relationships/hyperlink" Target="http://www.nevo.co.il/law/98569/10a" TargetMode="External"/><Relationship Id="rId79" Type="http://schemas.openxmlformats.org/officeDocument/2006/relationships/hyperlink" Target="http://www.nevo.co.il/law/98569/54a" TargetMode="External"/><Relationship Id="rId80" Type="http://schemas.openxmlformats.org/officeDocument/2006/relationships/hyperlink" Target="http://www.nevo.co.il/law/98569/55" TargetMode="External"/><Relationship Id="rId81" Type="http://schemas.openxmlformats.org/officeDocument/2006/relationships/hyperlink" Target="http://www.nevo.co.il/law/98569" TargetMode="External"/><Relationship Id="rId82" Type="http://schemas.openxmlformats.org/officeDocument/2006/relationships/hyperlink" Target="http://www.nevo.co.il/law/98569/54a" TargetMode="External"/><Relationship Id="rId83" Type="http://schemas.openxmlformats.org/officeDocument/2006/relationships/hyperlink" Target="http://www.nevo.co.il/law/70301/34kb.a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98569/10" TargetMode="External"/><Relationship Id="rId86" Type="http://schemas.openxmlformats.org/officeDocument/2006/relationships/hyperlink" Target="http://www.nevo.co.il/law/98569" TargetMode="External"/><Relationship Id="rId87" Type="http://schemas.openxmlformats.org/officeDocument/2006/relationships/hyperlink" Target="http://www.nevo.co.il/law/98569/10" TargetMode="External"/><Relationship Id="rId88" Type="http://schemas.openxmlformats.org/officeDocument/2006/relationships/hyperlink" Target="http://www.nevo.co.il/law/98569" TargetMode="External"/><Relationship Id="rId89" Type="http://schemas.openxmlformats.org/officeDocument/2006/relationships/hyperlink" Target="http://www.nevo.co.il/law/98569/10" TargetMode="External"/><Relationship Id="rId90" Type="http://schemas.openxmlformats.org/officeDocument/2006/relationships/hyperlink" Target="http://www.nevo.co.il/law/98569/10" TargetMode="External"/><Relationship Id="rId91" Type="http://schemas.openxmlformats.org/officeDocument/2006/relationships/hyperlink" Target="http://www.nevo.co.il/case/5920112" TargetMode="External"/><Relationship Id="rId92" Type="http://schemas.openxmlformats.org/officeDocument/2006/relationships/hyperlink" Target="http://www.nevo.co.il/law/98569/10" TargetMode="External"/><Relationship Id="rId93" Type="http://schemas.openxmlformats.org/officeDocument/2006/relationships/hyperlink" Target="http://www.nevo.co.il/law/98569" TargetMode="External"/><Relationship Id="rId94" Type="http://schemas.openxmlformats.org/officeDocument/2006/relationships/hyperlink" Target="http://www.nevo.co.il/law/98569/10.1" TargetMode="External"/><Relationship Id="rId95" Type="http://schemas.openxmlformats.org/officeDocument/2006/relationships/hyperlink" Target="http://www.nevo.co.il/law/98569" TargetMode="External"/><Relationship Id="rId96" Type="http://schemas.openxmlformats.org/officeDocument/2006/relationships/hyperlink" Target="http://www.nevo.co.il/case/5573417" TargetMode="External"/><Relationship Id="rId97" Type="http://schemas.openxmlformats.org/officeDocument/2006/relationships/hyperlink" Target="http://www.nevo.co.il/law/98569/10.1" TargetMode="External"/><Relationship Id="rId98" Type="http://schemas.openxmlformats.org/officeDocument/2006/relationships/hyperlink" Target="http://www.nevo.co.il/law/98569" TargetMode="External"/><Relationship Id="rId99" Type="http://schemas.openxmlformats.org/officeDocument/2006/relationships/hyperlink" Target="http://www.nevo.co.il/case/21026396" TargetMode="External"/><Relationship Id="rId100" Type="http://schemas.openxmlformats.org/officeDocument/2006/relationships/hyperlink" Target="http://www.nevo.co.il/case/20622775" TargetMode="External"/><Relationship Id="rId101" Type="http://schemas.openxmlformats.org/officeDocument/2006/relationships/hyperlink" Target="http://www.nevo.co.il/law/98569/10.1" TargetMode="External"/><Relationship Id="rId102" Type="http://schemas.openxmlformats.org/officeDocument/2006/relationships/hyperlink" Target="http://www.nevo.co.il/law/98569" TargetMode="External"/><Relationship Id="rId103" Type="http://schemas.openxmlformats.org/officeDocument/2006/relationships/hyperlink" Target="http://www.nevo.co.il/case/6230925" TargetMode="External"/><Relationship Id="rId104" Type="http://schemas.openxmlformats.org/officeDocument/2006/relationships/hyperlink" Target="http://www.nevo.co.il/case/27375913" TargetMode="External"/><Relationship Id="rId105" Type="http://schemas.openxmlformats.org/officeDocument/2006/relationships/hyperlink" Target="http://www.nevo.co.il/case/27494791" TargetMode="External"/><Relationship Id="rId106" Type="http://schemas.openxmlformats.org/officeDocument/2006/relationships/hyperlink" Target="http://www.nevo.co.il/case/26019036" TargetMode="External"/><Relationship Id="rId107" Type="http://schemas.openxmlformats.org/officeDocument/2006/relationships/hyperlink" Target="http://www.nevo.co.il/case/21478960" TargetMode="External"/><Relationship Id="rId108" Type="http://schemas.openxmlformats.org/officeDocument/2006/relationships/hyperlink" Target="https://supreme.court.gov.il/" TargetMode="External"/><Relationship Id="rId109" Type="http://schemas.openxmlformats.org/officeDocument/2006/relationships/hyperlink" Target="http://www.nevo.co.il/advertisements/nevo-100.doc" TargetMode="External"/><Relationship Id="rId110" Type="http://schemas.openxmlformats.org/officeDocument/2006/relationships/header" Target="header1.xml"/><Relationship Id="rId111" Type="http://schemas.openxmlformats.org/officeDocument/2006/relationships/footer" Target="footer1.xml"/><Relationship Id="rId112" Type="http://schemas.openxmlformats.org/officeDocument/2006/relationships/numbering" Target="numbering.xml"/><Relationship Id="rId113" Type="http://schemas.openxmlformats.org/officeDocument/2006/relationships/fontTable" Target="fontTable.xml"/><Relationship Id="rId114" Type="http://schemas.openxmlformats.org/officeDocument/2006/relationships/settings" Target="settings.xml"/><Relationship Id="rId1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2023-09-12T15:20:00Z</dcterms:created>
  <dc:creator>h4</dc:creator>
  <dc:description/>
  <cp:keywords/>
  <dc:language>en-IL</dc:language>
  <cp:lastModifiedBy>h10</cp:lastModifiedBy>
  <cp:lastPrinted>2023-09-07T10:31:00Z</cp:lastPrinted>
  <dcterms:modified xsi:type="dcterms:W3CDTF">2023-09-12T15:20:00Z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פתחי איובי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4173</vt:lpwstr>
  </property>
  <property fmtid="{D5CDD505-2E9C-101B-9397-08002B2CF9AE}" pid="9" name="BOOKLISTTMP1">
    <vt:lpwstr>29223;24479</vt:lpwstr>
  </property>
  <property fmtid="{D5CDD505-2E9C-101B-9397-08002B2CF9AE}" pid="10" name="CASESLISTTMP1">
    <vt:lpwstr>26583135:2;17923105;6100413;5883040;10549740;6030055;17920794;17916497;17930302;17918597;17937266;17939757;5920112;5573417;21026396;20622775;6230925;27375913;27494791;26019036;21478960</vt:lpwstr>
  </property>
  <property fmtid="{D5CDD505-2E9C-101B-9397-08002B2CF9AE}" pid="11" name="CITY">
    <vt:lpwstr/>
  </property>
  <property fmtid="{D5CDD505-2E9C-101B-9397-08002B2CF9AE}" pid="12" name="DATE">
    <vt:lpwstr>20230907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נ' סולברג;ג' כנפי שטייניץ;ח' כבוב</vt:lpwstr>
  </property>
  <property fmtid="{D5CDD505-2E9C-101B-9397-08002B2CF9AE}" pid="16" name="LAWLISTTMP1">
    <vt:lpwstr>70301/402.b;333;335.a.1;192;348.b;345.b.3;34kb.a</vt:lpwstr>
  </property>
  <property fmtid="{D5CDD505-2E9C-101B-9397-08002B2CF9AE}" pid="17" name="LAWLISTTMP2">
    <vt:lpwstr>98569/010.1:12;010a:2;009;010.2;010:10;010.3:2;054a:2;055</vt:lpwstr>
  </property>
  <property fmtid="{D5CDD505-2E9C-101B-9397-08002B2CF9AE}" pid="18" name="LAWYER">
    <vt:lpwstr>מירי קולומבוס;ד#ר חגית לרנאו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ראיות</vt:lpwstr>
  </property>
  <property fmtid="{D5CDD505-2E9C-101B-9397-08002B2CF9AE}" pid="30" name="NOSE110">
    <vt:lpwstr/>
  </property>
  <property fmtid="{D5CDD505-2E9C-101B-9397-08002B2CF9AE}" pid="31" name="NOSE12">
    <vt:lpwstr>ראיות</vt:lpwstr>
  </property>
  <property fmtid="{D5CDD505-2E9C-101B-9397-08002B2CF9AE}" pid="32" name="NOSE13">
    <vt:lpwstr>ראיות</vt:lpwstr>
  </property>
  <property fmtid="{D5CDD505-2E9C-101B-9397-08002B2CF9AE}" pid="33" name="NOSE14">
    <vt:lpwstr>דיון פלילי</vt:lpwstr>
  </property>
  <property fmtid="{D5CDD505-2E9C-101B-9397-08002B2CF9AE}" pid="34" name="NOSE15">
    <vt:lpwstr>עונשין</vt:lpwstr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89;89;89;18;77</vt:lpwstr>
  </property>
  <property fmtid="{D5CDD505-2E9C-101B-9397-08002B2CF9AE}" pid="40" name="NOSE21">
    <vt:lpwstr>עדות</vt:lpwstr>
  </property>
  <property fmtid="{D5CDD505-2E9C-101B-9397-08002B2CF9AE}" pid="41" name="NOSE210">
    <vt:lpwstr/>
  </property>
  <property fmtid="{D5CDD505-2E9C-101B-9397-08002B2CF9AE}" pid="42" name="NOSE22">
    <vt:lpwstr>קבילות</vt:lpwstr>
  </property>
  <property fmtid="{D5CDD505-2E9C-101B-9397-08002B2CF9AE}" pid="43" name="NOSE23">
    <vt:lpwstr>קבילות</vt:lpwstr>
  </property>
  <property fmtid="{D5CDD505-2E9C-101B-9397-08002B2CF9AE}" pid="44" name="NOSE24">
    <vt:lpwstr>הרשעה</vt:lpwstr>
  </property>
  <property fmtid="{D5CDD505-2E9C-101B-9397-08002B2CF9AE}" pid="45" name="NOSE25">
    <vt:lpwstr>ענישה</vt:lpwstr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1654;1661;1661;465;1446</vt:lpwstr>
  </property>
  <property fmtid="{D5CDD505-2E9C-101B-9397-08002B2CF9AE}" pid="51" name="NOSE31">
    <vt:lpwstr>אימרת קורבן אלימות</vt:lpwstr>
  </property>
  <property fmtid="{D5CDD505-2E9C-101B-9397-08002B2CF9AE}" pid="52" name="NOSE310">
    <vt:lpwstr/>
  </property>
  <property fmtid="{D5CDD505-2E9C-101B-9397-08002B2CF9AE}" pid="53" name="NOSE32">
    <vt:lpwstr>עדות שמיעה</vt:lpwstr>
  </property>
  <property fmtid="{D5CDD505-2E9C-101B-9397-08002B2CF9AE}" pid="54" name="NOSE33">
    <vt:lpwstr>קיומה</vt:lpwstr>
  </property>
  <property fmtid="{D5CDD505-2E9C-101B-9397-08002B2CF9AE}" pid="55" name="NOSE34">
    <vt:lpwstr>ספק סביר</vt:lpwstr>
  </property>
  <property fmtid="{D5CDD505-2E9C-101B-9397-08002B2CF9AE}" pid="56" name="NOSE35">
    <vt:lpwstr>מדיניות ענישה: התערבות ערכאת ערעור</vt:lpwstr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12848;10503;10508;3635;8982</vt:lpwstr>
  </property>
  <property fmtid="{D5CDD505-2E9C-101B-9397-08002B2CF9AE}" pid="62" name="PADIDATE">
    <vt:lpwstr>20230912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305</vt:lpwstr>
  </property>
  <property fmtid="{D5CDD505-2E9C-101B-9397-08002B2CF9AE}" pid="68" name="PROCYEAR">
    <vt:lpwstr>22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410120230907</vt:lpwstr>
  </property>
  <property fmtid="{D5CDD505-2E9C-101B-9397-08002B2CF9AE}" pid="72" name="TYPE_N_DATE">
    <vt:lpwstr>41020230907</vt:lpwstr>
  </property>
  <property fmtid="{D5CDD505-2E9C-101B-9397-08002B2CF9AE}" pid="73" name="VOLUME">
    <vt:lpwstr/>
  </property>
  <property fmtid="{D5CDD505-2E9C-101B-9397-08002B2CF9AE}" pid="74" name="WORDNUMPAGES">
    <vt:lpwstr>37</vt:lpwstr>
  </property>
</Properties>
</file>