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hanging="0" w:start="0" w:end="0"/>
        <w:jc w:val="center"/>
        <w:outlineLvl w:val="0"/>
        <w:rPr>
          <w:sz w:val="30"/>
        </w:rPr>
      </w:pPr>
      <w:bookmarkStart w:id="0" w:name="LastJudge"/>
      <w:bookmarkEnd w:id="0"/>
      <w:r>
        <w:rPr>
          <w:sz w:val="30"/>
          <w:sz w:val="30"/>
          <w:szCs w:val="26"/>
          <w:rtl w:val="true"/>
        </w:rPr>
        <w:t>בתי</w:t>
      </w:r>
      <w:r>
        <w:rPr>
          <w:rFonts w:cs="Times New Roman"/>
          <w:sz w:val="30"/>
          <w:sz w:val="30"/>
          <w:szCs w:val="26"/>
          <w:rtl w:val="true"/>
        </w:rPr>
        <w:t xml:space="preserve"> </w:t>
      </w:r>
      <w:r>
        <w:rPr>
          <w:sz w:val="30"/>
          <w:sz w:val="30"/>
          <w:szCs w:val="26"/>
          <w:rtl w:val="true"/>
        </w:rPr>
        <w:t>המשפט</w:t>
      </w:r>
      <w:r>
        <w:rPr>
          <w:rFonts w:cs="Times New Roman"/>
          <w:sz w:val="30"/>
          <w:sz w:val="30"/>
          <w:szCs w:val="2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20"/>
        <w:gridCol w:w="850"/>
        <w:gridCol w:w="2093"/>
      </w:tblGrid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לפני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כב</w:t>
            </w:r>
            <w:r>
              <w:rPr>
                <w:b/>
                <w:bCs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י</w:t>
            </w:r>
            <w:r>
              <w:rPr>
                <w:b/>
                <w:bCs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Cs w:val="26"/>
                <w:rtl w:val="true"/>
              </w:rPr>
              <w:t>נועם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29/03/2004</w:t>
            </w:r>
          </w:p>
        </w:tc>
      </w:tr>
    </w:tbl>
    <w:p>
      <w:pPr>
        <w:pStyle w:val="Header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bookmarkStart w:id="1" w:name="שם_א"/>
            <w:bookmarkEnd w:id="1"/>
            <w:r>
              <w:rPr>
                <w:b/>
                <w:b/>
                <w:bCs/>
                <w:szCs w:val="24"/>
                <w:rtl w:val="true"/>
              </w:rPr>
              <w:t>בעניין</w:t>
            </w:r>
            <w:r>
              <w:rPr>
                <w:b/>
                <w:bCs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  <w:t>ע</w:t>
            </w:r>
            <w:r>
              <w:rPr>
                <w:szCs w:val="24"/>
                <w:rtl w:val="true"/>
              </w:rPr>
              <w:t>"</w:t>
            </w:r>
            <w:r>
              <w:rPr>
                <w:szCs w:val="24"/>
                <w:rtl w:val="true"/>
              </w:rPr>
              <w:t>י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פרקליטות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מחוז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szCs w:val="24"/>
                <w:u w:val="none"/>
              </w:rPr>
            </w:pPr>
            <w:r>
              <w:rPr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  <w:u w:val="none"/>
              </w:rPr>
            </w:pPr>
            <w:r>
              <w:rPr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  <w:bookmarkStart w:id="4" w:name="FirstLawyer"/>
            <w:bookmarkStart w:id="5" w:name="שם_ב"/>
            <w:bookmarkStart w:id="6" w:name="FirstLawyer"/>
            <w:bookmarkStart w:id="7" w:name="שם_ב"/>
            <w:bookmarkEnd w:id="6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מועאז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ברכאת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זעתרי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  <w:t>ע</w:t>
            </w:r>
            <w:r>
              <w:rPr>
                <w:szCs w:val="24"/>
                <w:rtl w:val="true"/>
              </w:rPr>
              <w:t>"</w:t>
            </w:r>
            <w:r>
              <w:rPr>
                <w:szCs w:val="24"/>
                <w:rtl w:val="true"/>
              </w:rPr>
              <w:t>י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</w:t>
            </w:r>
            <w:r>
              <w:rPr>
                <w:szCs w:val="24"/>
                <w:rtl w:val="true"/>
              </w:rPr>
              <w:t>"</w:t>
            </w:r>
            <w:r>
              <w:rPr>
                <w:szCs w:val="24"/>
                <w:rtl w:val="true"/>
              </w:rPr>
              <w:t>כ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עו</w:t>
            </w:r>
            <w:r>
              <w:rPr>
                <w:szCs w:val="24"/>
                <w:rtl w:val="true"/>
              </w:rPr>
              <w:t>"</w:t>
            </w:r>
            <w:r>
              <w:rPr>
                <w:szCs w:val="24"/>
                <w:rtl w:val="true"/>
              </w:rPr>
              <w:t>ד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אנדרה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רוזנטל</w:t>
            </w:r>
            <w:r>
              <w:rPr>
                <w:szCs w:val="24"/>
                <w:rtl w:val="true"/>
              </w:rPr>
              <w:tab/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4"/>
              </w:rPr>
            </w:pPr>
            <w:r>
              <w:rPr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מס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</w:tr>
    </w:tbl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25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244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273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274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4"/>
          <w:sz w:val="34"/>
          <w:szCs w:val="32"/>
          <w:u w:val="single"/>
          <w:rtl w:val="true"/>
        </w:rPr>
        <w:t>גזר</w:t>
      </w:r>
      <w:r>
        <w:rPr>
          <w:b/>
          <w:bCs/>
          <w:sz w:val="34"/>
          <w:szCs w:val="32"/>
          <w:u w:val="single"/>
          <w:rtl w:val="true"/>
        </w:rPr>
        <w:t>-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/>
      </w:pPr>
      <w:bookmarkStart w:id="14" w:name="PsakDin"/>
      <w:bookmarkEnd w:id="14"/>
      <w:r>
        <w:rPr>
          <w:rFonts w:cs="Times New Roman"/>
          <w:b/>
          <w:bCs/>
          <w:sz w:val="30"/>
          <w:rtl w:val="true"/>
        </w:rPr>
        <w:t xml:space="preserve"> </w:t>
      </w:r>
      <w:r>
        <w:rPr>
          <w:b/>
          <w:bCs/>
          <w:sz w:val="30"/>
          <w:u w:val="single"/>
          <w:rtl w:val="true"/>
        </w:rPr>
        <w:t>(</w:t>
      </w:r>
      <w:r>
        <w:rPr>
          <w:b/>
          <w:b/>
          <w:bCs/>
          <w:sz w:val="30"/>
          <w:sz w:val="30"/>
          <w:u w:val="single"/>
          <w:rtl w:val="true"/>
        </w:rPr>
        <w:t>בעניינו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של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הנאשם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מס</w:t>
      </w:r>
      <w:r>
        <w:rPr>
          <w:b/>
          <w:bCs/>
          <w:sz w:val="30"/>
          <w:u w:val="single"/>
          <w:rtl w:val="true"/>
        </w:rPr>
        <w:t xml:space="preserve">' </w:t>
      </w:r>
      <w:r>
        <w:rPr>
          <w:b/>
          <w:bCs/>
          <w:sz w:val="30"/>
          <w:u w:val="single"/>
        </w:rPr>
        <w:t>1</w:t>
      </w:r>
      <w:r>
        <w:rPr>
          <w:b/>
          <w:bCs/>
          <w:sz w:val="30"/>
          <w:u w:val="single"/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szCs w:val="24"/>
        </w:rPr>
        <w:t>1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1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מועאז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זעתרי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(</w:t>
      </w:r>
      <w:r>
        <w:rPr>
          <w:szCs w:val="24"/>
          <w:rtl w:val="true"/>
        </w:rPr>
        <w:t>להלן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),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שיוחסו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בארבעת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אישומי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כתב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המתוקן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כדלהלן</w:t>
      </w:r>
      <w:r>
        <w:rPr>
          <w:szCs w:val="24"/>
          <w:rtl w:val="true"/>
        </w:rPr>
        <w:t xml:space="preserve">: </w:t>
      </w:r>
      <w:bookmarkStart w:id="15" w:name="ABSTRACT_START"/>
      <w:bookmarkEnd w:id="15"/>
      <w:r>
        <w:rPr>
          <w:szCs w:val="24"/>
          <w:rtl w:val="true"/>
        </w:rPr>
        <w:t>הובלה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רישא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11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</w:t>
      </w:r>
      <w:r>
        <w:rPr>
          <w:szCs w:val="24"/>
          <w:rtl w:val="true"/>
        </w:rPr>
        <w:t>-</w:t>
      </w:r>
      <w:r>
        <w:rPr>
          <w:szCs w:val="24"/>
        </w:rPr>
        <w:t>1977</w:t>
      </w:r>
      <w:r>
        <w:rPr>
          <w:szCs w:val="24"/>
          <w:rtl w:val="true"/>
        </w:rPr>
        <w:t xml:space="preserve"> (</w:t>
      </w:r>
      <w:r>
        <w:rPr>
          <w:szCs w:val="24"/>
          <w:rtl w:val="true"/>
        </w:rPr>
        <w:t>להלן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החוק</w:t>
      </w:r>
      <w:r>
        <w:rPr>
          <w:szCs w:val="24"/>
          <w:rtl w:val="true"/>
        </w:rPr>
        <w:t xml:space="preserve">); </w:t>
      </w:r>
      <w:r>
        <w:rPr>
          <w:szCs w:val="24"/>
          <w:rtl w:val="true"/>
        </w:rPr>
        <w:t>שיבוש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מהלכי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2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244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הובלה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סיפא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סחר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</w:rPr>
          <w:t>2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וניסיון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לתקיפת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שוטר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274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>-</w:t>
      </w:r>
      <w:hyperlink r:id="rId16">
        <w:r>
          <w:rPr>
            <w:rStyle w:val="Hyperlink"/>
            <w:color w:val="0000FF"/>
            <w:szCs w:val="24"/>
            <w:u w:val="single"/>
          </w:rPr>
          <w:t>25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bookmarkStart w:id="16" w:name="ABSTRACT_END"/>
      <w:bookmarkEnd w:id="16"/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51293715129371</w:t>
      </w:r>
      <w:r>
        <w:rPr>
          <w:szCs w:val="24"/>
        </w:rPr>
        <w:t>2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הודאתו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ניתנה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הסדר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טיעון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שלפיו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הוגש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נגדו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כתב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מתוקן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ההסדר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התחייבה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המאשימה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לעתור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ואילו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הסנגוריה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הוגבלה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בטיעוניה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לעניין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3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אסקור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להלן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ביצוען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Cs w:val="24"/>
          <w:rtl w:val="true"/>
        </w:rPr>
        <w:tab/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הראשון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ושיבוש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מהלכי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רישא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>-</w:t>
      </w:r>
      <w:hyperlink r:id="rId18">
        <w:r>
          <w:rPr>
            <w:rStyle w:val="Hyperlink"/>
            <w:color w:val="0000FF"/>
            <w:szCs w:val="24"/>
            <w:u w:val="single"/>
          </w:rPr>
          <w:t>244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ואלו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העובדות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העומדות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ביסוד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ההודאה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וההרשעה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>: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Cs w:val="24"/>
          <w:rtl w:val="true"/>
        </w:rPr>
        <w:tab/>
      </w:r>
      <w:r>
        <w:rPr>
          <w:szCs w:val="24"/>
          <w:rtl w:val="true"/>
        </w:rPr>
        <w:t>בסמוך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לחודש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2003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העביר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זעתרי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אחיו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(</w:t>
      </w:r>
      <w:r>
        <w:rPr>
          <w:szCs w:val="24"/>
          <w:rtl w:val="true"/>
        </w:rPr>
        <w:t>להלן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szCs w:val="24"/>
          <w:rtl w:val="true"/>
        </w:rPr>
        <w:t xml:space="preserve">), </w:t>
      </w:r>
      <w:r>
        <w:rPr>
          <w:szCs w:val="24"/>
          <w:rtl w:val="true"/>
        </w:rPr>
        <w:t>לגיסו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סלם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כאשור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(</w:t>
      </w:r>
      <w:r>
        <w:rPr>
          <w:szCs w:val="24"/>
          <w:rtl w:val="true"/>
        </w:rPr>
        <w:t>להלן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כאשור</w:t>
      </w:r>
      <w:r>
        <w:rPr>
          <w:szCs w:val="24"/>
          <w:rtl w:val="true"/>
        </w:rPr>
        <w:t xml:space="preserve">) </w:t>
      </w:r>
      <w:r>
        <w:rPr>
          <w:szCs w:val="24"/>
          <w:rtl w:val="true"/>
        </w:rPr>
        <w:t>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מסוג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CZ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ושתי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מחסניות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מלאות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בכדורים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(</w:t>
      </w:r>
      <w:r>
        <w:rPr>
          <w:szCs w:val="24"/>
          <w:rtl w:val="true"/>
        </w:rPr>
        <w:t>להלן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והמחסניות</w:t>
      </w:r>
      <w:r>
        <w:rPr>
          <w:szCs w:val="24"/>
          <w:rtl w:val="true"/>
        </w:rPr>
        <w:t xml:space="preserve">),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מנת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שהאחרון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יסתירם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אצלו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לבקשתו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הטמין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כאשור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בביר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נבאללה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בחודש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ספטמבר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2003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נעצר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בחשד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למעורבות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בפיגוע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הטרור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באוטובוס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אגד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בירושלים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סבר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מעצרו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קשור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והמחסניות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ניגש</w:t>
      </w:r>
      <w:r>
        <w:rPr>
          <w:rFonts w:cs="Times New Roman"/>
          <w:szCs w:val="24"/>
          <w:rtl w:val="true"/>
        </w:rPr>
        <w:t xml:space="preserve"> 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2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זאכי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נעאגי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לביתו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כאשור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נטלו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והמחסניות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הסתירו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אביו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רם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מתגורר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נוסף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מהדי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סוכם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ייעצר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יפעל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להעברת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והמחסניות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מסתור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מנת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להכשיל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החקירה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הפלילית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ולהעלים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ראיות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1.10.03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נעצר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בחשד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למעורבותו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המיוחסות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במהלך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חקירתו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לחוקריו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הימצאם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והמחסניות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אביו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בסמוך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בעקבות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סיכום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להעביר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שיבוש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החקירה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המסתור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והטמינו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בואדי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וז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והוביל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להסתרתו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בכוונה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להכשיל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הליך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שיפוטי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Cs w:val="24"/>
        </w:rPr>
        <w:t>4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סיפא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ואלו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העובדות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בעניין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>: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במועד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שאינו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ידוע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במדויק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בסמוך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לאירועים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הראשון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העביר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לגיסו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כאשור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שהכיל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(</w:t>
      </w:r>
      <w:r>
        <w:rPr>
          <w:szCs w:val="24"/>
          <w:rtl w:val="true"/>
        </w:rPr>
        <w:t>להלן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התיק</w:t>
      </w:r>
      <w:r>
        <w:rPr>
          <w:szCs w:val="24"/>
          <w:rtl w:val="true"/>
        </w:rPr>
        <w:t xml:space="preserve">),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מנת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שהאחרון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יסתירו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בחצריו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לבקשתו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הטמין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כאשור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בביר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נבאללה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numPr>
          <w:ilvl w:val="0"/>
          <w:numId w:val="0"/>
        </w:numPr>
        <w:ind w:hanging="0" w:start="0" w:end="0"/>
        <w:jc w:val="both"/>
        <w:outlineLvl w:val="0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חלוף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כחודשיים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מכאשור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והעבירו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אביו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רם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2.10.03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בסמוך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לכך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אביו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והעבירו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למקום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בלתי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ידוע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szCs w:val="24"/>
        </w:rPr>
        <w:t>5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השלישי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רשות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</w:rPr>
          <w:t>2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שבסמוך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לחודש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יולי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2003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מכר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לעבדאללה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שרבתי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תמורת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8,000</w:t>
      </w:r>
      <w:r>
        <w:rPr>
          <w:szCs w:val="24"/>
          <w:rtl w:val="true"/>
        </w:rPr>
        <w:t xml:space="preserve"> </w:t>
      </w:r>
      <w:r>
        <w:rPr>
          <w:rFonts w:eastAsia="David" w:ascii="David" w:hAnsi="David"/>
          <w:szCs w:val="24"/>
          <w:rtl w:val="true"/>
        </w:rPr>
        <w:t>₪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firstLine="720" w:end="0"/>
        <w:jc w:val="both"/>
        <w:rPr>
          <w:szCs w:val="24"/>
        </w:rPr>
      </w:pP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חולק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במועד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בלתי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ידוע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העסקה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החזיר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שרבתי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מחלוקת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בחודש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יולי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איננו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באירועים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הראשון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הראשון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והשלישי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מתייחסות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אפוא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לשני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כלי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נשק</w:t>
      </w:r>
      <w:r>
        <w:rPr>
          <w:szCs w:val="24"/>
          <w:rtl w:val="true"/>
        </w:rPr>
        <w:t xml:space="preserve">. 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6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הרביעי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החותם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כתב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האישום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ניסיון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לתקיפת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שוטר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274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>-</w:t>
      </w:r>
      <w:hyperlink r:id="rId22">
        <w:r>
          <w:rPr>
            <w:rStyle w:val="Hyperlink"/>
            <w:color w:val="0000FF"/>
            <w:szCs w:val="24"/>
            <w:u w:val="single"/>
          </w:rPr>
          <w:t>25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שבמהלך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חודש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ספטמבר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2000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אבנים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שוטרים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במספר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הזדמנויות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בשער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השבטים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במזרח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ירושלים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ברמאללה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בצומת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רם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ובצומת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7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דינו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2</w:t>
      </w:r>
      <w:r>
        <w:rPr>
          <w:szCs w:val="24"/>
          <w:rtl w:val="true"/>
        </w:rPr>
        <w:t xml:space="preserve"> - </w:t>
      </w:r>
      <w:r>
        <w:rPr>
          <w:szCs w:val="24"/>
          <w:rtl w:val="true"/>
        </w:rPr>
        <w:t>שהורשע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הראשון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ובחלקו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נגזר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4.12.03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הסדר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שהגיעו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הצדדים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מוסכם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ושנת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הצדדים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הגיעו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להסדר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השאר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בהתחשב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הסתבך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במעידה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הפלילית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היענות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לבקשתו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חברו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לסייע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בשיבוש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החקירה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8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בפרשת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גזר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המאשימה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שרבתי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באירוע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השלישי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והודעתו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במשטרה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(</w:t>
      </w:r>
      <w:r>
        <w:rPr>
          <w:szCs w:val="24"/>
          <w:rtl w:val="true"/>
        </w:rPr>
        <w:t>ת</w:t>
      </w:r>
      <w:r>
        <w:rPr>
          <w:szCs w:val="24"/>
          <w:rtl w:val="true"/>
        </w:rPr>
        <w:t>/</w:t>
      </w:r>
      <w:r>
        <w:rPr>
          <w:szCs w:val="24"/>
        </w:rPr>
        <w:t>3</w:t>
      </w:r>
      <w:r>
        <w:rPr>
          <w:szCs w:val="24"/>
          <w:rtl w:val="true"/>
        </w:rPr>
        <w:t xml:space="preserve">) </w:t>
      </w:r>
      <w:r>
        <w:rPr>
          <w:szCs w:val="24"/>
          <w:rtl w:val="true"/>
        </w:rPr>
        <w:t>הוגשה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כראיה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בהודעתו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שרבתי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אחיו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גייס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לזרוע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הצבאית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החמאס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חלק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תחת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פיקודו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בהוצאתו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פיגוע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הטרור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הרצחני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אגד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בירושלים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ובתכנון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פיגועים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נוספים</w:t>
      </w:r>
      <w:r>
        <w:rPr>
          <w:szCs w:val="24"/>
          <w:rtl w:val="true"/>
        </w:rPr>
        <w:t xml:space="preserve">. 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המאשימה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טוענת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מודע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לחברותם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שרבתי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בארגון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החמאס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ולפעילותם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האירגון</w:t>
      </w:r>
      <w:r>
        <w:rPr>
          <w:szCs w:val="24"/>
          <w:rtl w:val="true"/>
        </w:rPr>
        <w:t xml:space="preserve">. 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9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ונשוי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כשנה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למשפחה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מוסלמית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מסורתית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בהשקפת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עולמה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המתגוררת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בירושלים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הרביעי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ואחיות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אביו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שעבד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בעיריית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ירושלים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מספר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בריאותיות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ואמו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עקרת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לחובתו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הרשעה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קודמת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סכין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וגניבה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שנעברו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2000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מתסקיר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עולה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הלימודים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כשמונה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לימוד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העדר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מוטיבציה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והישגים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נמוכים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השתלב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העבודה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צעיר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מנת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לעזור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לפרנסת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המשפחה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ובפרט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התדרדרות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במצבו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הבריאותי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אביו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הראשונות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מזדמנות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ומזה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כחמש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כעצמאי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בעבודות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ושיפוצים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בשיחתו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קצינת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אחריות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חלקית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ביטא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צער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כישלונו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ההתנהגותי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לטענתו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שיקול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להבין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משמעות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וניסה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להשליך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חלק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מהאחריות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אחיו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קצינת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התרשמה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נקלע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למצוקה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נפשית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וחברתית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קשה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וציינה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בשיחותיו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השתמש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במנגנוני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הגנה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השלכה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והמעיט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מחומרת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מעשיו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רקע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נתוני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אישיותו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שצוינו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שהליך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טיפולי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יתן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למצוקתו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ונמנע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מהמלצה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כלשהי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בעניינו</w:t>
      </w:r>
      <w:r>
        <w:rPr>
          <w:szCs w:val="24"/>
          <w:rtl w:val="true"/>
        </w:rPr>
        <w:t xml:space="preserve">. 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10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בא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כוחה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המלומד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המאשימה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בראונר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הדגיש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בטיעוניו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חומרת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בביצוען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ובפרט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ותחמושת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הסיכון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הנשקף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לביטחון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הסדר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הטיעון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להטלת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11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המלומד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רוזנטל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ביקש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מבית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להחמיר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טען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האלימות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שוטרים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הרביעי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נעברו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כשלוש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וחצי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צעיר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שמונה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עשרה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וכי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האחרונות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ותחמושת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בוצעו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ידו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מטרה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לסייע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לאחיו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מעצרו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מבלי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שידע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חברותו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בחמאס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ומעורבותו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בפעילות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טרור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ביקש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הסניגור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מבית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להתחשב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גזירת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הדין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בהודאתו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שיוחסו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לו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בנסיבותיו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האישיות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ובכלל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בעובדה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כשנה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ומשמש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כמפרנס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העיקרי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משפחתו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המורחבת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ובכך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שימוש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ובתחמושת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12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שביצע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חמורות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למותר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להכביר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הסיכון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הממשי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הנשקף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לחיי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אדם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ולביטחון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כדין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שכן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שהוא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קטלני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מטבע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ברייתו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עלול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ולהגיע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גורמים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עבריינים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שיבצעו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באמצעותו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פליליות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חמורות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ארגוני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טרור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שישתמשו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בפיגועים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פוטנציאל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הסיכון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האחרון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במציאות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הביטחונית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השוררת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בארץ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מחייב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הטלת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ענישה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מחמירה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ומרתיעה</w:t>
      </w:r>
      <w:r>
        <w:rPr>
          <w:szCs w:val="24"/>
          <w:rtl w:val="true"/>
        </w:rPr>
        <w:t>. (</w:t>
      </w:r>
      <w:r>
        <w:rPr>
          <w:szCs w:val="24"/>
          <w:rtl w:val="true"/>
        </w:rPr>
        <w:t>ראו</w:t>
      </w:r>
      <w:r>
        <w:rPr>
          <w:rFonts w:cs="Times New Roman"/>
          <w:szCs w:val="24"/>
          <w:rtl w:val="true"/>
        </w:rPr>
        <w:t xml:space="preserve"> </w:t>
      </w:r>
      <w:hyperlink r:id="rId23">
        <w:r>
          <w:rPr>
            <w:rStyle w:val="Hyperlink"/>
            <w:szCs w:val="24"/>
            <w:rtl w:val="true"/>
          </w:rPr>
          <w:t>ע</w:t>
        </w:r>
        <w:r>
          <w:rPr>
            <w:rStyle w:val="Hyperlink"/>
            <w:szCs w:val="24"/>
            <w:rtl w:val="true"/>
          </w:rPr>
          <w:t>"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4609/98</w:t>
        </w:r>
      </w:hyperlink>
      <w:r>
        <w:rPr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אחמד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טאהא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</w:t>
      </w:r>
      <w:r>
        <w:rPr>
          <w:szCs w:val="24"/>
          <w:rtl w:val="true"/>
        </w:rPr>
        <w:t xml:space="preserve">' </w:t>
      </w:r>
      <w:r>
        <w:rPr>
          <w:b/>
          <w:b/>
          <w:bCs/>
          <w:szCs w:val="24"/>
          <w:rtl w:val="true"/>
        </w:rPr>
        <w:t>מדינת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ישראל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דינים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עליון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 xml:space="preserve">, </w:t>
      </w:r>
      <w:r>
        <w:rPr>
          <w:szCs w:val="24"/>
        </w:rPr>
        <w:t>375</w:t>
      </w:r>
      <w:r>
        <w:rPr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רקע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הסיכון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הממשי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לביטחון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הפסיקה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שיקולי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הענישה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ליתן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בדרך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כלל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משקל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נכבד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יותר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לאינטרס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נסיבותיו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>. (</w:t>
      </w:r>
      <w:r>
        <w:rPr>
          <w:szCs w:val="24"/>
          <w:rtl w:val="true"/>
        </w:rPr>
        <w:t>ראו</w:t>
      </w:r>
      <w:r>
        <w:rPr>
          <w:szCs w:val="24"/>
          <w:rtl w:val="true"/>
        </w:rPr>
        <w:t xml:space="preserve">: </w:t>
      </w:r>
      <w:hyperlink r:id="rId24">
        <w:r>
          <w:rPr>
            <w:rStyle w:val="Hyperlink"/>
            <w:szCs w:val="24"/>
            <w:rtl w:val="true"/>
          </w:rPr>
          <w:t>ע</w:t>
        </w:r>
        <w:r>
          <w:rPr>
            <w:rStyle w:val="Hyperlink"/>
            <w:szCs w:val="24"/>
            <w:rtl w:val="true"/>
          </w:rPr>
          <w:t>"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10499/02</w:t>
        </w:r>
      </w:hyperlink>
      <w:r>
        <w:rPr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מדינת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ישראל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szCs w:val="24"/>
          <w:rtl w:val="true"/>
        </w:rPr>
        <w:t>נ</w:t>
      </w:r>
      <w:r>
        <w:rPr>
          <w:szCs w:val="24"/>
          <w:rtl w:val="true"/>
        </w:rPr>
        <w:t xml:space="preserve">' </w:t>
      </w:r>
      <w:r>
        <w:rPr>
          <w:b/>
          <w:b/>
          <w:bCs/>
          <w:szCs w:val="24"/>
          <w:rtl w:val="true"/>
        </w:rPr>
        <w:t>אלמוג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מיארה</w:t>
      </w:r>
      <w:r>
        <w:rPr>
          <w:b/>
          <w:bCs/>
          <w:szCs w:val="24"/>
          <w:rtl w:val="true"/>
        </w:rPr>
        <w:t>,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דינים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עליון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ד</w:t>
      </w:r>
      <w:r>
        <w:rPr>
          <w:szCs w:val="24"/>
          <w:rtl w:val="true"/>
        </w:rPr>
        <w:t xml:space="preserve">, </w:t>
      </w:r>
      <w:r>
        <w:rPr>
          <w:szCs w:val="24"/>
        </w:rPr>
        <w:t>542</w:t>
      </w:r>
      <w:r>
        <w:rPr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בענייננו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הסיכון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ביותר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מכר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לפעיל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בארגון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החמאס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שרבתי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והוביל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שיבוש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חקירתו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די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שנטל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חלק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פעיל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בפיגועי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טרור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מטעם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הזרוע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הצבאית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ארגון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זאת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הוסכם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הצדדים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מודע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למעורבותם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מהשניים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בארגון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החמאס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Times New Roman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מעשיו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מלמדים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הסיכון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שנשקף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לשלום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ולביטחונו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ראשיתם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בהתנהגותו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האלימה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הרביעי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אבנים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שוטרים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במספר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הזדמנויות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כשלוש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וחצי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והמשכם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הנדונות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האישומים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בוצעו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ידו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האחרונה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שביצע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מכירת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לשרבתי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הובלת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והתחמושת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למקומות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מסתור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הזדמנויות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מצביעות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כך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ופעיל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בתחום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פלילי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שיקוליי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לעונש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אקח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בחשבון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לחומרה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ביצוען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והסיכון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הממשי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שנשקף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לביטחון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numPr>
          <w:ilvl w:val="0"/>
          <w:numId w:val="0"/>
        </w:numPr>
        <w:ind w:hanging="0" w:start="0" w:end="0"/>
        <w:jc w:val="both"/>
        <w:outlineLvl w:val="0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לקולא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אתחשב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בהודאתו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ובנסיבותיו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שתוארו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</w:t>
      </w:r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</w:rPr>
        <w:t>13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יסוד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ובהתחשב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במכלול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טיעוני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הצדדים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לחומרה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ולקולא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כדלהלן</w:t>
      </w:r>
      <w:r>
        <w:rPr>
          <w:szCs w:val="24"/>
          <w:rtl w:val="true"/>
        </w:rPr>
        <w:t>: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א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לארבע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מעצרו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- </w:t>
      </w:r>
      <w:r>
        <w:rPr>
          <w:szCs w:val="24"/>
        </w:rPr>
        <w:t>1.10.03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Cs w:val="24"/>
          <w:rtl w:val="true"/>
        </w:rPr>
        <w:tab/>
      </w:r>
      <w:r>
        <w:rPr>
          <w:szCs w:val="24"/>
          <w:rtl w:val="true"/>
        </w:rPr>
        <w:t>ב</w:t>
      </w:r>
      <w:r>
        <w:rPr>
          <w:szCs w:val="24"/>
          <w:rtl w:val="true"/>
        </w:rPr>
        <w:t xml:space="preserve">. </w:t>
        <w:tab/>
      </w:r>
      <w:r>
        <w:rPr>
          <w:szCs w:val="24"/>
          <w:rtl w:val="true"/>
        </w:rPr>
        <w:t>לשנתיים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שחרורו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סעיפים</w:t>
      </w:r>
      <w:r>
        <w:rPr>
          <w:szCs w:val="24"/>
          <w:rtl w:val="true"/>
        </w:rPr>
        <w:t xml:space="preserve">: </w:t>
      </w:r>
      <w:hyperlink r:id="rId25"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רישא</w:t>
      </w:r>
      <w:r>
        <w:rPr>
          <w:szCs w:val="24"/>
          <w:rtl w:val="true"/>
        </w:rPr>
        <w:t xml:space="preserve">, </w:t>
      </w:r>
      <w:hyperlink r:id="rId26"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רישא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hyperlink r:id="rId27"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</w:rPr>
          <w:t>2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28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Cs w:val="24"/>
          <w:rtl w:val="true"/>
        </w:rPr>
        <w:t>ג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>לשנת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במשך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ממועד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שחרורו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סעיפים</w:t>
      </w:r>
      <w:r>
        <w:rPr>
          <w:szCs w:val="24"/>
          <w:rtl w:val="true"/>
        </w:rPr>
        <w:t xml:space="preserve">: </w:t>
      </w:r>
      <w:hyperlink r:id="rId29"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סיפא</w:t>
      </w:r>
      <w:r>
        <w:rPr>
          <w:szCs w:val="24"/>
          <w:rtl w:val="true"/>
        </w:rPr>
        <w:t xml:space="preserve">, </w:t>
      </w:r>
      <w:hyperlink r:id="rId30"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סיפא</w:t>
      </w:r>
      <w:r>
        <w:rPr>
          <w:szCs w:val="24"/>
          <w:rtl w:val="true"/>
        </w:rPr>
        <w:t xml:space="preserve">, </w:t>
      </w:r>
      <w:hyperlink r:id="rId31">
        <w:r>
          <w:rPr>
            <w:rStyle w:val="Hyperlink"/>
            <w:color w:val="0000FF"/>
            <w:szCs w:val="24"/>
            <w:u w:val="single"/>
          </w:rPr>
          <w:t>244</w:t>
        </w:r>
      </w:hyperlink>
      <w:r>
        <w:rPr>
          <w:szCs w:val="24"/>
          <w:rtl w:val="true"/>
        </w:rPr>
        <w:t xml:space="preserve">, </w:t>
      </w:r>
      <w:hyperlink r:id="rId32">
        <w:r>
          <w:rPr>
            <w:rStyle w:val="Hyperlink"/>
            <w:color w:val="0000FF"/>
            <w:szCs w:val="24"/>
            <w:u w:val="single"/>
          </w:rPr>
          <w:t>273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או</w:t>
      </w:r>
      <w:r>
        <w:rPr>
          <w:rFonts w:cs="Times New Roman"/>
          <w:szCs w:val="24"/>
          <w:rtl w:val="true"/>
        </w:rPr>
        <w:t xml:space="preserve"> </w:t>
      </w:r>
      <w:hyperlink r:id="rId33">
        <w:r>
          <w:rPr>
            <w:rStyle w:val="Hyperlink"/>
            <w:color w:val="0000FF"/>
            <w:szCs w:val="24"/>
            <w:u w:val="single"/>
          </w:rPr>
          <w:t>274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ל</w:t>
      </w:r>
      <w:r>
        <w:rPr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numPr>
          <w:ilvl w:val="0"/>
          <w:numId w:val="0"/>
        </w:numPr>
        <w:ind w:hanging="0" w:start="720" w:end="0"/>
        <w:jc w:val="both"/>
        <w:outlineLvl w:val="0"/>
        <w:rPr>
          <w:szCs w:val="24"/>
        </w:rPr>
      </w:pPr>
      <w:r>
        <w:rPr>
          <w:szCs w:val="24"/>
          <w:rtl w:val="true"/>
        </w:rPr>
        <w:t>זכות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ערעור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מהיום</w:t>
      </w:r>
      <w:r>
        <w:rPr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numPr>
          <w:ilvl w:val="0"/>
          <w:numId w:val="0"/>
        </w:numPr>
        <w:ind w:hanging="0" w:start="720" w:end="0"/>
        <w:jc w:val="both"/>
        <w:outlineLvl w:val="0"/>
        <w:rPr>
          <w:szCs w:val="24"/>
        </w:rPr>
      </w:pPr>
      <w:r>
        <w:rPr>
          <w:szCs w:val="24"/>
          <w:rtl w:val="true"/>
        </w:rPr>
        <w:t>גזר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תורגם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לערבית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ידי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מתורגמן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המשפט</w:t>
      </w:r>
      <w:r>
        <w:rPr>
          <w:szCs w:val="24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numPr>
          <w:ilvl w:val="0"/>
          <w:numId w:val="0"/>
        </w:numPr>
        <w:suppressLineNumbers/>
        <w:ind w:hanging="0" w:start="0" w:end="0"/>
        <w:jc w:val="both"/>
        <w:outlineLvl w:val="0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בניסן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b/>
          <w:bCs/>
          <w:sz w:val="22"/>
          <w:szCs w:val="24"/>
          <w:rtl w:val="true"/>
        </w:rPr>
        <w:t>, (</w:t>
      </w:r>
      <w:r>
        <w:rPr>
          <w:b/>
          <w:bCs/>
          <w:sz w:val="22"/>
          <w:szCs w:val="24"/>
        </w:rPr>
        <w:t>28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במארס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2004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/>
          <w:bCs/>
          <w:sz w:val="22"/>
          <w:sz w:val="22"/>
          <w:szCs w:val="24"/>
          <w:rtl w:val="true"/>
        </w:rPr>
        <w:t>בנוכחות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הסניגור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והנאשם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tblW w:w="1985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5"/>
      </w:tblGrid>
      <w:tr>
        <w:trPr/>
        <w:tc>
          <w:tcPr>
            <w:tcW w:w="19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נועם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19" w:name="Decision1"/>
      <w:bookmarkEnd w:id="1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/Users/liorb/Downloads/study2025-p2/m03000231-1.doc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231/03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מועאז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ברכאת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זעתרי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4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ind w:hanging="0" w:start="1367" w:end="1276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73" TargetMode="External"/><Relationship Id="rId9" Type="http://schemas.openxmlformats.org/officeDocument/2006/relationships/hyperlink" Target="http://www.nevo.co.il/law/70301/274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74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74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case/5707014" TargetMode="External"/><Relationship Id="rId24" Type="http://schemas.openxmlformats.org/officeDocument/2006/relationships/hyperlink" Target="http://www.nevo.co.il/case/6171019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244" TargetMode="External"/><Relationship Id="rId32" Type="http://schemas.openxmlformats.org/officeDocument/2006/relationships/hyperlink" Target="http://www.nevo.co.il/law/70301/273" TargetMode="External"/><Relationship Id="rId33" Type="http://schemas.openxmlformats.org/officeDocument/2006/relationships/hyperlink" Target="http://www.nevo.co.il/law/70301/274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2017-07-20T12:57:00Z</dcterms:created>
  <dc:creator> </dc:creator>
  <dc:description/>
  <cp:keywords/>
  <dc:language>en-IL</dc:language>
  <cp:lastModifiedBy>run</cp:lastModifiedBy>
  <cp:lastPrinted>2004-03-28T13:52:00Z</cp:lastPrinted>
  <dcterms:modified xsi:type="dcterms:W3CDTF">2017-07-20T12:57:00Z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מועאז בן ברכאת זעתרי</vt:lpwstr>
  </property>
  <property fmtid="{D5CDD505-2E9C-101B-9397-08002B2CF9AE}" pid="4" name="CASESLISTTMP1">
    <vt:lpwstr>5707014;6171019</vt:lpwstr>
  </property>
  <property fmtid="{D5CDD505-2E9C-101B-9397-08002B2CF9AE}" pid="5" name="CITY">
    <vt:lpwstr>י-ם</vt:lpwstr>
  </property>
  <property fmtid="{D5CDD505-2E9C-101B-9397-08002B2CF9AE}" pid="6" name="DATE">
    <vt:lpwstr>20040329</vt:lpwstr>
  </property>
  <property fmtid="{D5CDD505-2E9C-101B-9397-08002B2CF9AE}" pid="7" name="ISABSTRACT">
    <vt:lpwstr>Y</vt:lpwstr>
  </property>
  <property fmtid="{D5CDD505-2E9C-101B-9397-08002B2CF9AE}" pid="8" name="JUDGE">
    <vt:lpwstr>י' נועם</vt:lpwstr>
  </property>
  <property fmtid="{D5CDD505-2E9C-101B-9397-08002B2CF9AE}" pid="9" name="LAWLISTTMP1">
    <vt:lpwstr>70301/144.b:6;244:3;144.b2:3;274:3;025:2;144.a:2;273</vt:lpwstr>
  </property>
  <property fmtid="{D5CDD505-2E9C-101B-9397-08002B2CF9AE}" pid="10" name="LAWYER">
    <vt:lpwstr>אנדרה רוזנטל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ת"פ</vt:lpwstr>
  </property>
  <property fmtid="{D5CDD505-2E9C-101B-9397-08002B2CF9AE}" pid="30" name="PROCNUM">
    <vt:lpwstr>231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