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  <w:gridCol w:w="822"/>
        <w:gridCol w:w="4848"/>
        <w:gridCol w:w="766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bookmarkStart w:id="0" w:name="LastJudge"/>
            <w:bookmarkEnd w:id="0"/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ת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2"/>
                <w:szCs w:val="24"/>
              </w:rPr>
              <w:t>000129/03</w:t>
            </w:r>
          </w:p>
        </w:tc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בירושלים</w:t>
            </w:r>
          </w:p>
          <w:p>
            <w:pPr>
              <w:pStyle w:val="Normal"/>
              <w:spacing w:lineRule="exact" w:line="320" w:before="0" w:after="80"/>
              <w:ind w:end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05/01/2004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יצחק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ענבר</w:t>
            </w:r>
          </w:p>
        </w:tc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לפני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end="0"/>
              <w:jc w:val="both"/>
              <w:rPr>
                <w:sz w:val="22"/>
                <w:szCs w:val="24"/>
                <w:u w:val="none"/>
              </w:rPr>
            </w:pPr>
            <w:bookmarkStart w:id="1" w:name="FirstLawyer"/>
            <w:bookmarkStart w:id="2" w:name="שם_א"/>
            <w:bookmarkEnd w:id="1"/>
            <w:bookmarkEnd w:id="2"/>
            <w:r>
              <w:rPr>
                <w:sz w:val="22"/>
                <w:sz w:val="22"/>
                <w:szCs w:val="24"/>
                <w:u w:val="none"/>
                <w:rtl w:val="true"/>
              </w:rPr>
              <w:t>ה</w:t>
            </w:r>
            <w:bookmarkStart w:id="3" w:name="כינוי_א"/>
            <w:bookmarkEnd w:id="3"/>
            <w:r>
              <w:rPr>
                <w:sz w:val="22"/>
                <w:sz w:val="22"/>
                <w:szCs w:val="24"/>
                <w:u w:val="none"/>
                <w:rtl w:val="true"/>
              </w:rPr>
              <w:t>מאשימה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עו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א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קורב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ירושלים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4" w:name="FirstAppellant"/>
            <w:bookmarkStart w:id="5" w:name="FirstAppellant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Heading6"/>
              <w:spacing w:before="0" w:after="8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5"/>
              <w:keepNext w:val="false"/>
              <w:spacing w:lineRule="exact" w:line="320" w:before="0" w:after="80"/>
              <w:ind w:end="0"/>
              <w:jc w:val="both"/>
              <w:rPr>
                <w:sz w:val="22"/>
                <w:szCs w:val="24"/>
                <w:u w:val="none"/>
              </w:rPr>
            </w:pPr>
            <w:bookmarkStart w:id="6" w:name="שם_ב"/>
            <w:bookmarkEnd w:id="6"/>
            <w:r>
              <w:rPr>
                <w:sz w:val="22"/>
                <w:sz w:val="22"/>
                <w:szCs w:val="24"/>
                <w:u w:val="none"/>
                <w:rtl w:val="true"/>
              </w:rPr>
              <w:t>ה</w:t>
            </w:r>
            <w:bookmarkStart w:id="7" w:name="כינוי_ב"/>
            <w:bookmarkEnd w:id="7"/>
            <w:r>
              <w:rPr>
                <w:sz w:val="22"/>
                <w:sz w:val="22"/>
                <w:szCs w:val="24"/>
                <w:u w:val="none"/>
                <w:rtl w:val="true"/>
              </w:rPr>
              <w:t>נאשם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זלום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עו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זחאלקה</w:t>
            </w:r>
          </w:p>
        </w:tc>
        <w:tc>
          <w:tcPr>
            <w:tcW w:w="1362" w:type="dxa"/>
            <w:tcBorders/>
          </w:tcPr>
          <w:p>
            <w:pPr>
              <w:pStyle w:val="Style9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5"/>
              <w:keepNext w:val="false"/>
              <w:snapToGrid w:val="false"/>
              <w:spacing w:lineRule="exact" w:line="320" w:before="0" w:after="80"/>
              <w:ind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Cs w:val="24"/>
                <w:u w:val="none"/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  <w:u w:val="none"/>
              </w:rPr>
            </w:pPr>
            <w:r>
              <w:rPr>
                <w:b/>
                <w:bCs/>
                <w:sz w:val="22"/>
                <w:szCs w:val="24"/>
                <w:u w:val="none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spacing w:lineRule="exact" w:line="260"/>
        <w:ind w:end="0"/>
        <w:jc w:val="start"/>
        <w:rPr>
          <w:rFonts w:cs="FrankRuehl"/>
          <w:b/>
          <w:bCs/>
          <w:color w:val="000000"/>
          <w:sz w:val="26"/>
          <w:szCs w:val="24"/>
          <w:u w:val="single"/>
        </w:rPr>
      </w:pPr>
      <w:r>
        <w:rPr>
          <w:rFonts w:cs="FrankRuehl"/>
          <w:b/>
          <w:bCs/>
          <w:color w:val="000000"/>
          <w:sz w:val="26"/>
          <w:szCs w:val="24"/>
          <w:u w:val="single"/>
          <w:rtl w:val="tru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exact" w:line="260"/>
        <w:ind w:end="0"/>
        <w:jc w:val="start"/>
        <w:rPr>
          <w:rFonts w:cs="FrankRuehl"/>
          <w:color w:val="000000"/>
          <w:sz w:val="26"/>
        </w:rPr>
      </w:pPr>
      <w:r>
        <w:rPr>
          <w:rFonts w:cs="FrankRuehl"/>
          <w:color w:val="000000"/>
          <w:sz w:val="26"/>
          <w:sz w:val="26"/>
          <w:rtl w:val="true"/>
        </w:rPr>
        <w:t>לערעור</w:t>
      </w:r>
      <w:r>
        <w:rPr>
          <w:rFonts w:cs="Times New Roman"/>
          <w:color w:val="000000"/>
          <w:sz w:val="26"/>
          <w:sz w:val="26"/>
          <w:rtl w:val="true"/>
        </w:rPr>
        <w:t xml:space="preserve"> </w:t>
      </w:r>
      <w:r>
        <w:rPr>
          <w:rFonts w:cs="FrankRuehl"/>
          <w:color w:val="000000"/>
          <w:sz w:val="26"/>
          <w:sz w:val="26"/>
          <w:rtl w:val="true"/>
        </w:rPr>
        <w:t>בעליון</w:t>
      </w:r>
      <w:r>
        <w:rPr>
          <w:rFonts w:cs="Times New Roman"/>
          <w:color w:val="000000"/>
          <w:sz w:val="26"/>
          <w:sz w:val="26"/>
          <w:rtl w:val="true"/>
        </w:rPr>
        <w:t xml:space="preserve"> </w:t>
      </w:r>
      <w:r>
        <w:rPr>
          <w:rFonts w:cs="FrankRuehl"/>
          <w:color w:val="000000"/>
          <w:sz w:val="26"/>
          <w:rtl w:val="true"/>
        </w:rPr>
        <w:t>(</w:t>
      </w:r>
      <w:r>
        <w:rPr>
          <w:rFonts w:cs="FrankRuehl"/>
          <w:color w:val="000000"/>
          <w:sz w:val="26"/>
          <w:sz w:val="26"/>
          <w:rtl w:val="true"/>
        </w:rPr>
        <w:t>נדחה</w:t>
      </w:r>
      <w:r>
        <w:rPr>
          <w:rFonts w:cs="FrankRuehl"/>
          <w:color w:val="000000"/>
          <w:sz w:val="26"/>
          <w:rtl w:val="true"/>
        </w:rPr>
        <w:t xml:space="preserve">): </w:t>
      </w:r>
      <w:hyperlink r:id="rId2">
        <w:r>
          <w:rPr>
            <w:rStyle w:val="Hyperlink"/>
            <w:rFonts w:cs="FrankRuehl"/>
            <w:sz w:val="26"/>
            <w:sz w:val="26"/>
            <w:rtl w:val="true"/>
          </w:rPr>
          <w:t>עפ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rFonts w:cs="FrankRuehl"/>
            <w:sz w:val="26"/>
          </w:rPr>
          <w:t>2107/04</w:t>
        </w:r>
        <w:r>
          <w:rPr>
            <w:rStyle w:val="Hyperlink"/>
            <w:rFonts w:cs="FrankRuehl"/>
            <w:sz w:val="26"/>
            <w:rtl w:val="true"/>
          </w:rPr>
          <w:t xml:space="preserve"> </w:t>
        </w:r>
        <w:r>
          <w:rPr>
            <w:rStyle w:val="Hyperlink"/>
            <w:rFonts w:cs="FrankRuehl"/>
            <w:sz w:val="26"/>
            <w:sz w:val="26"/>
            <w:rtl w:val="true"/>
          </w:rPr>
          <w:t>עבד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rFonts w:cs="FrankRuehl"/>
            <w:sz w:val="26"/>
            <w:sz w:val="26"/>
            <w:rtl w:val="true"/>
          </w:rPr>
          <w:t>זלום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rFonts w:cs="FrankRuehl"/>
            <w:sz w:val="26"/>
            <w:sz w:val="26"/>
            <w:rtl w:val="true"/>
          </w:rPr>
          <w:t>נ</w:t>
        </w:r>
        <w:r>
          <w:rPr>
            <w:rStyle w:val="Hyperlink"/>
            <w:rFonts w:cs="FrankRuehl"/>
            <w:sz w:val="26"/>
            <w:rtl w:val="true"/>
          </w:rPr>
          <w:t xml:space="preserve">' </w:t>
        </w:r>
        <w:r>
          <w:rPr>
            <w:rStyle w:val="Hyperlink"/>
            <w:rFonts w:cs="FrankRuehl"/>
            <w:sz w:val="26"/>
            <w:sz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rFonts w:cs="FrankRuehl"/>
            <w:sz w:val="26"/>
            <w:sz w:val="26"/>
            <w:rtl w:val="true"/>
          </w:rPr>
          <w:t>ישראל</w:t>
        </w:r>
      </w:hyperlink>
      <w:r>
        <w:rPr>
          <w:rFonts w:cs="FrankRuehl"/>
          <w:color w:val="000000"/>
          <w:sz w:val="26"/>
          <w:rtl w:val="true"/>
        </w:rPr>
        <w:t xml:space="preserve">, </w:t>
      </w:r>
      <w:r>
        <w:rPr>
          <w:rFonts w:cs="FrankRuehl"/>
          <w:color w:val="000000"/>
          <w:sz w:val="26"/>
          <w:sz w:val="26"/>
          <w:rtl w:val="true"/>
        </w:rPr>
        <w:t>א</w:t>
      </w:r>
      <w:r>
        <w:rPr>
          <w:rFonts w:cs="FrankRuehl"/>
          <w:color w:val="000000"/>
          <w:sz w:val="26"/>
          <w:rtl w:val="true"/>
        </w:rPr>
        <w:t xml:space="preserve">' </w:t>
      </w:r>
      <w:r>
        <w:rPr>
          <w:rFonts w:cs="FrankRuehl"/>
          <w:color w:val="000000"/>
          <w:sz w:val="26"/>
          <w:sz w:val="26"/>
          <w:rtl w:val="true"/>
        </w:rPr>
        <w:t>מצא</w:t>
      </w:r>
      <w:r>
        <w:rPr>
          <w:rFonts w:cs="FrankRuehl"/>
          <w:color w:val="000000"/>
          <w:sz w:val="26"/>
          <w:rtl w:val="true"/>
        </w:rPr>
        <w:t xml:space="preserve">, </w:t>
      </w:r>
      <w:r>
        <w:rPr>
          <w:rFonts w:cs="FrankRuehl"/>
          <w:color w:val="000000"/>
          <w:sz w:val="26"/>
          <w:sz w:val="26"/>
          <w:rtl w:val="true"/>
        </w:rPr>
        <w:t>א</w:t>
      </w:r>
      <w:r>
        <w:rPr>
          <w:rFonts w:cs="FrankRuehl"/>
          <w:color w:val="000000"/>
          <w:sz w:val="26"/>
          <w:rtl w:val="true"/>
        </w:rPr>
        <w:t xml:space="preserve">' </w:t>
      </w:r>
      <w:r>
        <w:rPr>
          <w:rFonts w:cs="FrankRuehl"/>
          <w:color w:val="000000"/>
          <w:sz w:val="26"/>
          <w:sz w:val="26"/>
          <w:rtl w:val="true"/>
        </w:rPr>
        <w:t>א</w:t>
      </w:r>
      <w:r>
        <w:rPr>
          <w:rFonts w:cs="FrankRuehl"/>
          <w:color w:val="000000"/>
          <w:sz w:val="26"/>
          <w:rtl w:val="true"/>
        </w:rPr>
        <w:t xml:space="preserve">' </w:t>
      </w:r>
      <w:r>
        <w:rPr>
          <w:rFonts w:cs="FrankRuehl"/>
          <w:color w:val="000000"/>
          <w:sz w:val="26"/>
          <w:sz w:val="26"/>
          <w:rtl w:val="true"/>
        </w:rPr>
        <w:t>לוי</w:t>
      </w:r>
      <w:r>
        <w:rPr>
          <w:rFonts w:cs="FrankRuehl"/>
          <w:color w:val="000000"/>
          <w:sz w:val="26"/>
          <w:rtl w:val="true"/>
        </w:rPr>
        <w:t xml:space="preserve">, </w:t>
      </w:r>
      <w:r>
        <w:rPr>
          <w:rFonts w:cs="FrankRuehl"/>
          <w:color w:val="000000"/>
          <w:sz w:val="26"/>
          <w:sz w:val="26"/>
          <w:rtl w:val="true"/>
        </w:rPr>
        <w:t>א</w:t>
      </w:r>
      <w:r>
        <w:rPr>
          <w:rFonts w:cs="FrankRuehl"/>
          <w:color w:val="000000"/>
          <w:sz w:val="26"/>
          <w:rtl w:val="true"/>
        </w:rPr>
        <w:t xml:space="preserve">' </w:t>
      </w:r>
      <w:r>
        <w:rPr>
          <w:rFonts w:cs="FrankRuehl"/>
          <w:color w:val="000000"/>
          <w:sz w:val="26"/>
          <w:sz w:val="26"/>
          <w:rtl w:val="true"/>
        </w:rPr>
        <w:t>גרוניס</w:t>
      </w:r>
    </w:p>
    <w:p>
      <w:pPr>
        <w:pStyle w:val="Normal"/>
        <w:bidi w:val="0"/>
        <w:spacing w:lineRule="exact" w:line="260"/>
        <w:jc w:val="start"/>
        <w:rPr>
          <w:rFonts w:cs="FrankRuehl"/>
          <w:color w:val="000000"/>
          <w:sz w:val="26"/>
        </w:rPr>
      </w:pPr>
      <w:r>
        <w:rPr>
          <w:rFonts w:cs="FrankRuehl"/>
          <w:color w:val="000000"/>
          <w:sz w:val="26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rFonts w:cs="FrankRuehl"/>
          <w:b/>
          <w:bCs/>
          <w:color w:val="000000"/>
          <w:sz w:val="22"/>
          <w:szCs w:val="24"/>
          <w:u w:val="single"/>
        </w:rPr>
      </w:pPr>
      <w:r>
        <w:rPr>
          <w:rFonts w:cs="FrankRuehl"/>
          <w:b/>
          <w:bCs/>
          <w:color w:val="000000"/>
          <w:sz w:val="22"/>
          <w:szCs w:val="24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  <w:u w:val="single"/>
        </w:rPr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מתוקן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מחמירות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402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>.</w:t>
      </w:r>
      <w:r>
        <w:rPr>
          <w:sz w:val="22"/>
          <w:szCs w:val="24"/>
          <w:rtl w:val="true"/>
        </w:rPr>
        <w:t xml:space="preserve">  </w:t>
      </w:r>
      <w:bookmarkStart w:id="14" w:name="ABSTRACT_START"/>
      <w:bookmarkEnd w:id="14"/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המפורט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בליל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31.7.02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00:00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שועפאט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הדירה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הוחזקה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גזברית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הקונסוליה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הצרפתית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החבורה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באמצעות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בבעלות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בהגיעם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התפרצו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החבורה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מחוצה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באותה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אנריקיטה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גאלפיה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פיליפיני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כעובדת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אצל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מחזיקת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שהתפרצו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אנריקיטה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ונטלו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חפצי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וביניהם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מצלמת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כיס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תכשיטים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ומכשיר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טלפון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סלולרי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פתח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חמוש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עזבו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נושאים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הרכוש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שנטלו</w:t>
      </w:r>
      <w:bookmarkStart w:id="15" w:name="ABSTRACT_END"/>
      <w:bookmarkEnd w:id="15"/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המוסכם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מחוץ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לדירה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כדברי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עצמו</w:t>
      </w:r>
      <w:r>
        <w:rPr>
          <w:sz w:val="22"/>
          <w:szCs w:val="24"/>
          <w:rtl w:val="true"/>
        </w:rPr>
        <w:t>: "</w:t>
      </w:r>
      <w:r>
        <w:rPr>
          <w:sz w:val="22"/>
          <w:sz w:val="22"/>
          <w:szCs w:val="24"/>
          <w:rtl w:val="true"/>
        </w:rPr>
        <w:t>בזמן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הייתי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מחוץ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לדירה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הייתי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האחרים</w:t>
      </w:r>
      <w:r>
        <w:rPr>
          <w:sz w:val="22"/>
          <w:szCs w:val="24"/>
          <w:rtl w:val="true"/>
        </w:rPr>
        <w:t>" (</w:t>
      </w:r>
      <w:r>
        <w:rPr>
          <w:sz w:val="22"/>
          <w:sz w:val="22"/>
          <w:szCs w:val="24"/>
          <w:rtl w:val="true"/>
        </w:rPr>
        <w:t>עמ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12</w:t>
      </w:r>
      <w:r>
        <w:rPr>
          <w:sz w:val="22"/>
          <w:szCs w:val="24"/>
          <w:rtl w:val="true"/>
        </w:rPr>
        <w:t>).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צעיר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23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ומתגורר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אביו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יתר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נתוניו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מפורטים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בהרחבה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בבחור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שקול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ניהל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נורמטיבי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לקצינת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דודו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שביקשו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הדוד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נקלע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לפעילות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להתמודד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הסיטואציה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ושיתף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פעולה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מעריך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ביסוד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מאפייני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אישיותו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ובמיוחד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לבטא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אסרטיביות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בלחץ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נפש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מאחורי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סורג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ובריח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קרוב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ומעצר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ולמדו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לקח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ממליץ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להסתפק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ובהטלתו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לתועלת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המלומד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הדגיש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בטיעונו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הערכים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המוגנים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ועתר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ממושך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תנאי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כוחו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המלומד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הדגיש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מעורבותו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לאמץ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המלצת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במאמר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מוסגר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יצוין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החבורה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נדונו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ארוכות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שהורשעו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נוספות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אליהן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לחלץ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מגזרי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היחסי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דנן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במצב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שנגזרו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לסייע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בגזירת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מפליגה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בחומרתה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שבוצע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באישון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בחבורה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השודדים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התפרצו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כפתו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שהייתה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ונטלו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חפצי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שונים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פתח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חמוש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נכנס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תפקיד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בתכנית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העבריינית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החבורה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והמתין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למלטה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מעשיהם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וחבריו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רמסו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המתלוננים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פרטיותם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שלוותם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לזרוע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ודמורליזציה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בסביבה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כולה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מעידים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מורא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להתעשרות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קלה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מצד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ומבלי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לגרוע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מכיעורם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בבואנו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לדרגם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במדרג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החומרה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עדיין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להבחין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שנכנסו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לדירה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צעיר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מאפיינת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חרטה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מכלול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הנתונים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לפקפק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בכנותה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ששוחרר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שקלתי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בכובד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להסתפק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ובהטלת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צ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הגעתי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למסקנה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לקבלה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נתוניו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ובפרט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חולשת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אישיותו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הצעיר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נכנס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אמנם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שוקלים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משמעותי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לקולה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הסלידה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החברתית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ממעשי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המבוצעים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המזוינת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הרתעת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בכוח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במצב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מנוס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משמעותי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לשיקולים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יינתן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הראוי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שיוטל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להחלטה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הטלתו</w:t>
      </w:r>
      <w:r>
        <w:rPr>
          <w:sz w:val="22"/>
          <w:szCs w:val="24"/>
          <w:rtl w:val="true"/>
        </w:rPr>
        <w:t xml:space="preserve">.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מתוכם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ויתרתם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18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פשע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מתקופת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תנוכה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9/3/03-29/6/03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הודע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זכותו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לערער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/>
          <w:bCs/>
          <w:color w:val="000000"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י</w:t>
      </w:r>
      <w:r>
        <w:rPr>
          <w:b/>
          <w:bCs/>
          <w:color w:val="000000"/>
          <w:sz w:val="22"/>
          <w:szCs w:val="24"/>
          <w:rtl w:val="true"/>
        </w:rPr>
        <w:t>"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א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בטבת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התשס</w:t>
      </w:r>
      <w:r>
        <w:rPr>
          <w:b/>
          <w:bCs/>
          <w:color w:val="000000"/>
          <w:sz w:val="22"/>
          <w:szCs w:val="24"/>
          <w:rtl w:val="true"/>
        </w:rPr>
        <w:t>"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Cs/>
          <w:color w:val="000000"/>
          <w:sz w:val="22"/>
          <w:szCs w:val="24"/>
          <w:rtl w:val="true"/>
        </w:rPr>
        <w:t>(</w:t>
      </w:r>
      <w:r>
        <w:rPr>
          <w:b/>
          <w:bCs/>
          <w:color w:val="000000"/>
          <w:sz w:val="22"/>
          <w:szCs w:val="24"/>
        </w:rPr>
        <w:t>5</w:t>
      </w:r>
      <w:r>
        <w:rPr>
          <w:b/>
          <w:bCs/>
          <w:color w:val="000000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בינואר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Cs/>
          <w:color w:val="000000"/>
          <w:sz w:val="22"/>
          <w:szCs w:val="24"/>
        </w:rPr>
        <w:t>2004</w:t>
      </w:r>
      <w:r>
        <w:rPr>
          <w:b/>
          <w:bCs/>
          <w:color w:val="000000"/>
          <w:sz w:val="22"/>
          <w:szCs w:val="24"/>
          <w:rtl w:val="true"/>
        </w:rPr>
        <w:t xml:space="preserve">)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הצדדים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Cs/>
          <w:color w:val="000000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Cs/>
          <w:color w:val="000000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/>
          <w:bCs/>
          <w:color w:val="000000"/>
          <w:sz w:val="22"/>
          <w:sz w:val="22"/>
          <w:szCs w:val="24"/>
          <w:rtl w:val="true"/>
        </w:rPr>
        <w:t>מותר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לפרסום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מיום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Cs/>
          <w:color w:val="000000"/>
          <w:sz w:val="22"/>
          <w:szCs w:val="24"/>
        </w:rPr>
        <w:t>5/1/04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Cs/>
          <w:color w:val="000000"/>
          <w:sz w:val="22"/>
          <w:szCs w:val="24"/>
          <w:rtl w:val="true"/>
        </w:rPr>
      </w:r>
    </w:p>
    <w:tbl>
      <w:tblPr>
        <w:tblW w:w="237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יצחק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ענבר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000129/03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Cs w:val="24"/>
        </w:rPr>
        <w:t>053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יצחק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ענבר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וניסוח</w:t>
      </w:r>
    </w:p>
    <w:p>
      <w:pPr>
        <w:pStyle w:val="Normal"/>
        <w:spacing w:lineRule="exact" w:line="320" w:before="0" w:after="80"/>
        <w:ind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/Users/liorb/Downloads/study2025-p2/m03000129-5.doc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129/03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עבד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זלום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exact" w:line="320" w:before="0" w:after="80"/>
      <w:ind w:hanging="0" w:start="0" w:end="0"/>
      <w:jc w:val="center"/>
      <w:outlineLvl w:val="5"/>
    </w:pPr>
    <w:rPr>
      <w:b/>
      <w:bCs/>
      <w:sz w:val="22"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8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0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Psika_word/elyon/0402107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8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2004-05-09T10:46:00Z</dcterms:created>
  <dc:creator> </dc:creator>
  <dc:description/>
  <dc:language>en-IL</dc:language>
  <cp:lastModifiedBy>שי</cp:lastModifiedBy>
  <cp:lastPrinted>2003-12-31T08:48:00Z</cp:lastPrinted>
  <dcterms:modified xsi:type="dcterms:W3CDTF">2004-10-11T23:17:00Z</dcterms:modified>
  <cp:revision>5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עבד זלום;נ' זחאלקה</vt:lpwstr>
  </property>
  <property fmtid="{D5CDD505-2E9C-101B-9397-08002B2CF9AE}" pid="4" name="CITY">
    <vt:lpwstr>י-ם</vt:lpwstr>
  </property>
  <property fmtid="{D5CDD505-2E9C-101B-9397-08002B2CF9AE}" pid="5" name="DATE">
    <vt:lpwstr>20040105</vt:lpwstr>
  </property>
  <property fmtid="{D5CDD505-2E9C-101B-9397-08002B2CF9AE}" pid="6" name="ISABSTRACT">
    <vt:lpwstr>Y</vt:lpwstr>
  </property>
  <property fmtid="{D5CDD505-2E9C-101B-9397-08002B2CF9AE}" pid="7" name="JUDGE">
    <vt:lpwstr>יצחק ענבר</vt:lpwstr>
  </property>
  <property fmtid="{D5CDD505-2E9C-101B-9397-08002B2CF9AE}" pid="8" name="LAWYER">
    <vt:lpwstr>א' קורב;נ' זחאלקה</vt:lpwstr>
  </property>
  <property fmtid="{D5CDD505-2E9C-101B-9397-08002B2CF9AE}" pid="9" name="LINKK1">
    <vt:lpwstr>/elyon/0402107.doc;לערעור בעליון (נדחה)#עפ 2107/04 עבד זלום נ' מדינת ישראל#א' מצא, א' א' לוי, א' גרוניס</vt:lpwstr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129</vt:lpwstr>
  </property>
  <property fmtid="{D5CDD505-2E9C-101B-9397-08002B2CF9AE}" pid="29" name="PROCYEAR">
    <vt:lpwstr>03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3</vt:lpwstr>
  </property>
</Properties>
</file>